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140" w:after="283"/>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0" w:after="0"/>
        <w:jc w:val="center"/>
        <w:rPr/>
      </w:pPr>
      <w:r>
        <w:rPr>
          <w:color w:val="000000"/>
        </w:rPr>
        <w:t xml:space="preserve">  </w:t>
      </w:r>
      <w:r>
        <w:rPr>
          <w:rFonts w:ascii="Times New Roman;serif" w:hAnsi="Times New Roman;serif"/>
          <w:b w:val="false"/>
          <w:color w:val="000000"/>
          <w:sz w:val="20"/>
        </w:rPr>
        <w:t>(Mark One)</w:t>
      </w:r>
    </w:p>
    <w:p>
      <w:pPr>
        <w:pStyle w:val="TextBody"/>
        <w:bidi w:val="0"/>
        <w:spacing w:before="0" w:after="0"/>
        <w:jc w:val="center"/>
        <w:rPr/>
      </w:pPr>
      <w:r>
        <w:rPr/>
      </w:r>
    </w:p>
    <w:p>
      <w:pPr>
        <w:pStyle w:val="TextBody"/>
        <w:bidi w:val="0"/>
        <w:spacing w:lineRule="auto" w:line="288" w:before="0" w:after="0"/>
        <w:jc w:val="center"/>
        <w:rPr/>
      </w:pPr>
      <w:r>
        <w:rPr>
          <w:color w:val="000000"/>
        </w:rPr>
        <w:t> ☒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_____________ to 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001-36384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__________________</w:t>
      </w:r>
    </w:p>
    <w:tbl>
      <w:tblPr>
        <w:tblW w:w="9314" w:type="dxa"/>
        <w:jc w:val="center"/>
        <w:tblInd w:w="0" w:type="dxa"/>
        <w:tblLayout w:type="fixed"/>
        <w:tblCellMar>
          <w:top w:w="28" w:type="dxa"/>
          <w:left w:w="28" w:type="dxa"/>
          <w:bottom w:w="28" w:type="dxa"/>
          <w:right w:w="28" w:type="dxa"/>
        </w:tblCellMar>
      </w:tblPr>
      <w:tblGrid>
        <w:gridCol w:w="1795"/>
        <w:gridCol w:w="1577"/>
        <w:gridCol w:w="1593"/>
        <w:gridCol w:w="140"/>
        <w:gridCol w:w="140"/>
        <w:gridCol w:w="141"/>
        <w:gridCol w:w="299"/>
        <w:gridCol w:w="299"/>
        <w:gridCol w:w="301"/>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20-8881738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1250 Broadway, 9th Floor</w:t>
            </w:r>
          </w:p>
        </w:tc>
      </w:tr>
      <w:tr>
        <w:trPr/>
        <w:tc>
          <w:tcPr>
            <w:tcW w:w="931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 10001</w:t>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tcPr>
          <w:p>
            <w:pPr>
              <w:pStyle w:val="TableContents"/>
              <w:bidi w:val="0"/>
              <w:spacing w:before="0" w:after="283"/>
              <w:jc w:val="left"/>
              <w:rPr>
                <w:sz w:val="4"/>
                <w:szCs w:val="4"/>
              </w:rPr>
            </w:pPr>
            <w:r>
              <w:rPr>
                <w:sz w:val="4"/>
                <w:szCs w:val="4"/>
              </w:rPr>
            </w:r>
          </w:p>
        </w:tc>
      </w:tr>
      <w:tr>
        <w:trPr/>
        <w:tc>
          <w:tcPr>
            <w:tcW w:w="93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212</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243-2769</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w:t>
      </w:r>
    </w:p>
    <w:tbl>
      <w:tblPr>
        <w:tblW w:w="9269" w:type="dxa"/>
        <w:jc w:val="center"/>
        <w:tblInd w:w="0" w:type="dxa"/>
        <w:tblLayout w:type="fixed"/>
        <w:tblCellMar>
          <w:top w:w="28" w:type="dxa"/>
          <w:left w:w="28" w:type="dxa"/>
          <w:bottom w:w="28" w:type="dxa"/>
          <w:right w:w="28" w:type="dxa"/>
        </w:tblCellMar>
      </w:tblPr>
      <w:tblGrid>
        <w:gridCol w:w="1430"/>
        <w:gridCol w:w="1257"/>
        <w:gridCol w:w="1257"/>
        <w:gridCol w:w="540"/>
        <w:gridCol w:w="540"/>
        <w:gridCol w:w="540"/>
        <w:gridCol w:w="1085"/>
        <w:gridCol w:w="1085"/>
        <w:gridCol w:w="1535"/>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9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$0.00001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MGNI</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r>
        <w:trPr/>
        <w:tc>
          <w:tcPr>
            <w:tcW w:w="9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w:t>
      </w:r>
      <w:r>
        <w:rPr>
          <w:rFonts w:ascii="Times New Roman;serif" w:hAnsi="Times New Roman;serif"/>
          <w:b/>
          <w:color w:val="000000"/>
          <w:sz w:val="20"/>
        </w:rPr>
        <w:t>__________________</w:t>
      </w:r>
    </w:p>
    <w:p>
      <w:pPr>
        <w:pStyle w:val="TextBody"/>
        <w:bidi w:val="0"/>
        <w:spacing w:lineRule="auto" w:line="288" w:before="0" w:after="100"/>
        <w:jc w:val="both"/>
        <w:rPr/>
      </w:pPr>
      <w:r>
        <w:rPr>
          <w:rFonts w:ascii="Times New Roman;serif" w:hAnsi="Times New Roman;serif"/>
          <w:b w:val="false"/>
          <w:color w:val="000000"/>
          <w:sz w:val="20"/>
        </w:rPr>
        <w:t xml:space="preserve">Indicate by check mark if the registrant is a well-known seasoned issuer, as defined in Rule 405 of the Securities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p>
    <w:p>
      <w:pPr>
        <w:pStyle w:val="TextBody"/>
        <w:bidi w:val="0"/>
        <w:spacing w:lineRule="auto" w:line="288" w:before="0" w:after="100"/>
        <w:jc w:val="both"/>
        <w:rPr/>
      </w:pPr>
      <w:r>
        <w:rPr>
          <w:rFonts w:ascii="Times New Roman;serif" w:hAnsi="Times New Roman;serif"/>
          <w:b w:val="false"/>
          <w:color w:val="000000"/>
          <w:sz w:val="20"/>
        </w:rPr>
        <w:t xml:space="preserve">Indicate by check mark if the registrant is not required to file reports pursuant to Section 13 or Section 15(d) of the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 xml:space="preserve">No </w:t>
      </w:r>
    </w:p>
    <w:p>
      <w:pPr>
        <w:pStyle w:val="TextBody"/>
        <w:bidi w:val="0"/>
        <w:spacing w:lineRule="auto" w:line="288" w:before="0" w:after="10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p>
    <w:p>
      <w:pPr>
        <w:pStyle w:val="TextBody"/>
        <w:bidi w:val="0"/>
        <w:spacing w:lineRule="auto" w:line="288" w:before="0" w:after="10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00"/>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100"/>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100"/>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100"/>
        <w:jc w:val="left"/>
        <w:rPr/>
      </w:pPr>
      <w:r>
        <w:rPr>
          <w:rFonts w:ascii="Times New Roman;serif" w:hAnsi="Times New Roman;serif"/>
          <w:b w:val="false"/>
          <w:color w:val="000000"/>
          <w:sz w:val="20"/>
        </w:rPr>
        <w:t xml:space="preserve">Indicate by check mark whether the registrant is a shell company (as defined in Rule 12b-2 of the Act).   </w:t>
      </w:r>
      <w:r>
        <w:rPr>
          <w:color w:val="000000"/>
        </w:rPr>
        <w:t xml:space="preserve">☐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 aggregate market value of shares held by non-affiliates of the registrant (based on the closing sales price of such shares on the Nasdaq Global Select Market on June 30, 2025) was approximately $2,045,628,555. </w:t>
      </w:r>
    </w:p>
    <w:p>
      <w:pPr>
        <w:pStyle w:val="TextBody"/>
        <w:bidi w:val="0"/>
        <w:spacing w:lineRule="auto" w:line="288" w:before="0" w:after="34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registrant's classes of common stock, as of the latest practicable date.</w:t>
      </w:r>
    </w:p>
    <w:tbl>
      <w:tblPr>
        <w:tblW w:w="6431" w:type="dxa"/>
        <w:jc w:val="center"/>
        <w:tblInd w:w="0" w:type="dxa"/>
        <w:tblLayout w:type="fixed"/>
        <w:tblCellMar>
          <w:top w:w="28" w:type="dxa"/>
          <w:left w:w="28" w:type="dxa"/>
          <w:bottom w:w="28" w:type="dxa"/>
          <w:right w:w="28" w:type="dxa"/>
        </w:tblCellMar>
      </w:tblPr>
      <w:tblGrid>
        <w:gridCol w:w="1134"/>
        <w:gridCol w:w="995"/>
        <w:gridCol w:w="1005"/>
        <w:gridCol w:w="109"/>
        <w:gridCol w:w="109"/>
        <w:gridCol w:w="109"/>
        <w:gridCol w:w="868"/>
        <w:gridCol w:w="868"/>
        <w:gridCol w:w="1234"/>
      </w:tblGrid>
      <w:tr>
        <w:trPr/>
        <w:tc>
          <w:tcPr>
            <w:tcW w:w="11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as of February 19, 2026</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144,364,365</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DOCUMENTS INCORPORATED BY REFERENCE: To the extent herein specifically referenced in Part III, portions of the Registrant's definitive Proxy Statement for the 2026 Annual General Meeting of Shareholders to be filed with the Securities and Exchange Commission pursuant to Regulation 14A. See 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975"/>
        <w:gridCol w:w="812"/>
        <w:gridCol w:w="812"/>
        <w:gridCol w:w="2440"/>
        <w:gridCol w:w="2288"/>
        <w:gridCol w:w="2334"/>
        <w:gridCol w:w="158"/>
        <w:gridCol w:w="158"/>
        <w:gridCol w:w="228"/>
      </w:tblGrid>
      <w:tr>
        <w:trPr/>
        <w:tc>
          <w:tcPr>
            <w:tcW w:w="97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br/>
              <w:t>No.</w:t>
            </w:r>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10">
              <w:r>
                <w:rPr>
                  <w:rStyle w:val="InternetLink"/>
                  <w:rFonts w:ascii="Times New Roman;serif" w:hAnsi="Times New Roman;serif"/>
                  <w:b w:val="false"/>
                  <w:color w:val="0000FF"/>
                  <w:sz w:val="20"/>
                  <w:u w:val="single"/>
                </w:rPr>
                <w:t>Special Note About Forward-Looking Statements; Summary of 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10">
              <w:r>
                <w:rPr>
                  <w:rStyle w:val="InternetLink"/>
                  <w:rFonts w:ascii="Times New Roman;serif" w:hAnsi="Times New Roman;serif"/>
                  <w:b w:val="false"/>
                  <w:color w:val="0000FF"/>
                  <w:sz w:val="20"/>
                  <w:u w:val="single"/>
                </w:rPr>
                <w:t>3</w:t>
              </w:r>
            </w:hyperlink>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16">
              <w:r>
                <w:rPr>
                  <w:rStyle w:val="InternetLink"/>
                  <w:rFonts w:ascii="Times New Roman;serif" w:hAnsi="Times New Roman;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16">
              <w:r>
                <w:rPr>
                  <w:rStyle w:val="InternetLink"/>
                  <w:rFonts w:ascii="Times New Roman;serif" w:hAnsi="Times New Roman;serif"/>
                  <w:b w:val="false"/>
                  <w:color w:val="0000FF"/>
                  <w:sz w:val="20"/>
                  <w:u w:val="single"/>
                </w:rPr>
                <w:t>6</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19">
              <w:r>
                <w:rPr>
                  <w:rStyle w:val="InternetLink"/>
                  <w:rFonts w:ascii="Times New Roman;serif" w:hAnsi="Times New Roman;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19">
              <w:r>
                <w:rPr>
                  <w:rStyle w:val="InternetLink"/>
                  <w:rFonts w:ascii="Times New Roman;serif" w:hAnsi="Times New Roman;serif"/>
                  <w:b w:val="false"/>
                  <w:color w:val="0000FF"/>
                  <w:sz w:val="20"/>
                  <w:u w:val="single"/>
                </w:rPr>
                <w:t>15</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2">
              <w:r>
                <w:rPr>
                  <w:rStyle w:val="InternetLink"/>
                  <w:rFonts w:ascii="Times New Roman;serif" w:hAnsi="Times New Roman;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2">
              <w:r>
                <w:rPr>
                  <w:rStyle w:val="InternetLink"/>
                  <w:rFonts w:ascii="Times New Roman;serif" w:hAnsi="Times New Roman;serif"/>
                  <w:b w:val="false"/>
                  <w:color w:val="0000FF"/>
                  <w:sz w:val="20"/>
                  <w:u w:val="single"/>
                </w:rPr>
                <w:t>38</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5">
              <w:r>
                <w:rPr>
                  <w:rStyle w:val="InternetLink"/>
                  <w:rFonts w:ascii="Times New Roman;serif" w:hAnsi="Times New Roman;serif"/>
                  <w:b w:val="false"/>
                  <w:color w:val="0000FF"/>
                  <w:sz w:val="20"/>
                  <w:u w:val="single"/>
                </w:rPr>
                <w:t>Cybersecurity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5">
              <w:r>
                <w:rPr>
                  <w:rStyle w:val="InternetLink"/>
                  <w:rFonts w:ascii="Times New Roman;serif" w:hAnsi="Times New Roman;serif"/>
                  <w:b w:val="false"/>
                  <w:color w:val="0000FF"/>
                  <w:sz w:val="20"/>
                  <w:u w:val="single"/>
                </w:rPr>
                <w:t>39</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8">
              <w:r>
                <w:rPr>
                  <w:rStyle w:val="InternetLink"/>
                  <w:rFonts w:ascii="Times New Roman;serif" w:hAnsi="Times New Roman;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8">
              <w:r>
                <w:rPr>
                  <w:rStyle w:val="InternetLink"/>
                  <w:rFonts w:ascii="Times New Roman;serif" w:hAnsi="Times New Roman;serif"/>
                  <w:b w:val="false"/>
                  <w:color w:val="0000FF"/>
                  <w:sz w:val="20"/>
                  <w:u w:val="single"/>
                </w:rPr>
                <w:t>41</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31">
              <w:r>
                <w:rPr>
                  <w:rStyle w:val="InternetLink"/>
                  <w:rFonts w:ascii="Times New Roman;serif" w:hAnsi="Times New Roman;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31">
              <w:r>
                <w:rPr>
                  <w:rStyle w:val="InternetLink"/>
                  <w:rFonts w:ascii="Times New Roman;serif" w:hAnsi="Times New Roman;serif"/>
                  <w:b w:val="false"/>
                  <w:color w:val="0000FF"/>
                  <w:sz w:val="20"/>
                  <w:u w:val="single"/>
                </w:rPr>
                <w:t>41</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34">
              <w:r>
                <w:rPr>
                  <w:rStyle w:val="InternetLink"/>
                  <w:rFonts w:ascii="Times New Roman;serif" w:hAnsi="Times New Roman;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34">
              <w:r>
                <w:rPr>
                  <w:rStyle w:val="InternetLink"/>
                  <w:rFonts w:ascii="Times New Roman;serif" w:hAnsi="Times New Roman;serif"/>
                  <w:b w:val="false"/>
                  <w:color w:val="0000FF"/>
                  <w:sz w:val="20"/>
                  <w:u w:val="single"/>
                </w:rPr>
                <w:t>41</w:t>
              </w:r>
            </w:hyperlink>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40">
              <w:r>
                <w:rPr>
                  <w:rStyle w:val="InternetLink"/>
                  <w:rFonts w:ascii="Times New Roman;serif" w:hAnsi="Times New Roman;serif"/>
                  <w:b w:val="false"/>
                  <w:color w:val="0000FF"/>
                  <w:sz w:val="20"/>
                  <w:u w:val="single"/>
                </w:rPr>
                <w:t>42</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43">
              <w:r>
                <w:rPr>
                  <w:rStyle w:val="InternetLink"/>
                  <w:rFonts w:ascii="Times New Roman;serif" w:hAnsi="Times New Roman;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43">
              <w:r>
                <w:rPr>
                  <w:rStyle w:val="InternetLink"/>
                  <w:rFonts w:ascii="Times New Roman;serif" w:hAnsi="Times New Roman;serif"/>
                  <w:b w:val="false"/>
                  <w:color w:val="0000FF"/>
                  <w:sz w:val="20"/>
                  <w:u w:val="single"/>
                </w:rPr>
                <w:t>43</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46">
              <w:r>
                <w:rPr>
                  <w:rStyle w:val="InternetLink"/>
                  <w:rFonts w:ascii="Times New Roman;serif" w:hAnsi="Times New Roman;serif"/>
                  <w:b w:val="false"/>
                  <w:color w:val="0000FF"/>
                  <w:sz w:val="20"/>
                  <w:u w:val="single"/>
                </w:rPr>
                <w:t>44</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76">
              <w:r>
                <w:rPr>
                  <w:rStyle w:val="InternetLink"/>
                  <w:rFonts w:ascii="Times New Roman;serif" w:hAnsi="Times New Roman;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76">
              <w:r>
                <w:rPr>
                  <w:rStyle w:val="InternetLink"/>
                  <w:rFonts w:ascii="Times New Roman;serif" w:hAnsi="Times New Roman;serif"/>
                  <w:b w:val="false"/>
                  <w:color w:val="0000FF"/>
                  <w:sz w:val="20"/>
                  <w:u w:val="single"/>
                </w:rPr>
                <w:t>59</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79">
              <w:r>
                <w:rPr>
                  <w:rStyle w:val="InternetLink"/>
                  <w:rFonts w:ascii="Times New Roman;serif" w:hAnsi="Times New Roman;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79">
              <w:r>
                <w:rPr>
                  <w:rStyle w:val="InternetLink"/>
                  <w:rFonts w:ascii="Times New Roman;serif" w:hAnsi="Times New Roman;serif"/>
                  <w:b w:val="false"/>
                  <w:color w:val="0000FF"/>
                  <w:sz w:val="20"/>
                  <w:u w:val="single"/>
                </w:rPr>
                <w:t>61</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181">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181">
              <w:r>
                <w:rPr>
                  <w:rStyle w:val="InternetLink"/>
                  <w:rFonts w:ascii="Times New Roman;serif" w:hAnsi="Times New Roman;serif"/>
                  <w:b w:val="false"/>
                  <w:color w:val="0000FF"/>
                  <w:sz w:val="20"/>
                  <w:u w:val="single"/>
                </w:rPr>
                <w:t>103</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184">
              <w:r>
                <w:rPr>
                  <w:rStyle w:val="InternetLink"/>
                  <w:rFonts w:ascii="Times New Roman;serif" w:hAnsi="Times New Roman;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184">
              <w:r>
                <w:rPr>
                  <w:rStyle w:val="InternetLink"/>
                  <w:rFonts w:ascii="Times New Roman;serif" w:hAnsi="Times New Roman;serif"/>
                  <w:b w:val="false"/>
                  <w:color w:val="0000FF"/>
                  <w:sz w:val="20"/>
                  <w:u w:val="single"/>
                </w:rPr>
                <w:t>103</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190">
              <w:r>
                <w:rPr>
                  <w:rStyle w:val="InternetLink"/>
                  <w:rFonts w:ascii="Times New Roman;serif" w:hAnsi="Times New Roman;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190">
              <w:r>
                <w:rPr>
                  <w:rStyle w:val="InternetLink"/>
                  <w:rFonts w:ascii="Times New Roman;serif" w:hAnsi="Times New Roman;serif"/>
                  <w:b w:val="false"/>
                  <w:color w:val="0000FF"/>
                  <w:sz w:val="20"/>
                  <w:u w:val="single"/>
                </w:rPr>
                <w:t>105</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196">
              <w:r>
                <w:rPr>
                  <w:rStyle w:val="InternetLink"/>
                  <w:rFonts w:ascii="Times New Roman;serif" w:hAnsi="Times New Roman;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196">
              <w:r>
                <w:rPr>
                  <w:rStyle w:val="InternetLink"/>
                  <w:rFonts w:ascii="Times New Roman;serif" w:hAnsi="Times New Roman;serif"/>
                  <w:b w:val="false"/>
                  <w:color w:val="0000FF"/>
                  <w:sz w:val="20"/>
                  <w:u w:val="single"/>
                </w:rPr>
                <w:t>105</w:t>
              </w:r>
            </w:hyperlink>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02">
              <w:r>
                <w:rPr>
                  <w:rStyle w:val="InternetLink"/>
                  <w:rFonts w:ascii="Times New Roman;serif" w:hAnsi="Times New Roman;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02">
              <w:r>
                <w:rPr>
                  <w:rStyle w:val="InternetLink"/>
                  <w:rFonts w:ascii="Times New Roman;serif" w:hAnsi="Times New Roman;serif"/>
                  <w:b w:val="false"/>
                  <w:color w:val="0000FF"/>
                  <w:sz w:val="20"/>
                  <w:u w:val="single"/>
                </w:rPr>
                <w:t>105</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05">
              <w:r>
                <w:rPr>
                  <w:rStyle w:val="InternetLink"/>
                  <w:rFonts w:ascii="Times New Roman;serif" w:hAnsi="Times New Roman;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05">
              <w:r>
                <w:rPr>
                  <w:rStyle w:val="InternetLink"/>
                  <w:rFonts w:ascii="Times New Roman;serif" w:hAnsi="Times New Roman;serif"/>
                  <w:b w:val="false"/>
                  <w:color w:val="0000FF"/>
                  <w:sz w:val="20"/>
                  <w:u w:val="single"/>
                </w:rPr>
                <w:t>105</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08">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08">
              <w:r>
                <w:rPr>
                  <w:rStyle w:val="InternetLink"/>
                  <w:rFonts w:ascii="Times New Roman;serif" w:hAnsi="Times New Roman;serif"/>
                  <w:b w:val="false"/>
                  <w:color w:val="0000FF"/>
                  <w:sz w:val="20"/>
                  <w:u w:val="single"/>
                </w:rPr>
                <w:t>106</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11">
              <w:r>
                <w:rPr>
                  <w:rStyle w:val="InternetLink"/>
                  <w:rFonts w:ascii="Times New Roman;serif" w:hAnsi="Times New Roman;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11">
              <w:r>
                <w:rPr>
                  <w:rStyle w:val="InternetLink"/>
                  <w:rFonts w:ascii="Times New Roman;serif" w:hAnsi="Times New Roman;serif"/>
                  <w:b w:val="false"/>
                  <w:color w:val="0000FF"/>
                  <w:sz w:val="20"/>
                  <w:u w:val="single"/>
                </w:rPr>
                <w:t>106</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14">
              <w:r>
                <w:rPr>
                  <w:rStyle w:val="InternetLink"/>
                  <w:rFonts w:ascii="Times New Roman;serif" w:hAnsi="Times New Roman;serif"/>
                  <w:b w:val="false"/>
                  <w:color w:val="0000FF"/>
                  <w:sz w:val="20"/>
                  <w:u w:val="single"/>
                </w:rPr>
                <w:t>Principal Accountant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14">
              <w:r>
                <w:rPr>
                  <w:rStyle w:val="InternetLink"/>
                  <w:rFonts w:ascii="Times New Roman;serif" w:hAnsi="Times New Roman;serif"/>
                  <w:b w:val="false"/>
                  <w:color w:val="0000FF"/>
                  <w:sz w:val="20"/>
                  <w:u w:val="single"/>
                </w:rPr>
                <w:t>106</w:t>
              </w:r>
            </w:hyperlink>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20">
              <w:r>
                <w:rPr>
                  <w:rStyle w:val="InternetLink"/>
                  <w:rFonts w:ascii="Times New Roman;serif" w:hAnsi="Times New Roman;serif"/>
                  <w:b w:val="false"/>
                  <w:color w:val="0000FF"/>
                  <w:sz w:val="20"/>
                  <w:u w:val="single"/>
                </w:rPr>
                <w:t>Exhibits,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20">
              <w:r>
                <w:rPr>
                  <w:rStyle w:val="InternetLink"/>
                  <w:rFonts w:ascii="Times New Roman;serif" w:hAnsi="Times New Roman;serif"/>
                  <w:b w:val="false"/>
                  <w:color w:val="0000FF"/>
                  <w:sz w:val="20"/>
                  <w:u w:val="single"/>
                </w:rPr>
                <w:t>107</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7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23">
              <w:r>
                <w:rPr>
                  <w:rStyle w:val="InternetLink"/>
                  <w:rFonts w:ascii="Times New Roman;serif" w:hAnsi="Times New Roman;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23">
              <w:r>
                <w:rPr>
                  <w:rStyle w:val="InternetLink"/>
                  <w:rFonts w:ascii="Times New Roman;serif" w:hAnsi="Times New Roman;serif"/>
                  <w:b w:val="false"/>
                  <w:color w:val="0000FF"/>
                  <w:sz w:val="20"/>
                  <w:u w:val="single"/>
                </w:rPr>
                <w:t>110</w:t>
              </w:r>
            </w:hyperlink>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1ef861df1481aa4bd57727cfc861b_226">
              <w:r>
                <w:rPr>
                  <w:rStyle w:val="InternetLink"/>
                  <w:rFonts w:ascii="Times New Roman;serif" w:hAnsi="Times New Roman;serif"/>
                  <w:b w:val="false"/>
                  <w:color w:val="0000FF"/>
                  <w:sz w:val="20"/>
                  <w:u w:val="single"/>
                </w:rPr>
                <w:t>Signatures</w:t>
              </w:r>
            </w:hyperlink>
          </w:p>
        </w:tc>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226">
              <w:r>
                <w:rPr>
                  <w:rStyle w:val="InternetLink"/>
                  <w:rFonts w:ascii="Times New Roman;serif" w:hAnsi="Times New Roman;serif"/>
                  <w:b w:val="false"/>
                  <w:color w:val="0000FF"/>
                  <w:sz w:val="20"/>
                  <w:u w:val="single"/>
                </w:rPr>
                <w:t>111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 xml:space="preserve">SPECIAL NOTE ABOUT FORWARD-LOOKING STATEMENTS; SUMMARY OF RISK FACTORS </w:t>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Annual Report on Form 10-K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macroeconomic conditions or concerns related thereto; the growth of ad-supported programmatic connected television ("CTV"); our ability to use and collect data to provide our offerings; the scope and duration of client relationships; the fees we may charge in the future; key strategic objectives; anticipated benefits of new offerings; business mix; sales growth; benefits from supply path optimization; our ability to adapt to advancements in artificial intelligence ("AI"); the development of identity solutions; client utilization of our offerings; the impact of requests for discounts, rebates, or other fee concessions; our competitive differentiation; our market share and leadership position in the industry; market conditions, trends, and opportunities; the effects of regulatory developments or antitrust rulings on competitive dynamics in our industry; our litigation against Google LLC, or the anticipated benefits thereof;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Risks that our business faces include, but are not limited to, the following:</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the impact of macroeconomic challenges on the overall demand for advertising and the advertising marketplace;</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we operate in an intensely competitive market that includes companies that have greater financial, technical and marketing resources than we do;</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the freedom of buyers and sellers to direct their spending and inventory to competing sources of inventory and demand, and to establish direct relationships and integrations without the use of our platform;</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CTV spend on our platform may grow more slowly than we expect, growth may occur disproportionately through platforms or applications that we cannot access, or we may not be able to maintain or increase access to advertising inventory;</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CTV sellers may not adopt or may be slow to adopt programmatic solutions that transact in biddable auction environments;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we may not be able to maintain or increase access to the CTV advertising inventory monetized through our platform on terms acceptable to us;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advancements in AI have and are likely to continue to lead to a decrease in search referral traffic for open web display publishers, which in turn may result in decrease in the amount of web display inventory monetized through our platforms;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AI may significantly affect the competitive dynamics of our industry, we may fail to effectively build AI features into our platform, and we may be ineffective in using AI to realize internal efficiencies;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the regulatory landscape governing AI is still developing, and our use of third party AI tools may result in increased legal and regulatory scrutiny, litigation, and reputational harm;</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we may be unsuccessful in our supply path optimization efforts with buyers;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our ability to introduce new offerings and bring them to market in a timely manner, and potential responses or reactions of clients, vendors, and competitors to the announcement of new products and offerings;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ability to increase the scale and efficiency of our technology infrastructure to support our growth, including in response to header bidding and other advancements in technology;</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access to mobile inventory may be limited by third-party technology or lack of direct relationships with mobile sellers;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the impact of requests for discounts, fee concessions, rebates, refunds or favorable payment terms;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we may experience lower take rates, which may not be offset by increases in ad spend;</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we may be unable to achieve sustained profitability in the future;</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business may be subject to sales and use tax, value-added/goods and services, advertising, digital services, withholding and other taxes;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operating results may fluctuate, be difficult to predict, and fall below analysts' and investors' expectations as a result of seasonal trends, consolidation in our industry, our ability to differentiate our offerings and compete effectively to combat disintermediation, and other factors;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ability to realize the anticipated benefits of any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ability to provide value to both buyers and sellers of advertising without being perceived as favoring one over the other or being perceived as competing with them through our service offerings;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reliance on large sources of advertising demand, including demand side platforms ("DSPs") that may have or develop high-risk credit profiles or fail to pay invoices when due;</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failure by us or our clients to meet advertising and inventory content standards;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sales efforts may require significant time and expense and may not yield the results we seek;</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we may be exposed to claims from clients for breach of contract;</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reliance on third-party open source software components;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potential limitations on our ability to collect or use data as a result of consumer tools, regulatory restrictions and technological limitations;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the deprecation of third-party cookies and other identifiers, and the development of new targeting and identity solutions, may disrupt the programmatic ecosystem, cause reduced CPMs and fill rates, result in a shift of ad spend towards "walled gardens," require additional investment and resources, and cause the overall performance of our platform to decline;</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the industry may not adopt or may be slow to adopt the use of first-party publisher segments as an alternative to third-party cookies;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the impact of antitrust regulations or enforcement actions targeting the digital advertising ecosystem;</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ability to comply with, and the effect on our business of, evolving legal standards and regulations, particularly concerning data protection and privacy and evolving corporate governance and public disclosure regulations and expectations;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ramifications of our litigation with Google LLC;</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errors or failures in the operation of our solution, interruptions in our access to network infrastructure or data, and breaches of our computer systems including as a result of cyber security incidents;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ability to ensure a high level of brand safety for our clients and to detect "bot" traffic and other fraudulent or malicious activity;</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ability to attract and retain qualified employees and key personnel;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costs associated with enforcing our intellectual property rights;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 xml:space="preserve">our ability to comply with the terms of our financing arrangements;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restrictions in our Credit Agreement may limit our ability to make strategic investments, respond to changing market conditions, or otherwise operate our business;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increases in our debt leverage may put us at greater risk of defaulting on our debt obligations, subject us to additional operating restrictions and make it more difficult to obtain future financing on favorable terms;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conversion of our Convertible Senior Notes would dilute the ownership interest of existing stockholders;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the Capped Call Transactions subject us to counterparty risk and may affect the value of the Convertible Senior Notes and our common stock;</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the conditional conversion feature of the Convertible Senior Notes, if triggered, may adversely affect our financial condition and operating result;</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failure to successfully execute our international growth plans;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failure to maintain an effective system of internal control over financial reporting, which could adversely affect investor confidence;</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the use of our net operating losses and tax credit carryforwards may be subject to certain limitations;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our ability to raise additional capital if needed;</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volatility in the price of our common stock;</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the impact of our repurchase program on our stock price and cash reserves; and</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i/>
          <w:color w:val="000000"/>
          <w:sz w:val="20"/>
        </w:rPr>
        <w:t>provisions of our charter documents and Delaware law may inhibit a potential acquisition of the company and limit the ability of stockholders to cause changes in company management.</w:t>
      </w:r>
    </w:p>
    <w:p>
      <w:pPr>
        <w:pStyle w:val="TextBody"/>
        <w:bidi w:val="0"/>
        <w:spacing w:lineRule="auto" w:line="276"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76" w:before="100" w:after="100"/>
        <w:jc w:val="left"/>
        <w:rPr>
          <w:rFonts w:ascii="Times New Roman;serif" w:hAnsi="Times New Roman;serif"/>
          <w:b w:val="false"/>
          <w:i/>
          <w:color w:val="000000"/>
          <w:sz w:val="20"/>
        </w:rPr>
      </w:pPr>
      <w:r>
        <w:rPr>
          <w:rFonts w:ascii="Times New Roman;serif" w:hAnsi="Times New Roman;serif"/>
          <w:b w:val="false"/>
          <w:i/>
          <w:color w:val="000000"/>
          <w:sz w:val="20"/>
        </w:rPr>
        <w:t xml:space="preserve">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 </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Investors should read this Annual Report on Form 10-K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pStyle w:val="TextBody"/>
        <w:bidi w:val="0"/>
        <w:spacing w:lineRule="auto" w:line="417"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NOTE REGARDING THIRD-PARTY INFORMATION</w:t>
      </w:r>
    </w:p>
    <w:p>
      <w:pPr>
        <w:pStyle w:val="TextBody"/>
        <w:bidi w:val="0"/>
        <w:spacing w:lineRule="auto" w:line="288" w:before="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Annual Report on Form 10-K includes data that we obtained from industry publications and third-party research, surveys and studies.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"Item 1A. Risk Factors" in this Annual Report on Form 10-K. These and other factors could cause results to differ materially from those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Magnite, Inc., ("we," or "us"), provides technology solutions to automate the purchase and sale of digital advertising inventory.</w:t>
      </w:r>
    </w:p>
    <w:p>
      <w:pPr>
        <w:pStyle w:val="TextBody"/>
        <w:bidi w:val="0"/>
        <w:spacing w:lineRule="auto" w:line="288" w:before="100" w:after="100"/>
        <w:ind w:left="0" w:right="0" w:firstLine="720"/>
        <w:jc w:val="left"/>
        <w:rPr/>
      </w:pPr>
      <w:r>
        <w:rPr>
          <w:rFonts w:ascii="Times New Roman;serif" w:hAnsi="Times New Roman;serif"/>
          <w:b w:val="false"/>
          <w:color w:val="000000"/>
          <w:sz w:val="20"/>
        </w:rPr>
        <w:t xml:space="preserve">We believe that we are the world's largest independent omni-channel sell-side advertising platform ("SSP"), offering a single partner for transacting globally across all channels, formats and auction types, and </w:t>
      </w:r>
      <w:r>
        <w:rPr>
          <w:rFonts w:ascii="Times New Roman;serif" w:hAnsi="Times New Roman;serif"/>
          <w:b w:val="false"/>
          <w:color w:val="000000"/>
          <w:sz w:val="20"/>
          <w:shd w:fill="FFFFFF" w:val="clear"/>
        </w:rPr>
        <w:t xml:space="preserve">the largest independent programmatic CTV marketplace, making </w:t>
      </w:r>
      <w:r>
        <w:rPr>
          <w:rFonts w:ascii="Times New Roman;serif" w:hAnsi="Times New Roman;serif"/>
          <w:b w:val="false"/>
          <w:color w:val="000000"/>
          <w:sz w:val="20"/>
        </w:rPr>
        <w:t>it easier for buyers to reach CTV audiences at scale from industry-leading streaming content providers, broadcasters, platforms and device manufacturers.</w:t>
      </w:r>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SpringServe CTV platform offers CTV sellers a holistic solution to manage and monetize their entire portfolio of CTV ad inventory, across both programmatic and direct-sold video inventory. We provide sellers with a full suite of tools to protect the consumer viewing experience and brand safety expectations, while increasing revenue opportunities, including tools for mediation and yield optimization, forecasting tools, customized ad experiences and ad formats, and advanced podding logic. These tools are particularly important to CTV sellers who need to provide a TV-like viewing and advertising experience for consumers. For instance, our ad-pod feature provides publishers with a tool analogous to commercial breaks in traditional linear television so that they can request and manage several ads at once from different demand sources. Other tools we offer include audio normalization tools to control for the volume of an ad relative to content, frequency capping to avoid exposing viewers to repetitive ad placements, and creative review so that a publisher can review and approve the ad units being served to its properties.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Buyers leverage our platform to reach their target audiences across thousands of sellers in a premium brand-safe environment. We offer a suite of tools designed to help buyers discover and curate inventory, simplify workflow and execute on their campaign objectives in a cost effective manner. For instance, our ClearLine product provides buyers with direct access to premium CTV inventory and integrated curation capabilities, enabling buyers to build custom deal packages that can be enriched with high-fidelity first-party or third-party data. We believe that our scale, platform features, and omni-channel offering makes us an essential partner for buyers.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Industry Trends</w:t>
      </w:r>
    </w:p>
    <w:p>
      <w:pPr>
        <w:pStyle w:val="TextBody"/>
        <w:bidi w:val="0"/>
        <w:spacing w:lineRule="auto" w:line="288" w:before="100" w:after="100"/>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Continued Shift Toward Digital Advertising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Automation of Buying and Selling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transactions include biddable auctions, where multiple buyers bid against each other in a real-time auction for the right to purchase a publisher's inventory, as well as reserve auctions, where publishers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establish direct deals or private marketplaces with select buyers. These reserve auctions may also be “guaranteed,” where a buyer has negotiated a pre-established price and volume with a seller, otherwise referred to as "programmatic guaranteed."</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Convergence of TV and Digital</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CTV viewership is growing rapidly and the pace of adoption is accelerating the transition of linear television to CTV programming. Initially, many streaming services were subscription based, but as the market has matured, the largest streaming publishers have adopted ad-supported models or hybrid models that rely on a combination of subscription fees and advertising. With the proliferation of CTV advertising inventory, we believe that brand advertisers looking to engage with streaming viewers will continue to shift their budgets from linear to CTV. Moreover, we believe that as the amount of CTV inventory continues to scale, it will become increasingly more accessible to small and medium sized businesses, many of whom have no experience advertising on linear TV. This transition is likely to be accelerated by advancements in AI, which have simplified the process and reduced the cost of producing TV-ready ad creatives. As the advertiser base for CTV expands and diversifies, we believe CTV sellers will make a greater percentage of inventory available through biddable auction environments with multiple buyers rather than programmatic guaranteed. We believe that this shift, if it were to occur, would likely be beneficial to our CTV growth as biddable transactions tend to require a higher level of service and therefore carry a higher take-rate compared to reserve auctions.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and plan to continue to make significant investments in technology, sales and support related to our CTV growth initiatives, and believe CTV will be a significant driver of our revenue growth for the foreseeable future. In April 2025, we announced the introduction of our next generation SpringServe CTV platform. The new SpringServe platform combines the features and functionalities of our streaming SSP and ad server to provide a more efficient connection for buyers to premium CTV supply, while offering powerful mediation tools and streamlined workflow for sellers through a single user interface.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Identity Solutions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One of the advantages of programmatic advertising is that it enables more precise audience targeting, which is generally more effective and valuable for buyers than other types of advertising, resulting in better performance for buyers and more revenue for sellers. Historically, in desktop and mobile, one of the primary methods for delivering targeted advertisements was through the use of third-party cookies. However, in recent years the use of third-party cookies and other tracking technologies that collect user information have come under greater scrutiny due to privacy concerns, and a number of participants in the advertising technology ecosystem have taken steps to eliminate or restrict the use of these technologies.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long term, we believe that a decreased reliance on third-party cookies and other non-transparent tracking methods would be a positive for the industry, and offer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where third-party cookies do not exist, this identity model already largely exists with publishers more tightly controlling access to identifiers and user data, while offering proprietary first party data segments for reaching desired audiences.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scale and expertise in CTV position us well to take a leadership position in advancing this shift to a first-party identity model and creating additional value opportunities for our clients. Accordingly, we have invested and intend to further invest in the development and enhancement of industry leading identity and audience solutions, such as our Magnite Curator Marketplace, a self-service solution integrated within ClearLine. The Magnite Curator Marketplace allows the creation of custom deal packages for buyers that include curated pools of premium inventory that can be enriched with the curator's first-party or third-party data.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Supply Path Optimization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Supply Path Optimization ("SPO") refers to efforts by buyers to consolidate the number of vendors with which they work to find the most effective and cost-efficient paths to procure media.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SPO efforts with buyers are important because they allow us to build deeper relationships with buyers and potentially attract unique advertising demand, which, in turn, increase revenue opportunities for our seller clients. We typically enter into SPO agreements directly with agencies or agency holding companies, as well as brands and DSPs, which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provide for custom integrations, data flows or volume-based discounts. Under these SPO agreements, we may be designated as a preferred partner or otherwise enter into terms intended to increase the overall spend on our platform.</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we are well positioned to benefit from SPO in the long run as a result of our transparency, our broad and unique inventory supply across all channels and formats, buyer tools, such as our ClearLine product offering and buyer marketplaces, traffic filtering technology that reduces the cost of working with us, and brand safety measures.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Header Bidding and Data Processing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Header bidding is a programmatic technique by which sellers offer inventory to multiple ad exchanges and supply side platforms, such as our platform, simultaneously. Header bidding has been adopted in the desktop and mobile channels, largely as a counterweight to Google's dominance in the display ad server market. The adoption of header bidding in desktop and mobile display has created a number of challenges and technical complexities for both sellers and buyers, which require sophisticated tools to manage.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header bidding has led to a significant increase in the number of ad impressions to be processed and analyzed through our platform as well as by DSPs, which can lead to increased costs if not properly addressed. We continuously work to increase the operational efficiency of our platform, so as to enable buyers and sellers to achieve their campaign and monetization objectives in a cost-effective manner.</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CTV, solutions similar to header bidding that are geared towards increasing demand competition have largely been built directly within the ad server. For instance, our SpringServe CTV platform enables sellers to offer their inventory to multiple programmatic demand sources to compete in a unified auction.</w:t>
      </w:r>
    </w:p>
    <w:p>
      <w:pPr>
        <w:pStyle w:val="TextBody"/>
        <w:bidi w:val="0"/>
        <w:spacing w:before="100" w:after="100"/>
        <w:ind w:left="0" w:right="0" w:firstLine="720"/>
        <w:jc w:val="left"/>
        <w:rPr/>
      </w:pPr>
      <w:r>
        <w:rPr/>
      </w:r>
    </w:p>
    <w:p>
      <w:pPr>
        <w:pStyle w:val="TextBody"/>
        <w:bidi w:val="0"/>
        <w:spacing w:lineRule="auto" w:line="288" w:before="100" w:after="100"/>
        <w:jc w:val="left"/>
        <w:rPr/>
      </w:pPr>
      <w:r>
        <w:rPr>
          <w:rFonts w:ascii="Times New Roman;serif" w:hAnsi="Times New Roman;serif"/>
          <w:b/>
          <w:color w:val="000000"/>
          <w:sz w:val="20"/>
        </w:rPr>
        <w:t xml:space="preserve">Magnite: Competitive Strengths of Our Platform. </w:t>
      </w:r>
      <w:r>
        <w:rPr>
          <w:rFonts w:ascii="Times New Roman;serif" w:hAnsi="Times New Roman;serif"/>
          <w:b w:val="false"/>
          <w:color w:val="000000"/>
          <w:sz w:val="20"/>
        </w:rPr>
        <w:t>Key competitive strengths of our platform include: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Leadership in CTV</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Magnite SpringServe platform, which combines programmatic, ad serving, and mediation functionality, has been built to meet the unique requirements of CTV sellers and we have invested significant time and resources in cultivating relationships with these sellers through our specialized team of CTV experts.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CTV sellers have their roots in linear television and it is important that established business practices in television advertising can be translated to programmatic advertising. The tools we provide include ad podding for commercial breaks, dynamic ad insertion to serve live streaming events, audio normalization tools to control the volume of an ad relative to content, frequency capping to avoid exposing viewers to repetitive ad placements, and creative review so that a publisher can review and approve the ad units being served to its properties. In addition, SpringServe Home Screen Ads is an innovative feature that allows publishers to showcase custom creative and highlight content recommendations within streaming programming guides in any size and a wide variety of formats.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Scaled Omni-Channel Platform</w:t>
      </w:r>
    </w:p>
    <w:p>
      <w:pPr>
        <w:pStyle w:val="TextBody"/>
        <w:bidi w:val="0"/>
        <w:spacing w:lineRule="auto" w:line="288" w:before="100" w:after="100"/>
        <w:ind w:left="0" w:right="0" w:firstLine="720"/>
        <w:jc w:val="left"/>
        <w:rPr/>
      </w:pPr>
      <w:r>
        <w:rPr>
          <w:rFonts w:ascii="Times New Roman;serif" w:hAnsi="Times New Roman;serif"/>
          <w:b w:val="false"/>
          <w:color w:val="000000"/>
          <w:sz w:val="20"/>
        </w:rPr>
        <w:t xml:space="preserve">We offer a scaled omni-channel platform that brings value to both buyers and sellers of ad inventory. For buyers, we offer a </w:t>
      </w:r>
      <w:r>
        <w:rPr>
          <w:rFonts w:ascii="Times New Roman;serif" w:hAnsi="Times New Roman;serif"/>
          <w:b w:val="false"/>
          <w:color w:val="000000"/>
          <w:sz w:val="20"/>
          <w:shd w:fill="FFFFFF" w:val="clear"/>
        </w:rPr>
        <w:t>single omni-channel partner to reach target audiences globally acr</w:t>
      </w:r>
      <w:r>
        <w:rPr>
          <w:rFonts w:ascii="Times New Roman;serif" w:hAnsi="Times New Roman;serif"/>
          <w:b w:val="false"/>
          <w:color w:val="000000"/>
          <w:sz w:val="20"/>
        </w:rPr>
        <w:t>oss all channels, including CTV, mobile, and desktop,</w:t>
      </w:r>
      <w:r>
        <w:rPr>
          <w:color w:val="000000"/>
          <w:shd w:fill="FFFFFF" w:val="clear"/>
        </w:rPr>
        <w:t xml:space="preserve"> </w:t>
      </w:r>
      <w:r>
        <w:rPr>
          <w:rFonts w:ascii="Times New Roman;serif" w:hAnsi="Times New Roman;serif"/>
          <w:b w:val="false"/>
          <w:color w:val="000000"/>
          <w:sz w:val="20"/>
          <w:shd w:fill="FFFFFF" w:val="clear"/>
        </w:rPr>
        <w:t xml:space="preserve">and formats, including video, display, and audio. </w:t>
      </w:r>
      <w:r>
        <w:rPr>
          <w:rFonts w:ascii="Times New Roman;serif" w:hAnsi="Times New Roman;serif"/>
          <w:b w:val="false"/>
          <w:color w:val="000000"/>
          <w:sz w:val="20"/>
        </w:rPr>
        <w:t>For sellers, we partner as a one stop shop where they can sell digital advertising across all of their properties, regardless of device or format, and gain instant access to the world’s largest automated digital advertising buyers with the flexibility to sell their advertising inventory in an automated fashion on an impression-by-impression basis. We believe large numbers of diverse sellers on our platform attract more buyers and vice versa, resulting in a self-reinforcing network effect that adds value for all our clients and creates a stickier platform solution.</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Reserve Auctions and Deal Management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portion of premium inventory, in particular with respect to CTV, is purchased and sold through reserve auctions where the seller establishes a direct deal with a buyer or group of buyers. These transaction types allow the seller to maintain tighter control over their advertising allocation and are often used by sellers that maintain a direct sales force but still want to experience the benefits of automation to improve pricing, matching, and dynamic ad placement and to automate manual operations such as ad trafficking, quality assurance, and billing and collections. Our deal management and curation tools support sales functions rather than replacing them, which eliminates friction in the sales process.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Big Data Analytics and Machine-Learning Algorithms; Bid Filtering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core aspect of our value proposition is our big data and machine-learning platform, a subcategory of artificial intelligence, which is able to discover unique insights from our massive data repositories. Our systems collect and analyze a myriad of information such as historical clearing prices, bid responses, ad formats, user location, how many ads the user has seen, browser or device information, and sellers’ first party data about users. Our access to data puts us in a unique position to develop differentiated insights to help both buyers and sellers. Our solution utilizes artificial intelligence in order to constantly self-improve as we process more volume and accumulate more data, which in turn helps make our machine-learning algorithms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more intelligent and contributes to higher-quality matching between buyers and sellers. This data also fuels our bid filtering technology, allowing us to more aggressively block traffic that is not likely to monetize. We believe that our traffic optimization coupled with bid filtering improves return on investment for buyers and increases revenue for sellers, which in turn attracts more buyers and sellers to our platform creating a dual network effect that makes our platform stickier. These capabilities also help us manage the costs associated with the high volumes of ad requests we receive.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Identity Solutions</w:t>
      </w:r>
    </w:p>
    <w:p>
      <w:pPr>
        <w:pStyle w:val="TextBody"/>
        <w:bidi w:val="0"/>
        <w:spacing w:lineRule="auto" w:line="288" w:before="100" w:after="100"/>
        <w:ind w:left="0" w:right="0" w:firstLine="720"/>
        <w:jc w:val="left"/>
        <w:rPr/>
      </w:pPr>
      <w:r>
        <w:rPr>
          <w:rFonts w:ascii="Times New Roman;serif" w:hAnsi="Times New Roman;serif"/>
          <w:b w:val="false"/>
          <w:color w:val="000000"/>
          <w:sz w:val="20"/>
          <w:shd w:fill="FFFFFF" w:val="clear"/>
        </w:rPr>
        <w:t>We offer identity solutions that help buyers and sellers create better matches and increase advertising return on investment ("ROI") and the value of the underlying impression.</w:t>
      </w:r>
      <w:r>
        <w:rPr>
          <w:color w:val="000000"/>
        </w:rPr>
        <w:t xml:space="preserve"> </w:t>
      </w:r>
      <w:r>
        <w:rPr>
          <w:rFonts w:ascii="Times New Roman;serif" w:hAnsi="Times New Roman;serif"/>
          <w:b w:val="false"/>
          <w:color w:val="000000"/>
          <w:sz w:val="20"/>
          <w:shd w:fill="FFFFFF" w:val="clear"/>
        </w:rPr>
        <w:t>Our tools enable sellers to create audience segments based on first-party data, which makes their advertising inventory more valuable to buyers looking to achieve specific campaign goals.</w:t>
      </w:r>
      <w:r>
        <w:rPr>
          <w:color w:val="000000"/>
        </w:rPr>
        <w:t xml:space="preserve"> </w:t>
      </w:r>
      <w:r>
        <w:rPr>
          <w:rFonts w:ascii="Times New Roman;serif" w:hAnsi="Times New Roman;serif"/>
          <w:b w:val="false"/>
          <w:color w:val="000000"/>
          <w:sz w:val="20"/>
          <w:shd w:fill="FFFFFF" w:val="clear"/>
        </w:rPr>
        <w:t>In addition, our technology is integrated with a number of third-party data, attribution and identity vendors, allowing</w:t>
      </w:r>
      <w:r>
        <w:rPr>
          <w:color w:val="000000"/>
        </w:rPr>
        <w:t xml:space="preserve"> </w:t>
      </w:r>
      <w:r>
        <w:rPr>
          <w:rFonts w:ascii="Times New Roman;serif" w:hAnsi="Times New Roman;serif"/>
          <w:b w:val="false"/>
          <w:color w:val="000000"/>
          <w:sz w:val="20"/>
          <w:shd w:fill="FFFFFF" w:val="clear"/>
        </w:rPr>
        <w:t>buyers and sellers to leverage these solutions directly through our platform without the need for multiple vendor contracts. As described above, i</w:t>
      </w:r>
      <w:r>
        <w:rPr>
          <w:rFonts w:ascii="Times New Roman;serif" w:hAnsi="Times New Roman;serif"/>
          <w:b w:val="false"/>
          <w:color w:val="000000"/>
          <w:sz w:val="20"/>
        </w:rPr>
        <w:t>n 2025, we launched the Magnite Curator Marketplace, which allows for the creation of custom deal packag</w:t>
      </w:r>
      <w:r>
        <w:rPr>
          <w:rFonts w:ascii="Times New Roman;serif" w:hAnsi="Times New Roman;serif"/>
          <w:b w:val="false"/>
          <w:color w:val="000000"/>
          <w:sz w:val="20"/>
          <w:shd w:fill="FFFFFF" w:val="clear"/>
        </w:rPr>
        <w:t>es that can be enriched with first-party or third-party data.</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Header Bidding and Demand Manager Solutions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integrated with all of the major header-bidding standards for display inventory, including Prebid.org, which we co-founded, as well as the solutions offered by Google and Amazon. We believe the various header bidding alternatives we offer, our buyer reach and scale, our buying efficiency, and our machine-learning capabilities put us in a strong position to compete for seller impressions monetized through header-bidding solutions, and we expect these header bidding solutions to deliver a meaningful volume of impressions. We also provide a software solution called Demand Manager that helps desktop and mobile sellers manage all of their header-bidding advertising inventory. We believe that adoption and proliferation of these tools will further strengthen our relationship with sellers and contribute to our future revenue growth.</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Transparency and Controls</w:t>
      </w:r>
    </w:p>
    <w:p>
      <w:pPr>
        <w:pStyle w:val="TextBody"/>
        <w:bidi w:val="0"/>
        <w:spacing w:lineRule="auto" w:line="288" w:before="100" w:after="100"/>
        <w:ind w:left="0" w:right="0" w:firstLine="720"/>
        <w:jc w:val="left"/>
        <w:rPr/>
      </w:pPr>
      <w:r>
        <w:rPr>
          <w:rFonts w:ascii="Times New Roman;serif" w:hAnsi="Times New Roman;serif"/>
          <w:b w:val="false"/>
          <w:color w:val="000000"/>
          <w:sz w:val="20"/>
          <w:shd w:fill="FFFFFF" w:val="clear"/>
        </w:rPr>
        <w:t>We generate revenue each time an impression is monetized on our platform based on a simple and transparent fee structure established with our publisher</w:t>
      </w:r>
      <w:r>
        <w:rPr>
          <w:color w:val="000000"/>
        </w:rPr>
        <w:t xml:space="preserve"> </w:t>
      </w:r>
      <w:r>
        <w:rPr>
          <w:rFonts w:ascii="Times New Roman;serif" w:hAnsi="Times New Roman;serif"/>
          <w:b w:val="false"/>
          <w:color w:val="000000"/>
          <w:sz w:val="20"/>
          <w:shd w:fill="FFFFFF" w:val="clear"/>
        </w:rPr>
        <w:t>partners.</w:t>
      </w:r>
      <w:r>
        <w:rPr>
          <w:color w:val="000000"/>
        </w:rPr>
        <w:t xml:space="preserve"> </w:t>
      </w:r>
      <w:r>
        <w:rPr>
          <w:rFonts w:ascii="Times New Roman;serif" w:hAnsi="Times New Roman;serif"/>
          <w:b w:val="false"/>
          <w:color w:val="000000"/>
          <w:sz w:val="20"/>
          <w:shd w:fill="FFFFFF" w:val="clear"/>
        </w:rPr>
        <w:t>Our clients direct the sale and management of ad inventory through our platform, including the ability to define supply hierarchies and demand tiers, set minimum price floors, and establish advertiser and category level blocked and allowed lists.</w:t>
      </w:r>
      <w:r>
        <w:rPr>
          <w:color w:val="000000"/>
        </w:rPr>
        <w:t xml:space="preserve"> </w:t>
      </w:r>
      <w:r>
        <w:rPr>
          <w:rFonts w:ascii="Times New Roman;serif" w:hAnsi="Times New Roman;serif"/>
          <w:b w:val="false"/>
          <w:color w:val="000000"/>
          <w:sz w:val="20"/>
          <w:shd w:fill="FFFFFF" w:val="clear"/>
        </w:rPr>
        <w:t>We provide sellers with detailed analytics, which allows them to effectively monitor buying patterns and make real-time changes to take advantage of market dynamics and maximize their yield.</w:t>
      </w:r>
    </w:p>
    <w:p>
      <w:pPr>
        <w:pStyle w:val="TextBody"/>
        <w:bidi w:val="0"/>
        <w:spacing w:lineRule="auto" w:line="288" w:before="100" w:after="100"/>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Self-Service Model</w:t>
      </w:r>
    </w:p>
    <w:p>
      <w:pPr>
        <w:pStyle w:val="TextBody"/>
        <w:bidi w:val="0"/>
        <w:spacing w:lineRule="auto" w:line="288" w:before="100" w:after="100"/>
        <w:ind w:left="0" w:right="0" w:firstLine="720"/>
        <w:jc w:val="left"/>
        <w:rPr/>
      </w:pPr>
      <w:r>
        <w:rPr>
          <w:rFonts w:ascii="Times New Roman;serif" w:hAnsi="Times New Roman;serif"/>
          <w:b w:val="false"/>
          <w:color w:val="000000"/>
          <w:sz w:val="20"/>
          <w:shd w:fill="FFFFFF" w:val="clear"/>
        </w:rPr>
        <w:t>We offer a self-service model that allows sellers to access our platform without extensive involvement by our personnel.</w:t>
      </w:r>
      <w:r>
        <w:rPr>
          <w:color w:val="000000"/>
        </w:rPr>
        <w:t xml:space="preserve"> </w:t>
      </w:r>
      <w:r>
        <w:rPr>
          <w:rFonts w:ascii="Times New Roman;serif" w:hAnsi="Times New Roman;serif"/>
          <w:b w:val="false"/>
          <w:color w:val="000000"/>
          <w:sz w:val="20"/>
          <w:shd w:fill="FFFFFF" w:val="clear"/>
        </w:rPr>
        <w:t>This model allows us to scale efficiently and grow our business at a faster pace than the growth of our sales and support organization. As a result, we are able to achieve a high degree of operating leverage, which positions our business for growing profitability.</w:t>
      </w:r>
    </w:p>
    <w:p>
      <w:pPr>
        <w:pStyle w:val="TextBody"/>
        <w:bidi w:val="0"/>
        <w:spacing w:lineRule="auto" w:line="288" w:before="100" w:after="100"/>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Buyer Tools</w:t>
      </w:r>
    </w:p>
    <w:p>
      <w:pPr>
        <w:pStyle w:val="TextBody"/>
        <w:bidi w:val="0"/>
        <w:spacing w:lineRule="auto" w:line="288" w:before="100" w:after="100"/>
        <w:ind w:left="0" w:right="0" w:firstLine="720"/>
        <w:jc w:val="left"/>
        <w:rPr/>
      </w:pPr>
      <w:r>
        <w:rPr>
          <w:rFonts w:ascii="Times New Roman;serif" w:hAnsi="Times New Roman;serif"/>
          <w:b w:val="false"/>
          <w:color w:val="000000"/>
          <w:sz w:val="20"/>
          <w:shd w:fill="FFFFFF" w:val="clear"/>
        </w:rPr>
        <w:t xml:space="preserve">We provide a suite of buyer tools designed to help buyers discover and curate inventory, append data and improve ROI in order to meet their campaign strategies. For instance, our buyer marketplace tools enable agency holding companies and other large buyers to create their own private label marketplaces for their advertiser clients, while establishing direct connections with sellers. Our custom auction packages and audience tools give buyers a versatile and cost-effective way to target inventory, using categories such as audience, context, and viewability, while our deal discovery platform allows buyers to connect directly with sellers to arrange direct reserve auctions. Finally, our ClearLine product is a self-service solution that provides buyers with direct access to premium CTV and integrated curation capabilities, enabling buyers to build custom deal packages that can be enriched with high-fidelity first-party or third-party data. </w:t>
      </w:r>
      <w:r>
        <w:rPr>
          <w:rFonts w:ascii="Times New Roman;serif" w:hAnsi="Times New Roman;serif"/>
          <w:b w:val="false"/>
          <w:color w:val="000000"/>
          <w:sz w:val="20"/>
        </w:rPr>
        <w:t xml:space="preserve">This solution helps buyers maximize the spend going towards working media, makes it easier for sellers and agencies to securely share data, improves workflow for campaigns traditionally transacted manually, and helps publishers generate more revenue and develop new sources of unique demand.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completed the acquisition of Streamrai, Inc. ("Streamr.ai"), a platform that specializes in artificial intelligence tools that make CTV advertising accessible to small and medium-sized businesses. The Streamr.ai technology leverages generative AI to automate the creation of broadcast-quality video ads and streamline campaign setup, allowing advertisers to launch CTV campaigns in significantly less time than traditional methods. These self-service tools help enable a wider range of local and regional businesses to advertise on CTV.</w:t>
      </w:r>
    </w:p>
    <w:p>
      <w:pPr>
        <w:pStyle w:val="TextBody"/>
        <w:bidi w:val="0"/>
        <w:spacing w:lineRule="auto" w:line="288" w:before="100" w:after="100"/>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SPO and Demand Generation</w:t>
      </w:r>
    </w:p>
    <w:p>
      <w:pPr>
        <w:pStyle w:val="TextBody"/>
        <w:bidi w:val="0"/>
        <w:spacing w:lineRule="auto" w:line="288" w:before="100" w:after="1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expend a significant amount of resources cultivating relationships directly with brands and advertising agencies in order to increase revenue opportunities for sellers on our platform. One of the ways we attract demand to our platform is through entering into SPO agreements directly with buyers, such as major agency holding companies, which provide for custom integrations, data flows or volume-based discounts. Under these SPO agreements, we may be designated as a preferred partner or otherwise enter into terms intended to increase the overall spend on our platform. In addition, we also offer brands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agencies the ability to access our platform directly, including on a managed service basis through the use of insertion orders and programmatically through our ClearLine product offering. As such, we believe our SPO and other buyer-facing initiatives allow us to provide sellers with access to a pool of differentiated demand.</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Independence</w:t>
      </w:r>
    </w:p>
    <w:p>
      <w:pPr>
        <w:pStyle w:val="TextBody"/>
        <w:bidi w:val="0"/>
        <w:spacing w:lineRule="auto" w:line="288" w:before="100" w:after="100"/>
        <w:ind w:left="0" w:right="0" w:firstLine="720"/>
        <w:jc w:val="left"/>
        <w:rPr/>
      </w:pPr>
      <w:r>
        <w:rPr>
          <w:rFonts w:ascii="Times New Roman;serif" w:hAnsi="Times New Roman;serif"/>
          <w:b w:val="false"/>
          <w:color w:val="000000"/>
          <w:sz w:val="20"/>
          <w:shd w:fill="FFFFFF" w:val="clear"/>
        </w:rPr>
        <w:t>We are fully aligned with the interests of our publisher clients.</w:t>
      </w:r>
      <w:r>
        <w:rPr>
          <w:color w:val="000000"/>
        </w:rPr>
        <w:t xml:space="preserve"> </w:t>
      </w:r>
      <w:r>
        <w:rPr>
          <w:rFonts w:ascii="Times New Roman;serif" w:hAnsi="Times New Roman;serif"/>
          <w:b w:val="false"/>
          <w:color w:val="000000"/>
          <w:sz w:val="20"/>
        </w:rPr>
        <w:t>Unlike some large industry participants, we do not have our own media properties that compete for advertising spending with our sellers.</w:t>
      </w:r>
      <w:r>
        <w:rPr>
          <w:color w:val="000000"/>
          <w:shd w:fill="FFFFFF" w:val="clear"/>
        </w:rPr>
        <w:t xml:space="preserve"> </w:t>
      </w:r>
      <w:r>
        <w:rPr>
          <w:rFonts w:ascii="Times New Roman;serif" w:hAnsi="Times New Roman;serif"/>
          <w:b w:val="false"/>
          <w:color w:val="000000"/>
          <w:sz w:val="20"/>
        </w:rPr>
        <w:t xml:space="preserve">In addition, because we do not offer a dedicated demand side platform, we are able to avoid inherent conflicts of interest that exist when serving both the buy- and sell-side. </w:t>
      </w:r>
    </w:p>
    <w:p>
      <w:pPr>
        <w:pStyle w:val="TextBody"/>
        <w:bidi w:val="0"/>
        <w:spacing w:before="100" w:after="100"/>
        <w:ind w:left="0" w:right="0" w:firstLine="720"/>
        <w:jc w:val="left"/>
        <w:rPr/>
      </w:pPr>
      <w:r>
        <w:rPr/>
      </w:r>
    </w:p>
    <w:p>
      <w:pPr>
        <w:pStyle w:val="TextBody"/>
        <w:bidi w:val="0"/>
        <w:spacing w:lineRule="auto" w:line="288" w:before="100" w:after="100"/>
        <w:jc w:val="left"/>
        <w:rPr/>
      </w:pPr>
      <w:r>
        <w:rPr>
          <w:rFonts w:ascii="Times New Roman;serif" w:hAnsi="Times New Roman;serif"/>
          <w:b/>
          <w:color w:val="000000"/>
          <w:sz w:val="20"/>
        </w:rPr>
        <w:t xml:space="preserve">Magnite: Growth Strategies. </w:t>
      </w:r>
      <w:r>
        <w:rPr>
          <w:rFonts w:ascii="Times New Roman;serif" w:hAnsi="Times New Roman;serif"/>
          <w:b w:val="false"/>
          <w:color w:val="000000"/>
          <w:sz w:val="20"/>
        </w:rPr>
        <w:t>The key elements to our long-term growth strategy include: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Focus on CTV</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streaming video continues to become mainstream and ad-supported models become more prevalent, we believe advertisers will continue to shift budgets to CTV. We expect CTV to be the biggest driver of our growth and plan to invest significant resources in technology, sales and support related to our CTV growth initiatives. In particular, we intend to invest in additional features to support publishers with the monetization of live events such as sports. Live events are particularly challenging for publishers due to constant shifts in audience sizes that can be difficult to plan for and often result in monetized ad opportunities. As live events continue to become more prevalent among streaming services, we believe there is an opportunity for innovative technology to address these problems. For instance, our Live Stream Acceleration product helps publishers deal with traffic spikes by managing the pacing of ad requests and queuing pre-approved ad pods in advance of an anticipated ad break.</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Supply Path Optimization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described above, SPO refers to efforts by buyers to consolidate the number of vendors with which they work to find the most effective and cost-efficient paths to procure media. We believe we are well positioned to benefit from SPO due to the factors described above and that it presents an opportunity for us to capture market share and increase the volume of advertising spend on our platform.</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Identity Solutions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largest independent supply side platform, we believe we are well positioned to take a leadership role in advancing the shift away from third-party cookies and similar third-party identifiers to a model that is powered by sellers that have access to valuable first-party data, creating additional opportunities for our clients. Accordingly, we have invested and intend to further invest in the development and enhancement of industry leading identity and audience solutions.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Increase Efficiencies on our Exchange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aim to increase the operational efficiency of our platform, so as to enable buyers and sellers to achieve their campaign and monetization objectives in a cost-effective manner. Our solution is constantly self-improving as we process more volume and accumulate more data and we are continuing to invest in traffic optimization and bid filtering technology to allow us to monetize a higher proportion of the ad requests on our platform, which reduces costs for us as well as the process costs for buyers. We believe these cost savings make our platform more attractive to buyers, which in turn improves revenue opportunities for sellers.</w:t>
      </w:r>
    </w:p>
    <w:p>
      <w:pPr>
        <w:pStyle w:val="TextBody"/>
        <w:bidi w:val="0"/>
        <w:spacing w:lineRule="auto" w:line="288" w:before="100" w:after="100"/>
        <w:ind w:left="0" w:right="0" w:firstLine="720"/>
        <w:jc w:val="left"/>
        <w:rPr/>
      </w:pPr>
      <w:r>
        <w:rPr>
          <w:rFonts w:ascii="Times New Roman;serif" w:hAnsi="Times New Roman;serif"/>
          <w:b/>
          <w:i/>
          <w:color w:val="000000"/>
          <w:sz w:val="20"/>
        </w:rPr>
        <w:t>Increasing Seller Inventory</w:t>
      </w:r>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increase transaction volume we are continuously looking to add new high quality sellers to our platform and to expand our existing relationships with sellers to increase our share of their inventory, in particular in CTV where inventory is controlled by fewer sellers. Our plan for increasing our inventory volumes includes establishing and deepening our direct relationships with sellers, including through adoption of our SpringServe ad server, custom integrations, expanding our seller tools, capitalizing on our omni-channel capabilities, and leveraging our header bidding integrations, including through Demand Manager.</w:t>
      </w:r>
    </w:p>
    <w:p>
      <w:pPr>
        <w:pStyle w:val="TextBody"/>
        <w:bidi w:val="0"/>
        <w:spacing w:lineRule="auto" w:line="288" w:before="100" w:after="100"/>
        <w:ind w:left="0" w:right="0" w:firstLine="720"/>
        <w:jc w:val="left"/>
        <w:rPr/>
      </w:pPr>
      <w:r>
        <w:rPr>
          <w:rFonts w:ascii="Times New Roman;serif" w:hAnsi="Times New Roman;serif"/>
          <w:b/>
          <w:i/>
          <w:color w:val="000000"/>
          <w:sz w:val="20"/>
        </w:rPr>
        <w:t>Expand our International Footprint</w:t>
      </w:r>
      <w:r>
        <w:rPr>
          <w:color w:val="000000"/>
        </w:rPr>
        <w:t xml:space="preser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established operating presence in North America, Australia and Europe, and a developing presence in Asia and South America, we serve buyers and sellers on a global basis. We plan to continue to expand our international presence and make additional investments in sales, marketing and infrastructure to support our long-term growth and to position ourselves for expected increases in programmatic advertising globally. We expect programmatic advertising to grow at different rates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different geographic markets, and are constantly evaluating new markets with a strategy to use our existing infrastructure and adjacent sales offices or by expanding our infrastructure footprint and placing personnel directly in those markets.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Continue to Innovate and Enhance our Platform</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working on a number of platform innovations and enhancements designed to improve the value of our services to our clients, including new features and ad formats on our streaming ad server, tools that facilitate the creation of audience segments, as well as developing a product suite specifically to address the challenges of live streaming.</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How We Generate Revenue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 measured in units referred to as CPM, or cost per thousand, and the total volume of spending between buyers and sellers on our platform is referred to as advertising spend.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revenue from the use of our platform for the purchase and sale of digital advertising inventory. Generally, our revenue is based on a percentage of the ad spend that runs through our platform, although for certain clients, services, or transaction types, including ad serving,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Channels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Sellers use our technology to monetize their content across all digital channels, including CTV, mobile, and desktop. We refer to our mobile and desktop channels as DV+. Consistent with the IAB’s definition of CTV, CTV represents advertising transactions on our platform that are delivered to the end consumer via a television set that is connected to the Internet. Our CTV transactions do not include advertisements viewed on a mobile or desktop device. Mobile and desktop represent advertising transactions on our platform that are delivered to the end consumer via their respective devices’ operating system, that is, a mobile operating system or a traditional desktop operating system, respectively. Mobile devices generally refer to a handset, tablet, or other communication device that runs on a mobile operating system used to access the Internet wirelessly, usually through a mobile carrier or Wi-Fi network. Desktop transactions are those transactions delivered to the end user whose device runs on a traditional PC, laptops, as well as those delivered on mobile devices or tablets that are not running on mobile based operating systems.</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Our Technology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support a majority of our non-CTV transactions, we have developed a globally distributed infrastructure hosted at on-prem data centers in the U.S., Europe, and Asia that run our proprietary software. Currently, our CTV transactions run primarily on the cloud; however, in order to realize additional cost savings and operational efficiencies, we are continuing to invest in additional on-prem data centers to support a higher percentage of our CTV transactions. We believe these two approaches optimize the type of traffic we handle - hosted data centers for high-frequency, low-latency transactions and cloud-supported for lower frequency transactions subject to more volatile viewing patterns, for example CTV prime-time viewing spikes or live-events.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approach supports the volume, diversity, and complexity of buyers’ bidding patterns, which increases market liquidity. Our algorithms improve infrastructure load and execute transactions efficiently by only sending bid requests to those buyers of advertising inventory who can handle the volume and are likely to respond.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infrastructure is supported by real-time data pipelines, a system that quickly moves volumes of data generated by our business into reporting and machine-learning systems for both internal and client use cases. It also is supported by a 24-hour Network Operations Center, which provides failure protection by monitoring and rerouting traffic in the event of equipment failure or network performance issues between buyers and our marketplace, and our core technology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development team, which is responsible for the design, development, operation, and maintenance of our platform, and employs an agile development process that emphasizes frequent, iterative, and incremental development cycles.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continued investment in technology and development is critical to our success and long-term growth.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market our solution to buyers and sellers through global sales teams that operate from various locations around the world. These teams leverage market knowledge and expertise to demonstrate the benefits of our solution to buyers and sellers. We deploy a professional services team with each seller integration to assist sellers in getting the most value from our platform. Our buyer team, which is separately managed, focuses on collaborating with and increasing spend from DSPs, agencies, and brands, and our client services teams work closely with clients to support and execute campaigns. Our marketing initiatives are focused on managing our brand, increasing market awareness, and driving advertising spend to our platform. We often present at industry conferences, create custom events, and invest in public relations. In addition, our marketing team advertises online, in print, and in other forms of media, creates case studies, sponsors research, writes whitepapers, publishes marketing collateral, generates blog posts, and undertakes client research studies.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industry is highly competitive. We compete for digital advertising spending against competitors that, in some cases, are also buyers and/or sellers on our platform. Many of our competitors, including Google, Facebook, Comcast, and Amazon, are significantly larger than us, with more established name recognition and access to greater financial resources. In addition, they benefit from direct relationships with users, own their own content, and have access to tremendous amounts of proprietary data.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the dominance of large companies in digital advertising, there is still a large addressable market that is highly fragmented and includes many providers of transaction services with which we compete, including supply side platforms, video ad servers, and advertising exchanges. As we introduce new offerings, as our existing offerings evolve, or as other companies introduce new products and services, we may be subject to additional competition. 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are many ways for buyers and sellers of digital advertising inventory to connect and transact, including directly and through many other exchanges, and buyers, including DSPs that transact on our platform, are increasingly establishing relationships directly with sellers of advertising inventory, which puts significant pressure on us. Our offering must remain competitive in scope, ease of use, scalability, speed, data access, price, inventory quality, brand security, customer service, identity protection and other technological features that help sellers monetize their inventory and buyers increase the return on their advertising investment. While our industry is evolving rapidly and becoming increasingly competitive, we believe that our solution enables us to compete favorably on these factors. In addition, we believe we enjoy a number of competitive strengths, as further detailed above.</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Human Capital: Our Team and Culture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team draws from a broad spectrum of experience, including data science, infrastructure, software development, and from experienced leadership on the seller and buyer sides, including streaming, mobile and video. In addition to the United States, we have personnel and operations in Australia, Brazil, Canada, France, Germany, India, Italy, Japan, New Zealand, Singapore, Sweden, and the United Kingdom, in order to service buyers and sellers on a global scale.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Culture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strive to build a culture that is high-performing and results-oriented while emphasizing growth, collaboration, diversity, and innovation. Our recruitment team seeks qualified individuals that are committed to seeing the big picture and being catalysts of change. We aim to recruit and develop talent from diverse backgrounds, to provide equal employment opportunity, and to champion a wide array of voices throughout the Company. We ask our employees to empower others and commit to making our company a great place to work, not just a "job," and are constantly striving to cultivate a culture of excellence in which employees feel safe as their authentic selves.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Talent Retention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empowerment starts with investing in our employees, both inside and outside the office. We reward team and individual excellence and are committed to creating an exceptional workplace environment in which we seek feedback from our employees in regular engagement surveys. We believe in continual feedback on performance. Our employees set goals at a regular cadence throughout the year and managers provide achievement ratings at year-end. We continually invest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learning and leadership development programs and routinely analyze voluntary employee turnover to understand and address trends. We give equity to our employees to promote alignment and ownership.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Conduct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promoting high standards of honest and ethical business conduct and compliance in alignment with our cultural values. We do not tolerate harassment or discrimination. Our employees are required to take annual harassment and discrimination training as well as acknowledge our Code of Business and Ethics Policy.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971 full-time employees. </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Our Intellectual Property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proprietary technologies are important and we rely upon trade secret, trademark, copyright, and patent laws in the United States and abroad to establish and protect our intellectual property and protect our proprietary technologies.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several issued patents and pending patent applications, some of which may ultimately be abandoned if we determine that the cost of prosecution or maintenance does not justify the utility of receiving the patent. None of these patents has been litigated and we do not believe that any individual patent or patent application is material to our business. Their importance to our business is uncertain and there are no guarantees that any of the patents will serve as protection for our technology or market in the United States or any other country in which an application has been filed.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register certain domain names, trademarks and service marks in the United States and in certain locations outside the United States. We also rely upon common law protection for certain trademarks. We generally enter into confidentiality and invention assignment agreements with our employees and contractors, and confidentiality agreements with parties with whom we conduct business, in order to limit access to, and disclosure and use of, our proprietary information. We also use measures designed to control access to our technology and proprietary information. We view our trade secrets and know-how as a significant component of our intellectual property assets, which we believe differentiate us from our competitors.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impairment of our intellectual property rights, or any unauthorized disclosure or use of our intellectual property or technology, could harm our business, our ability to compete and our operating results.</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Client Dynamics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Sellers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Sellers own or operate media properties, websites and applications through which advertisements can be delivered to consumers as they navigate across screens. Sellers use our platform to monetize and manage their advertising inventory.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work with many clients, a relatively small number of them provide a large share of the unique user audiences accessible by buyers. This is particularly true in CTV, where sellers tend to be larger compared to other online sellers. Given the limited number of CTV sellers, we are focused on building deeper, long-term strategic partnerships with these clients through a full-service business development strategy. We have invested significant resources in identifying and cultivating these relationships and our sales executives and account managers often serve a consultative role within a client’s sales organization to help establish best practices. This team is further supported by our product and engineering team with deep technical expertise, and for larger clients, we may build out custom features or functionality to help drive deeper adoption of our platform.</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mobile channel, many of the application providers that make inventory available through our platform utilize system development kits ("SDKs") and other proprietary technology of third parties, such as aggregators, and it is those third parties, not the application providers themselves, that contract with us to help monetize the inventory. Termination or diminution of our relationships with these third parties could result in a material reduction of the amount of mobile inventory available through our platform. We encourage application developers to use our own SDK when appropriate, but it is difficult to displace existing SDKs.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Buyers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the buy-side of our business, we maintain close relationships with brand advertisers and agencies, as well as the technological intermediaries through which they transact on our platform, principally DSPs.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DSPs are directly connected to our technology through server-to-server integrations and are responsible for bidding on and purchasing advertising inventory on our platform pursuant to master service agreements. We have relationships with all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major DSPs, and because ad spend is highly concentrated among relatively few DSPs, each of our relationships with these DSPs is important to us and represents a source of demand that could be difficult for us to replace.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DSP is generally responsible for the direct purchasing of advertising inventory through our platform, the overall direction of an advertising campaign is typically determined by the advertiser or advertising agency that has engaged the DSP. As such, in order to increase the amount of spend transacted on our platform, and in furtherance of our SPO efforts, we expend significant resources establishing and expanding relationships directly with brand advertisers and agencies.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transacting through DSPs, we also offer brands and agencies the ability to access our platform directly, including on a managed service basis through the use of insertion orders and programmatically through our ClearLine product offering. For managed service campaigns, our team of specialists manages the delivery and execution of the campaign according to an agreed set of objectives with the advertiser or agency, at a negotiated fixed price. For ClearLine, advertisers and agencies use a self-service programmatic solution to directly access premium inventory on our platform. </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Geographic Scope of Our Operations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growth of programmatic advertising has expanded into geographic markets outside of the United States, and in some markets, the adoption rate of programmatic digital advertising is greater than in the United States. We face staffing challenges, including difficulty in recruiting, retaining, and managing a diverse and distributed workforce across time zones, cultures, and languages. We must also adapt our practices to satisfy local requirements and standards (including differing privacy requirements that are sometimes more stringent than in the U.S.), and manage the effects of global and regional pandemics, recessions and economic and political instability. Transactions denominated in various non-U.S. currencies expose us to potentially unfavorable changes in exchange rates and added transaction costs. Foreign operations expose us to potentially adverse tax consequences in the United States and abroad and costs and restrictions affecting the repatriation of funds to the United States. For detailed information regarding our revenue, property and equipment, net, and right-of-use assets by geographical region, see Note 4, Note 6, and Note 11 of the "Notes to Consolidated Financial Statements."</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highly susceptible to existing and emerging privacy regulations and oversight concerning the collection, use and sharing of data. Data protection authorities in the United States and around the world continue to focus on the advertising technology ecosystem. Because we, and our clients, rely upon large volumes of such data, it is essential that we monitor developments in this area domestically and globally, and engage in responsible data processing practices.</w:t>
      </w:r>
    </w:p>
    <w:p>
      <w:pPr>
        <w:pStyle w:val="TextBody"/>
        <w:bidi w:val="0"/>
        <w:spacing w:lineRule="auto" w:line="288" w:before="100" w:after="100"/>
        <w:ind w:left="0" w:right="0" w:firstLine="720"/>
        <w:jc w:val="left"/>
        <w:rPr/>
      </w:pPr>
      <w:r>
        <w:rPr>
          <w:rFonts w:ascii="Times New Roman;serif" w:hAnsi="Times New Roman;serif"/>
          <w:b w:val="false"/>
          <w:color w:val="000000"/>
          <w:sz w:val="20"/>
          <w:shd w:fill="FFFFFF" w:val="clear"/>
        </w:rPr>
        <w:t>We do n</w:t>
      </w:r>
      <w:r>
        <w:rPr>
          <w:rFonts w:ascii="Times New Roman;serif" w:hAnsi="Times New Roman;serif"/>
          <w:b w:val="false"/>
          <w:color w:val="000000"/>
          <w:sz w:val="20"/>
        </w:rPr>
        <w:t>ot collect information that can be used to directly identify a real person, such as name, address, or phone number, and we take steps to avoid collecting and storing such information. Instead, we rely on anonymous or pseudonymous forms of data, such as IP addresses, general geo-location information, and unique identifiers about Internet users, and do not attempt to associate this data with other data that can be used to identify real people. However, this type of information is considered "personal" across various jurisdictions and is governed by an increasing number of consumer privacy laws and regulations.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Data collection, use, and disclosure by companies that do not have direct relationships with the consumers whose personal data they process are now subject to state data broker laws, including in California, Oregon, and Texas. Notably, California's Delete Act, dramatically increases obligations and potential penalties relative to the state’s preexisting data broker statute, including by requiring us to integrate with the state’s to-be-released Deletion Request and Opt-out Platform ("DROP") and delete personal data submitted through DROP mechanisms.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 Other regulators and lawmakers continue to focus on activities involving data perceived as particularly sensitive such as data based on race, ethnicity or health information.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European Economic Area ("EEA") member states and the United Kingdom (“UK”), the use and transfer of personal data is governed by the General Data Protection Regulation and the UK General Data Protection Regulation (the "GDPR" and "UK GDPR"). The GDPR and UK GDPR set out significant potential liabilities for certain data protection violations and establish significant regulatory requirements resulting in a greater compliance burden for us in the course of delivering our solution in the EEA and UK.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GDPR and UK GDPR, other regions have begun to promulgate data protection laws and reforms, including India and Australia, and state lawmakers in the United States continue to actively focus on consumer privacy regulations, with a total of 20 comprehensive state privacy laws in effect as of the end of 2025. These laws have caused, and will likely continue to cause, us to incur additional compliance costs and impose additional restrictions on us and on our industry partners. Additionally, our compliance with our privacy policies and our general consumer privacy practices are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subject to review by the Federal Trade Commission and certain State Attorneys General. Outside of the United States, our privacy and data practices are subject to regulation by data protection authorities and other regulators in the countries in which we do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in addition to privacy laws, our business is also subject to further digital regulation such as the Digital Services Act ("DSA"). The DSA establishes further transparency requirements concerning the use of data for profile-based advertising that may result in new compliance obligations and sets out significant fines in case of a violation.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Beyond laws and regulations, we are members of self-regulatory bodies that set out best practices, principles and codes of conduct related to the collection, use, and disclosure of consumer data, including the Internet Advertising Bureau ("IAB"), the Digital Advertising Alliance, the Network Advertising Initiative, and the Europe Interactive Digital Advertising Alliance. We provide consumers with notice via our privacy policy about our use of cookies and other technologies to collect consumer data, and of our collection and use of consumer data to deliver personalized advertisements. We allow consumers to opt-out or withdraw consent from the use of data we collect for purposes of behavioral advertising through a mechanism on our website, linked through our privacy policy as well as through portals maintained by some of these self-regulatory bodies.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support privacy initiatives and believe they will be beneficial to consumers' confidence in advertising technology, which will ultimately be positive for the advertising ecosystem in the long term. However, until prevailing compliance practices standardize, the impact of worldwide privacy regulations on our business and, consequently, our revenue could be negatively impacted.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regulatory risks to our business, see "Item 1A. Risk Factors."</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Contribution ex-TAC, cash flow from operations, Adjusted EBITDA, operating results, and other key operating and financial measures may vary from quarter to quarter due to the seasonal nature of buyer spending. For example, many buyers devote a disproportionate amount of their advertising budgets to the fourth quarter of the calendar year to coincide with increased holiday purchasing. We expect our revenue, cash flow, operating results and other key operating and financial measures to fluctuate based on seasonal factors from period to period and expect these measures to be higher in the fourth quarter than in other quarters. Refer to "Item 7. Management's Discussion and Analysis of Financial Condition and Results of Operations” for additional information related to key operating and financial performance Metrics.</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the reporting requirements of the Securities Exchange Act of 1934, as amended, or the Exchange Act, and accordingly files Annual Reports on Form 10-K, Quarterly Reports on Form 10-Q, Current Reports on Form 8-K, proxy statements, and related amendments and other information with the U.S. Securities and Exchange Commission, or the SEC, pursuant to Sections 13(a) and 15(d) of the Exchange Act. Information filed by the Company with the SEC is available free of charge on the Company’s website at investor.magnite.com as soon as reasonably practicable after such materials are filed with or furnished to the SEC.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including the risks described below, each of which may be relevant to decisions regarding an investment in or ownership of our stock. The occurrence of any of these risks could have a significant adverse effect on our reputation, business, financial condition, revenue, results of operations, growth, or ability to accomplish our strategic objectives, and could cause the trading price of our common stock to decline. You should carefully consider the risks set forth below and the other information contained in this report, including our consolidated financial statements and related notes and Management's Discussion and Analysis of Financial Condition and Results of Operations, before making investment decisions related to our common stock. However, this report cannot anticipate and fully address all possible risks of investing in our common stock, the risks of investing in our common stock may change over time, and additional risks and uncertainties that we are not aware of, or that we do not consider to be material, may emerge. Moreover, some of the factors, events, and contingencies discussed below may have occurred in the past. References to past events are provided by way of example only and are not intended to be a complete listing or representation as to whether or not such events have occurred in the past or their likelihood of occurring in the future, and instead reflect our beliefs and opinions as to the factors, events, or contingencies that could materially and adversely affect us in the future. Accordingly, you are advised to consider additional sources of information and exercise your own judgment in addition to the information we provide.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Risks Related to Our Business, Growth Prospects and Operating Results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revenue and operating results are highly dependent on the overall demand for advertising and any macroeconomic challenges may adversely affect our business, financial position, results of operations and/or cash flows.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depends on the overall demand for advertising and on the economic health of our current and prospective sellers and buyers. If advertisers reduce their overall advertising spending, our revenue and results of operations are directly affected. Accordingly, our business and operations have been, and could in the future be, adversely affected by events beyond our control, such as health epidemics or pandemics, geopolitical events, and economic and macroeconomic factors like labor strikes, labor shortages, supply chain disruptions, tariffs, trade wars, capital market disruptions and instability of financial institutions, inflation and recessionary concerns impacting the markets and communities in which our clients operate.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continued inflation could result in an increase in our cost base relative to our revenue and increased cost associated with our infrastructure investments. Moreover, in response to US tariffs, foreign countries in which we operate may enact additional or new taxes that are applicable to our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worsening of macroeconomic conditions in future periods would likely have a negative effect on our financial results, the magnitude of which is difficult to predict.</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operate in an intensely competitive market that includes companies that have greater financial, technical and marketing resources than we do.</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face intense competition in the marketplace. We compete for advertising spending against competitors that, in some cases, are also buyers and/or sellers on our platform. We also compete for supply of advertising inventory against a variety of competitors. Some of our existing and potential competitors are better established, benefit from greater name recognition, may have offerings and technology that we do not have or have significantly more financial, technical, sales, and marketing resources than we do.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existing and potential buyers that we work with have their own direct relationships with sellers or are seeking to establish such relationships, and many sellers are investing in capabilities that enable them to connect more effectively directly with buyers without the use of intermediaries such as us. Our business suffers to the extent that buyers and sellers purchase and sell advertising inventory directly from one another or through intermediaries other than us, reducing the amount of advertising spend on our platform. New or stronger competitors may emerge through acquisitions and industry consolidation or through development of disruptive technologies, including artificial intelligence (“AI”), which may disrupt the digital advertising ecosystem by enabling new ad-buying, optimization or monetization models or enhancing the capabilities of competitors. If our offerings are not perceived as competitively differentiated, we could lose clients, market share or be compelled to reduce our prices, making it more difficult to grow our business profitably.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is a finite number of large buyers and sellers in our target markets, and any consolidation of buyers or sellers may give the resulting enterprises greater bargaining power or result in the loss of buyers and sellers that use our platform, and thus reduce our potential base of buyers and sellers, each of which would lead to erosion of our 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technology continues to improve and market factors continue to attract investment, competition and pricing pressure may increase and market saturation may change the competitive landscape in favor of larger competitors with greater scale and broader offerings, including those that can afford to spend more than we can to grow more quickly and strengthen their competitive position. Competition may be further impacted by advancements in AI, and our ability to compete in the future may be dependent, in part, on our ability to further develop AI into our solutions. In addition, our competitors or potential competitors may adopt certain aspects of our business model, which could reduce our ability to differentiate our solutions.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all of these reasons, we may not be able to compete successfully against our current and future competitors.</w:t>
      </w:r>
    </w:p>
    <w:p>
      <w:pPr>
        <w:pStyle w:val="TextBody"/>
        <w:bidi w:val="0"/>
        <w:spacing w:lineRule="auto" w:line="288" w:before="100" w:after="200"/>
        <w:jc w:val="left"/>
        <w:rPr>
          <w:rFonts w:ascii="Times New Roman;serif" w:hAnsi="Times New Roman;serif"/>
          <w:b/>
          <w:i/>
          <w:color w:val="000000"/>
          <w:sz w:val="20"/>
        </w:rPr>
      </w:pPr>
      <w:r>
        <w:rPr>
          <w:rFonts w:ascii="Times New Roman;serif" w:hAnsi="Times New Roman;serif"/>
          <w:b/>
          <w:i/>
          <w:color w:val="000000"/>
          <w:sz w:val="20"/>
        </w:rPr>
        <w:t>Our contracts with buyers and sellers are generally not exclusive, may be terminated upon relatively short notice, and generally do not require minimum volumes or long-term commitments. If buyers or sellers representing a significant portion of the demand or inventory in our marketplace decide to materially reduce the use of our solution, we could experience an immediate and significant decline in our revenue and profitability and harm to our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Generally, our buyers and sellers are not obligated to provide us with any minimum volumes of business, may do business with our competitors as well as with us, may reduce or cancel their business with us or terminate our contracts without penalty, and may bypass us and transact directly with each other or through other intermediaries that compete with us. Accordingly, our business is highly vulnerable to changes in the macro environment, price competition, and development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new or more compelling offerings by our competitors, which could reduce business generally or motivate buyers or sellers to migrate to competitors’ offerings.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Sellers and buyers may seek to change the terms on which they do business with us, or allocate their advertising inventory or demand to our competitors who provide advertising demand and supply to them on more favorable terms or whose offerings are considered more beneficial. Supply of advertising inventory is also limited for some sellers, and sellers may request higher prices, fixed price arrangements or guarantees that we cannot provide as effectively as our competitors, or that would reduce the profitability of that business. In addition, sellers sometimes place significant restrictions on the sale of their advertising inventory, such as strict security requirements, limitations on data sharing, prohibitions on advertisements from specific advertisers or specific industries, and restrictions on the use of specified creative content or format. Buyers, in turn, are free to direct their spend to us or one or more of our competitors, and increasingly are seeking price concessions, rebates, or other consideration to direct more spend towards us.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serve many buyers and sellers, but certain large buyers and sellers have accounted for and will continue to account for a disproportionate share of business transacted through our solution. In 2025, there were two buyers of advertising inventory that indirectly contributed to approximately 44% of revenue through their buying activity from sellers on our platform. If a buyer or group of buyers representing a significant portion of the demand in our marketplace, or a seller or group of sellers representing a significant portion of the inventory in our marketplace decides to materially reduce use of our solutions, it could cause an immediate and significant decline in our revenue and profitability and harm to our business. In addition, loss of substantial inventory or demand could degrade our marketplace. Loss of major DSP sources of demand could adversely affect bid density or pricing in our auctions, and reduction in fees if we are not able to redirect inventory to other demand sources. Loss of important unique inventory could reduce fees from demand that cannot be shifted to other sellers and make it harder to differentiate ourselves from our competitors. The number of large media buyers and sellers in the market is finite, and it could be difficult for us to replace the losses from any buyers or sellers whose relationships with us diminish or terminate.</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If CTV advertising spend grows more slowly than we expect, or growth occurs disproportionately through platforms that we cannot access, our operating results and growth prospects could be harmed.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growth of our business is dependent, in part, on the continued growth in CTV advertising spend. Growth in the CTV advertising market is dependent on a number of factors, including the pace of user adoption, the continued proliferation of digital content and CTV providers, the adoption of ad-supported models by CTV sellers in lieu of, or in addition to, subscription models, and an acceleration in the shift of ad dollars from traditional linear TV to CTV to keep pace with changing viewership habits.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it is possible that CTV advertising spend growth may be disproportionately focused on CTV sellers that do not utilize our solution, which could impact our ability to grow our business in line with industry growth rates.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market for ad-supported CTV develops more slowly than we expect or fails to develop our operating results and growth prospects could be harmed. In addition, to the extent that CTV advertising spend growth is concentrated among inventory that is not available to us or not available on favorable terms it could hurt our overall growth prospects.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Programmatic advertising presents unique challenges for CTV sellers, and CTV sellers may not adopt or may be slow to adopt programmatic solutions that transact in biddable auction environments.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digital advertising has continued to scale and evolve, the amount of advertising being bought and sold programmatically has increased dramatically. Although programmatic represents a substantial majority of CTV advertising, CTV sellers have generally been more cautious to adopt programmatic solutions compared to desktop and mobile video sellers, and in particular, with respect to biddable auctions.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CTV sellers have backgrounds in cable or broadcast television and have limited experience with digital advertising, and in particular programmatic advertising. For these sellers,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light of these challenges, programmatic CTV has largely been transacted through reserve auctions. Reserve auctions allow publishers to establish direct deals with a buyer, and may be "guaranteed," where a buyer has negotiated a pre-established price and volume with a seller. These transaction types allow the seller to maintain tighter control over their advertising allocation and are often used by sellers that maintain a direct sales force but still want to experience the benefits of automation. In general, advertising impressions monetized through reserve auctions carry a lower fee than impressions monetized through auctions with multiple bidders. Accordingly, an increase in the percentage of CTV inventory monetized through reserve auctions, at the expense of biddable auctions, could drive a decrease in our overall take rate (our fee as a percentage of advertising spend) which may negatively impact our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believe that CTV sellers will begin to expand their use of biddable inventory to attract a more diverse array of advertisers, there can be no assurance that CTV sellers will adopt such solutions or guarantees regarding the speed at which they may adopt such solutions. Any such failure or delay in adoption could negatively impact our finance results and growth prospects.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may not be able to maintain or increase access to the CTV advertising inventory monetized through our platform on terms acceptable to us, and our efforts to maintain such access may subject us to an increased risk of losses.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requires us to maintain and expand our access to premium and unique advertising inventory. We do not own or control the ad inventory upon which our business depends and do not own or create content. Sellers are generally not required to offer a specified level of inventory on our platform, and we cannot be assured that any publisher will continue to make their ad inventory available on our platform. Sellers may seek to change the terms on which they offer inventory on our platform, including with respect to pricing, may elect to make advertising inventory available to our competitors who offer more favorable economic terms, may create their own ad-tech solutions, or may connect with buyers directly. Sellers may also require us to take increased risks in some of our commercial agreements in the form of offering revenue guarantees or minimum spend commitments, and we may be subject to losses if we cannot meet these guarantees or commitments. Furthermore, sellers may enter into exclusive relationships with our competitors or with DSPs directly, which may limit us from offering their inventory.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risks are particularly pronounced with CTV sellers. CTV inventory is highly sought after, and unlike desktop or mobile advertising, which may come from disparate sources, CTV inventory tends to be concentrated on a smaller number of larger sellers that enjoy significant negotiating leverage. In addition, CTV sellers may be more likely to rely on proprietary technology to power their ad business given their additional resources. This dynamic has been exacerbated by consolidation in the industry, as a number of digital-first CTV sellers have been acquired by larger established television and media brands. We expect consolidation to continue among CTV sellers, and in some instances this consolidation may result in the loss of business with an existing client (for example, if an acquiror has a preferred relationship with one of our competitors or has a proprietary solution). Because of the concentration among CTV sellers, the loss of a CTV client may result in a significant decrease in the amount of CTV inventory available through our platform. Any decrease in our ability to access CTV inventory could negatively impact our results, as we view CTV revenue as a key differentiator and driver for our growth.</w:t>
      </w:r>
    </w:p>
    <w:p>
      <w:pPr>
        <w:pStyle w:val="TextBody"/>
        <w:bidi w:val="0"/>
        <w:spacing w:lineRule="auto" w:line="288" w:before="100" w:after="200"/>
        <w:jc w:val="left"/>
        <w:rPr>
          <w:rFonts w:ascii="Times New Roman;serif" w:hAnsi="Times New Roman;serif"/>
          <w:b/>
          <w:i/>
          <w:color w:val="000000"/>
          <w:sz w:val="20"/>
        </w:rPr>
      </w:pPr>
      <w:r>
        <w:rPr>
          <w:rFonts w:ascii="Times New Roman;serif" w:hAnsi="Times New Roman;serif"/>
          <w:b/>
          <w:i/>
          <w:color w:val="000000"/>
          <w:sz w:val="20"/>
        </w:rPr>
        <w:t>The digital advertising market, and our business, may be negatively impacted by advancements in AI.</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Advancements in AI present both opportunities and risks to our business, particularly within the context of the open internet and display advertising. AI is changing the way in which users access information and content on the open internet, in particular with respect to search referral traffic, which has and is expected to continue to decline. This shift could create challenges for open web publishers that have relied on advertising to support their business models. Furthermore, the rapid evolution of AI technologies could lead to diminishing demand for display advertising or reallocating budgets to new formats and approaches, including walled-gardens that we cannot access. If we are unable to capture this demand through other channels, adapt to evolving market expectations, or compete effectively with AI-driven ecosystems, our growth and market position could be adversely impacted.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AI may significantly affect the competitive dynamics of our industry, and failure to effectively build AI features into our platform could adversely affect our results of operations.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for programmatic advertising is characterized by rapid technological change and intense competition. We face significant pressure from existing competitors and new market entrants who are increasingly leveraging AI to enhance their platforms. If our competitors or other third parties, including those with greater financial and technical resources, incorporate AI into their offerings more quickly or effectively than we do, our platform may become less attractive to buyers and sellers of digital advertising. Any failure on our part to successfully develop and deploy AI solutions into our platform could result in a loss of market share.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emerging AI–driven programmatic advertising protocols and transaction frameworks may not be interoperable with, or may reduce reliance on, existing industry standards and infrastructure, which could disrupt established buying and selling workflows. If we are unable to adapt our technology or influence the adoption of such protocols, it could adversely affect demand for our platform and our market share. If we fail to anticipate and adequately respond to these AI-driven structural shifts, our competitive position and ability to maintain a leading independent marketplace may be compromised.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may be ineffective in using AI to realize internal efficiencies, which could result in higher operating costs and decreased margins.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incorporate AI solutions into our product offerings and internal workflows, and we expect the use of AI to become increasingly central to our operations over time. However, our ability to realize the anticipated benefits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technologies is subject to significant risks and uncertainties. We may fail to effectively leverage internal AI solutions to automate manual processes, optimize our infrastructure or enhance the productivity of our team.</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realize the cost savings or operational improvements we anticipate from AI, our margins may be negatively impacted. Furthermore, the implementation of AI-driven internal tools requires significant investment in talent and infrastructure; if these investments do not yield a corresponding increase in productivity or a reduction in legacy costs, our financial condition and results of operations could be adversely affected. Additionally, any over-reliance on AI for critical business functions without adequate human oversight could lead to operational errors, data inaccuracies, or inefficiencies that could harm our reputation and competitive position.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 regulatory landscape governing AI is still developing, and our use of third party AI tools may result in increased legal and regulatory scrutiny, litigation, and reputational harm.</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landscape governing AI is highly uncertain and rapidly evolving. We face potential risks from new or enhanced governmental oversight and evolving legal standards regarding the use of AI.</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integration of third-party AI models with our products and services relies on certain safeguards implemented by the third-party developers of the underlying AI models. If the content, analyses, or recommendations that AI applications assist in producing are or are alleged to be inaccurate, deficient, or biased, our business and reputation may be adversely affected.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AI applications generally state they do not use personal data or other classes of protected data, but we may not know the source of data used by an AI application and may inadvertently incorporate personal information, or data derived from personal data, in the course of using an AI application. Any such inclusion could lead to violations of global privacy laws, such as the GDPR or CCPA, and result in significant fines or legal action.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use of AI also presents unique cybersecurity and intellectual property risks. Our use of AI tools could lead to cybersecurity incidents or the unauthorized public disclosure of our intellectual property. Moreover, malicious actors may increasingly use AI to develop more sophisticated and automated cyberattacks against our infrastructure.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minimize unintended harmful impacts of AI or fail to adapt to new AI-specific regulations, our competitive position and financial condition may be materially and adversely affected.</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may be unsuccessful in our Supply Path Optimization efforts.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Supply path optimization refers to efforts by buyers to consolidate the number of vendors with which they work to find the most effective and cost-efficient paths to procure media. There are a number of criteria that buyers use to evaluate supply partners. While we believe we are well positioned to benefit from supply path optimization in the long run as a result of our transparency, our pricing tools, which reduce the overall cost of working with us, our broad and unique inventory supply across all channels and formats, buyer tools such as traffic shaping that reduce the cost of working with us, and our brand safety measures, we compete for demand with a number of well-established companies, and we must continue to adapt and improve our offerings to win buyers'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order to achieve increased advertising spend or prevent loss of business to a competitor, we may negotiate discounts, rebates, or similar incentives with advertisers or agencies, which we may be unable to recoup. We believe that because our business has many fixed costs, increases in advertising spend volume generally create opportunities to disproportionately improve our bottom line results, even with increased discounts, rebates or other buyer incentives. However, our results could be negatively impacted by discounts, rebates and other buyer incentives, notwithstanding an increase in ad spend.</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technology development efforts may be inefficient or ineffective, which may impair our ability to attract buyers and sellers.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face intense competition in the marketplace and are confronted by rapidly changing technology (including advancements in AI), evolving industry standards and consumer needs, regulatory changes, and the frequent introduction of new solutions by our competitors to which we must adapt and respond. Our future success will depend in part upon our ability to enhance our existing solution and to develop and introduce competing new solutions in a timely manner with features and pricing that meet changing client and market requirements. Our solutions are complex and require a significant investment of time and resources to develop, test, introduce, and enhance. We schedule and prioritize our development efforts according to a variety of factors, including our perceptions of market trends, client requirements, and resource availability; however, we may encounter unanticipated difficulties that require us to re-direct, scale back, or modify our efforts. If development of our solution becomes significantly more expensive due to changes in regulatory requirements or industry practices, or other factors, we may find ourselves at a disadvantage to larger competitors with more resources to devote to development. These factors place significant demands upon our engineering organization, require complex planning, and can result in acceleration of some initiatives and delay of others. We use outsourced software development for certain development efforts, which may put the company at greater risk with respect to our technology development because we may have less control over the performance of outside programmers and we may be at greater risk of losing their services. To the extent we do not manage our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efforts efficiently and effectively, we may fail to produce solutions that respond appropriately to the needs of buyers and sellers, and competitors may more successfully develop responsive offerings. If our solution is not competitive, buyers and sellers can be expected to shift their business to competing solutions. Buyers and sellers may also resist adopting our new solutions for various reasons, including reluctance to disrupt existing relationships and business practices or to invest in necessary technological integration. Clients, vendors, and competitors may also react negatively to the announcement of new products and offerings, which may have a harmful effect on our relationships and our business.</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 xml:space="preserve">We must increase the scale and efficiency of our technology infrastructure to support our growth and transaction volumes.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technology must scale to process the increased ad requests on our platform. For each ad request that we process we incur infrastructure costs regardless of whether that ad request is ultimately monetized through our platform. The number of ad requests that we process has grown significantly in order to support additional ad spend on our platform, in particular with respect to CTV sellers who operate at large scale and experience spikes in viewership.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must continue to increase the capacity of our platform to support the growth of our business and an increasing variety of advertising formats and platforms. Additionally, we must maintain a stable service infrastructure and reliable service delivery. To the extent we are unable, for cost or other reasons, to effectively increase the capacity of our platform, continue to process transactions at fast enough speeds, and support emerging advertising formats or services preferred by buyers, our revenue will suffer. Furthermore, failure to optimize and manage infrastructure costs efficiently could result in margin compression and increased financial strain.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invest in our platform to meet increasing volume, including investments in on-prem data centers to support a higher percentage of our transactions. Such investment may negatively affect our profitability and results of operations. Additionally, any unexpected surges in traffic, inefficiencies in scaling, or disruptions to our infrastructure could degrade platform performance, harm our reputation, and cause us to lose business to competitors with more resilient or cost-effective solutions.</w:t>
      </w:r>
    </w:p>
    <w:p>
      <w:pPr>
        <w:pStyle w:val="TextBody"/>
        <w:bidi w:val="0"/>
        <w:spacing w:lineRule="auto" w:line="288" w:before="100" w:after="200"/>
        <w:jc w:val="left"/>
        <w:rPr>
          <w:rFonts w:ascii="Times New Roman;serif" w:hAnsi="Times New Roman;serif"/>
          <w:b/>
          <w:i/>
          <w:color w:val="000000"/>
          <w:sz w:val="20"/>
        </w:rPr>
      </w:pPr>
      <w:r>
        <w:rPr>
          <w:rFonts w:ascii="Times New Roman;serif" w:hAnsi="Times New Roman;serif"/>
          <w:b/>
          <w:i/>
          <w:color w:val="000000"/>
          <w:sz w:val="20"/>
        </w:rPr>
        <w:t xml:space="preserve">The emergence of header bidding has increased competition from other demand sources and may cause infrastructure strain and added cost.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mobile and desktop channels, the vast majority of sellers have embraced header bidding technology, a solution by which impressions that would have previously been exposed to different potential sources of demand in a sequence dictated by ad server priorities are instead available for concurrent competitive bidding by demand sources. This can help sellers increase revenue by exposing their inventory to more bidders, thereby allocating more inventory to demand sources that value it most highly. While header bidding has increased our access to certain pools of inventory that otherwise would have been allocated first to other exchanges, thus increasing our revenue opportunity, it has also resulted in a number of challenges for our business. For instance, some sellers may choose not to integrate with us as a header-bidding demand source, or may prioritize other sources of demand, including owners of the header bidding solutions, leaving us at a competitive disadvantage in the auction. In addition, header-bidding has vastly increased the volume of ad requests that need to be processed and analyzed through our system, resulting in increased infrastructure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improve the efficiency and effectiveness of our header bidding solutions and installations, we may not fully offset these increased infrastructure costs, and we will not be able to take full advantage of the opportunities made available through current header bidding technology to access a larger addressable market and increase our revenue by capturing a greater share of inventory. In addition, our success in monetizing impressions through header-bidding solutions is dependent on the interoperability of our platform with proprietary header-bidding solutions, some of which are owned by our competitors, including Google. As a result, we may be susceptible to evolution in technology and changes in business practices by the owners of such header-bidding solutions that we cannot predict.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To the extent our access to mobile inventory is limited by third-party technology or lack of direct relationships with mobile sellers, our ability to grow our business will be impaired.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in the mobile channel depends upon the ability of our technology solution to provide advertising for most mobile-connected devices, as well as the major operating systems or internet browsers that run on them and the thousands of applications that are downloaded onto them. The design of mobile devices and operating systems, applications, or internet browsers is controlled by third parties. These parties frequently introduce new devices and applications, and from time to time they may introduce new operating systems or internet browsers or modify existing ones in ways that may significantly affect our business, such as by providing ad-blocking capabilities or by limiting access to Internet user data. Network carriers may also affect the ability to access specified content on mobile devices. To the extent our solution is unable to work on these devices, operating systems, applications, or internet browsers for any reason, our ability to generate revenue through mobile advertising is significantly impaired, and that impairment may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mobile applications to be the largest driver of our mobile business. Many mobile apps utilize software development kits, or SDKs, and other proprietary technology of third parties, such as aggregators, and it is those third parties, not the application providers themselves, that contract with us to provide exchange services to help monetize the inventory. Due to this consolidation, if our relationships with these third parties decline or are terminated, it may result in a larger than usual loss of access to mobile inventory. Moreover, while we have introduced our own mobile in-app SDK, we cannot be sure that our development efforts will be successful or that our solution will assist us in accessing mobile inventory. Any rapid and/or significant decline in the availability of mobile inventory can adversely affect our mobile advertising spend and growth prospects.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Fee issues have in the past and could in the future have a material adverse effect on our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majority of our revenue comes from buyers purchasing advertising inventory made available by sellers on our platform. We experience requests from buyers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sellers for use of our technology, typically as a percentage of the cost of media,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fee concessions may be more prevalent among CTV publishers where inventory is scarce and concentrated among large sellers with significant negotiating leverage. Moreover, the majority of CTV transactions are currently executed through reserve auctions. Reserve auctions generally involve lower fees than we can charge for auction transactions and we may experience additional fee pressure as more competitors, including new entrants as well as sellers themselves, build their own technology and infrastructure to enable reserve auctions.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and profitability could be adversely affected if we are forced to make significant fee concessions, rebates, or refunds, or if buyers reduce spending with us or sellers reduce inventory available through our exchange due to fee disputes or pricing issues.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take rates may be difficult to forecast and may decrease in future periods; any decrease in our take rates may result in a decrease in our revenue notwithstanding an increase in the amount of spend transacted through our platform.</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our platform on a transactional basis where we are paid by a publisher each time an impression is monetized on our platform. Typically, this fee is structured as a percentage of advertising spend that the publisher receives for its inventory. Our take rate varies by publisher and transaction type. For instance, our take rate tends to be lower for reserve auctions compared to auctions with multiple bidders, and tends to be lower on CTV transactions compared to other channels. Additionally, take rates tend to be higher for our managed service business where we are responsible for delivering a campaign at a fixed price. Our managed service business has been declining as a percentage of our revenue on a year-over-year basis, and we expect this trend to continue. Should our managed service business continue to decline, we may experience a shift in revenue composition, and our overall financial performance could be affected, particularly if we are unable to offset any potential revenue loss with increased adoption of our programmatic solutions. We may also negotiate lower take rates with large sellers to win additional business or share of inventory, and these sellers may account for a disproportionately higher percentage of advertising spend on our platform.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factors, even if we are able to accurately forecast the anticipated total advertising spend transacted by buyers across our platform, we may have limited visibility regarding the revenue or Contribution ex-TAC (as defined in section "Key Operating and Financial Performance Metrics") we will generate. Any decrease in our take rate could cause our revenue and Contribution ex-TAC to decrease, notwithstanding an increase in the total spend transacted through our seller platform.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have a history of losses and we face many risks that may prevent us from achieving or sustaining profitability in the future.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reported net income of $144.6 million and $22.8 million during the years ended December 31, 2025 and December 31, 2024, respectively, and net loss of $159.2 million during the year ended December 31, 2023. As of December 31, 2025, we had an accumulated deficit of $516.6 million. We have implemented strategic plans designed to improve our financial performance and continue to increase revenue, and have taken steps to reduce unnecessary expenses and redirect spending to areas we expect to produce higher growth; however, these plans and steps may ultimately prove to be unsuccessful.</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these measures, revenue could decrease due to competitive pressures, maturation of our business, macroeconomic or other factors, and additional cost-reduction measures may be required even as we must continue to increase investment in technology in response to industry developments and to retain competitiveness. We may not be able to sustain growth or to achieve or sustain profitability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business and the businesses of our advertiser clients may be subject to sales and use tax, value-added/goods and services, advertising, digital services, withholding and other taxes.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application of sales and use tax, goods and services tax, business tax and gross receipt tax on our digital services is complex and evolving. In general, sales of tangible personal property are subject to sales and use tax unless a specific exemption applies, while services generally are not subject to sales tax unless specifically enumerated. Advertising services are considered a service and are generally not subject to sales and use tax, except in certain states. Additionally, Maryland adopted a tax on gross revenues from digital advertising. While the law is being challenged in the courts, the law took effect and we are technically subject to the tax, which increases our cost of doing business. Other states are looking to follow suit and tax either digital advertising or other goods or services. In addition, the continual evolution of our services and the expansion of our business offerings may further complicate the determination of the sales taxability of our services in certain jurisdictions.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As a result of various factors, our operating results have in the past and may in the future fluctuate significantly, be difficult to predict, and fall below analysts' and investors' expectations.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results are difficult to predict, particularly because we generally do not have long-term contracts with buyers or sellers. We have experienced significant variations in revenue and operating results from period to period, and operating results may continue to fluctuate and be difficult to predict due to a number of factors, including:</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seasonality in demand for digital advertising, as many advertisers devote a disproportionate amount of their advertising budgets to the fourth quarter of the calendar year;</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changes in pricing of advertising inventory or pricing for our solution and our competitors' offerings, including potential further reductions in our pricing and overall take rate, uncertainty regarding rate of adoption, changes in the allocation of demand spend by buyers, changes in revenue mix, auction dynamics, pricing discussions or negotiations with clients and potential clients, and other factors;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variability and unpredictability of our managed service business, which depends on seasonal advertising trends and discretionary advertising budgets, and are typically tied to one-off or seasonal campaigns rather than recurring revenue models;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diversification of our revenue mix to include new services, some of which may have lower pricing or may cannibalize existing business;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effect of political advertising, which has an intermittent impact on our business depending on election cycles, and may be highly unpredictable and variable based on circumstances outside of our control;</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effect of AI on our business;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addition or loss of buyers or sellers;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ability of buyers to integrate demand directly with sellers without the use of our platform;</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general economic conditions and the economic health of our current and prospective sellers and buyers;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changes in the advertising strategies or budgets or financial condition of advertisers;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performance of our technology and the cost, timeliness, and results of our technology innovation efforts;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advertising technology and digital media industry conditions and the overall demand for advertising, or changes and uncertainty in the regulatory environment for us or buyers or sellers, including with respect to privacy regulation;</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introduction of new technologies or service offerings by our competitors and market acceptance of such technologies or services;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the phasing out of third-party cookies throughout the industry;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our level of expenses, including investment required to support our technology development, scale our technology infrastructure and business expansion efforts, including acquisitions, hiring and capital expenditures, or expenses related to litigation;</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impact of changes in our stock price on valuation of stock-based compensation or other instruments that are marked to market;</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effectiveness of our financial and information technology infrastructure and controls;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geopolitical and social factors, such as concerns regarding negative, unstable or changing economic conditions in the countries and regions where we operate, global and regional recessions, political instability, and trade disputes;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foreign exchange rate fluctuations; and</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changes in accounting policies and principles and the significant judgments and estimates made by management in the application of these policies and principles.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significant portions of our expenses are relatively fixed, variation in our quarterly revenue can cause significant variations in operating results and resulting stock price volatility from period to period. Period-to-period comparisons of our historical results of operations are not necessarily meaningful, and historical operating results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indicative of future performance. If our revenue or operating results fall below the expectations of investors or securities analysts, or below any guidance we may provide to the market, the price of our common stock could decline substantially.</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Any acquisitions we undertake in the future may disrupt our business, adversely affect operations, dilute stockholders, and expose us to costs and liabilities, and we may not achieve the anticipated benefits or synergies of such transactions.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Acquisitions have been an important element of our business strategy. Moreover, we may pursue future acquisitions in an effort to increase revenue, expand our market position, add to our service offering and technological capabilities, respond to dynamic market conditions, or for other strategic or financial purposes. However, there is no assurance that we will identify suitable acquisition candidates or complete any acquisitions on favorable terms, or at all. Further, any acquisitions we do complete would involve a number of risks, which may include the following:</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identification, acquisition, and integration of acquired businesses require substantial attention from management. The diversion of management's attention and any difficulties encountered in the integration process could hurt our business;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identification, acquisition, and integration of acquired businesses requires significant investment, including to determine which new service offerings we might wish to acquire, harmonize service offerings, expand management capabilities and market presence, and improve or increase development efforts and technology features and functions;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anticipated benefits from the acquisition may not be achieved, including as a result of loss of clients or personnel of the target, other difficulties in supporting and transitioning the target's clients, the inability to realize expected synergies from an acquisition, or negative organizational cultural effects arising from the integration of new personnel;</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we may face difficulties in integrating the personnel, technologies, solutions, operations, and existing contracts of the acquired business;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we may fail to identify all of the problems, liabilities or other shortcomings or challenges of an acquired company, technology, or solution, including issues related to intellectual property, solution quality or architecture, income or other taxes and other regulatory compliance practices, revenue recognition or other accounting practices, or employee or client issues;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to pay for future acquisitions, we could issue additional shares of our common stock or pay cash. Issuance of shares would dilute stockholders. Use of cash reserves could diminish our ability to respond to other opportunities or challenges. Borrowing to fund any cash purchase price would result in increased fixed obligations and could also include covenants or other restrictions that would impair our ability to manage our operations;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acquisitions expose us to the risk of assumed known and unknown liabilities including contract, tax, regulatory or other legal, and other obligations incurred by the acquired business or fines or penalties, for which indemnity obligations, escrow arrangements or insurance may not be available or may not be sufficient to provide coverage;</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new business acquisitions can generate significant intangible assets that result in substantial related amortization charges and possible impairments;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operations of acquired businesses, or our adaptation of those operations, may require that we apply revenue recognition or other accounting methodologies, assumptions, and estimates that are different from those we use in our current business, which could complicate our financial statements, expose us to additional accounting and audit costs, and increase the risk of accounting errors;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acquired businesses may have insufficient internal controls that we must remediate, and the integration of acquired businesses may require us to modify or enhance our own internal controls, in each case resulting in increased administrative expense and risk that we fail to comply with the requirements of Section 404 of the Sarbanes-Oxley Act of 2002 (the "Sarbanes-Oxley Act");</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acquisition of businesses based outside the United States would require us to operate in foreign languages and manage non-U.S. currency, billing, and contracting needs, comply with laws and regulations, including labor laws and privacy laws that in some cases may be more restrictive on our operations than laws applicable to our business in the United States;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acquisitions can sometimes lead to disputes with the former owners of the acquired company, which can result in increased legal expenses, management distraction and the risk that we may suffer an adverse judgment if we are not the prevailing party in the dispute.</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must provide value to both buyers and sellers of advertising without being perceived as favoring one over the other or being perceived as competing with them through our service offerings.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interposed between buyers and sellers, and to be successful, we must continue to find ways of providing value to both without being perceived as favoring one at the expense of the other. For example, our proprietary auction algorithms, which are designed to improve auction outcomes, influence the allocation and pricing of impressions and must do so in ways that add value to both buyers and sellers. Continued technological evolution in the availability and use of more data to inform buying and selling decisions necessitates that we, as an intermediary, use data in a manner that complies with the expectations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of both our seller and buyer clients. Furthermore, because new business models continue to emerge, we must constantly adapt our relationship with buyers and sellers and how we market ourselves to each. Consistent with our goal of connecting buyers and sellers, we seek to grow our connections to each, and we must take care that our deeper connections with buyers, on the one hand, or sellers, on the other hand, do not come at the expense of the other's interests. In addition, as our own capabilities evolve, we may be perceived by clients, particularly buyers, as competing with them, which could result in a loss of their business or otherwise negatively impact our relationships. For instance, ClearLine, a self-service buying tool that provides agencies direct access to premium advertising on our platform helps agencies maximize the spend going towards working media, makes it easier for sellers and agencies to securely share data, improves workflow for campaigns traditionally transacted manually, and helps publishers generate more revenue and develop new sources of unique demand. If we fail to balance our clients' interests appropriately, our ability to provide a full suite of services and our growth prospects may be compromised.</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rely on buyers to purchase advertising on behalf of advertisers. Such buyers may have or develop high-risk credit profiles or pay slowly, which may result in credit risk to us or require additional working capital to fund our accounts payable. In addition, direct billing arrangements between buyers and sellers may result in unfavorable fee dynamics and increased working capital demands.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we invoice and collect from buyers the full purchase price for impressions they have purchased, retain our fees, and remit the balance to sellers. However, in some cases, we may be required or elect to pay sellers for impressions delivered before we have collected, or even if we are unable to collect, from the buyer of those impressions. There can be no assurance that we will not experience bad debt in the future, and write-offs for bad debt could have a materially negative effect on our results of operations for the periods in which the write-offs occur. This is particularly true in the case of buyers that act as technological intermediaries, such as DSPs, since those DSPs control large amounts of spend across various advertisers and agencies. In addition to posing their own credit risk, such DSPs may not be required to pay us for specific inventory in the event the DSP is not able to collect payment from the underlying advertiser directing the campaign.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attempt to coordinate collections from our buyers so as to fund our payment obligations to our sellers. However, some buyers and sellers may require direct billing and collection arrangements between themselves, and some providers of header bidding wrappers or other downstream decisioning mechanisms in which we participate (such as Google OB) may control billing and collection for transactions we win through their platforms.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past, some buyers have experienced financial pressures that have motivated them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rely on buyers and sellers to abide by contractual requirements and relevant laws, rules, and regulations when using our solution. The acts or omissions of buyers or sellers, or our own failure to meet advertising and inventory content standards and provide services that our buyers and sellers trust, could harm our brand and reputation and those of our partners, and negatively impact our business, financial condition and results of operations.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Though we contractually require buyers and sellers to abide by relevant laws, rules and regulations, as well as restrictions by their counterparties, when transacting on our platform, we do not control the content of the advertisements that we serve or the content of the websites providing the inventory, and there are many circumstances in which it is difficult or impossible for us to monitor or evaluate the compliance of our buyers and sellers. If buyers or sellers fail to abide by relevant laws, rules and regulations, or contract requirements, we could potentially face liability for such misuse.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both advertisers and inventory suppliers are concerned about being associated with content they consider inappropriate, competitive or inconsistent with their brands, or illegal, and they are hesitant to spend money or make inventory available, respectively, without some guarantee of brand security. Consequently, our reputation depends in part on providing services that our buyers and sellers trust, and we have contractual obligations to meet content and inventory standards. We contractually prohibit the misuse of our platform by our buyers and sellers and actively monitor inventory against our quality guidelines. Despite such efforts, we may provide access to inventory that is objectionable to our buyers or serve advertising that contains objectionable content, which could harm our or our clients’ brand and reputation, decrease their trust in our platform, and negatively impact our business, financial condition and results of operations. Furthermore, we may receive public pressure to discontinue working with certain sellers or buyers on our platform and our determination whether to continue or cease working with a given client may subject us to reputational risk.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sales efforts with buyers and sellers may require significant time and expense and may not yield the results we seek.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Attracting new buyers and sellers and increasing our business with existing buyers and sellers involves substantial time, expense, and personnel investments, and we may not be successful in our efforts. This is particularly true with respect to our managed service business, which relies on direct relationships with advertisers, and is therefore more resource intensive. Our managed service business also tends to be more susceptible to quarterly variability, as it is typically more sensitive to seasonality and advertising budget volatility. Certain of our product offerings require a significant amount of time and costs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initial client setup and implementation, and we generally do not recognize revenue from such clients until we commence services. This process can be costly and time-consuming, and is complicated by us having to spend time integrating our solution with software of buyers and sellers. If we are not successful in targeting, supporting and streamlining our sales processes, our ability to grow our business may be adversely affected. In addition, because of competitive market conditions and negotiating leverage enjoyed by large buyers and sellers, we are sometimes forced to choose between loss of business or contracting on terms that allocate more risk to us than we would prefer to accept.</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business relationships expose us to risk of substantial liability for contract breach, violation of laws and regulations, intellectual property infringement and other losses, and our contractual indemnities and limitations of liability may not protect us adequately.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agreements with sellers, buyers and other third parties typically obligate us to provide indemnity and defense for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For example, because our business interposes us between buyers and sellers in various ways, buyers often require us to indemnify them against acts and omissions of sellers, and sellers often require us to indemnify them against acts and omissions of buyers. Large indemnity obligations, or obligations to third parties not adequately covered by the indemnity obligations of our contract counterparties, could expose us to significant costs.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solution relies on third-party open source software components. Failure to comply with the terms of the underlying open source software licenses could expose us to liabilities, and the combination of certain open source software with code that we develop could compromise the proprietary nature of our solution.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solution utilizes software licensed to us by third-party authors under "open source" licenses. The use of open source software may entail greater risks than the use of third-party commercial software, as open source licensors generally do not provide warranties or other contractual protections regarding infringement claims or the quality of the code. If we combine our proprietary software with open source software in a certain manner, we could, under certain open source licenses, be required to release the source code of our proprietary software to the public. This would allow our competitors to create similar solutions with lower development effort and time and ultimately put us at a competitive disadvantage.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many open source licenses have not been interpreted by U.S. courts, and there is a risk that these licenses could be construed in a way that could impose unanticipated conditions or restrictions on us. Moreover, we cannot guarantee that our processes for controlling our use of open source software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certain code, or to make generally available, in source code form, portions of our proprietary code.</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Risks Related to Our Collection, Use and Disclosure of Data</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business depends on our ability to collect, use, and disclose data to deliver advertisements. Any limitation imposed on our collection, use or disclosure of this data could significantly diminish the value of our solution and cause us to lose sellers, buyers, and revenue. Proliferation of consumer tools, regulatory restrictions and technological limitations all threaten our ability to use and disclose data.</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more informed advertising is about its audience, the more valuable it is. Programmatic advertising enables audience targeting based on the interests and actions of the user. Targeted advertising is generally more effective and valuable for buyers than other types of advertising, resulting in more revenue for sellers. In order to target advertising, we and our clients must collect and use data in a variety of ways. Our ability to collect, use, and disclose data about user behavior and interaction with content is critical to the value of our services, and any limitation on our data practices could impair our ability to deliver effective solutions to our clients. Any restriction on the types of data we collect could make placement of advertising through our solution less valuable, with commensurate reductions in 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Consumers can, with increasing ease, implement practices or technologies that limit our ability, or that of our sellers, buyers and business partners, to collect data. For example, users may delete or block the use of cookies and similar technologies used to collect data, including through their browser or connected device settings. Consumers may also download "ad blocking" software that prevents certain cookies and other tracking technologies from being stored on a user’s computer or mobile device or from making calls to advertising partners, which may prevent the delivery of targeted or other advertisements. In addition, device manufacturers, browsers and other tools are increasingly promoting features that allow users to disable the collection of data. For example, Apple requires user opt-in before permitting access to Apple’s unique identifier, or IDFA. These shifts have had, and will likely continue to have, a substantial impact on the mobile advertising ecosystem and could harm growth in this channel.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Laws governing the processing of personal data also continue to impact our ability to collect data. For example, Directive 2002/58/EC (as amended by Directive 2009/136/EC), commonly referred to as the ePrivacy Directive, directs EU member states to ensure that accessing personal data on an internet user’s computer, such as through cookies and similar technologies, generally requires opt in consent and is allowed only if the user has been informed about such access and given his or her opt-in consent. Further, numerous comprehensive state privacy laws across the U.S. require businesses that engage in certain advertising uses of personal data to offer and honor an opt-out of such activities, including, in some states, through browser or device-based opt-out signals, such as the Global Privacy Control (“GPC”). Similar regulations have been proposed in the EU. Use of GPC and similar user privacy features provided on other channels of programmatic advertising, such as CTV, are growing. Technical or policy changes, including regulation or industry self-regulation, could also harm our growth in those channels. As further described in the risk factors below, current and potential future privacy laws and regulations in the U.S. and abroad already restrict, and could further restrict, the ability to collect and process certain types of user data.</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much of the data we collect and process belongs to our buyers or sellers, and we receive their permission to use it. Although our sellers and buyers generally permit us to aggregate and use data from advertising placements, subject to certain restrictions, sellers or buyers might decide to restrict our collection or use of their data. There could be various reasons for this, including perceptions by buyers that their data can be used by sellers to extract higher prices for impressions, or perceptions by sellers that their data can be used by buyers to bid tactically to reduce pricing for impressions. As consumers continue to increase their use of digital technology and to incorporate multiple devices into their lives, linking and using data across such devices is increasingly important. Various challenges affect our ability to link data relating to discrete devices or browsers, including different technologies, increased user awareness and sensitivity regarding use of data about their device usage, and evolving regulatory and self-regulatory standards. These challenges may slow growth, and if we are not able to cope with these challenges as effectively as other companies, we will be competitively disadvantaged. Any limitation on our ability to collect data about user behavior and interaction with content could make it more difficult for us to deliver effective solutions that meet the needs of sellers and buyers.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If third-party cookies are replaced by alternative tracking mechanisms, our performance may decline and we may lose buyers and 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Industry participants in the advertising technology ecosystem have long anticipated the deprecation of third-party cookies and other identifiers, making it more difficult to rely on such technologies to identify users' devices.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Advertisers, publishers, and technology platforms are increasingly prioritizing privacy-focused solutions, and a number of industry participants have suggested alternative identity solutions. These tools, while intended to balance privacy and utility, may not fully replicate the capabilities of cookies and could disrupt established advertising workflows. Moreover, alternative identification solutions may require substantial development and commercial changes for us to support. There is also a risk that such tools will favor proprietary ad tech ecosystems potentially disadvantaging independent platforms like Magnite.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market dynamics may still shift as buyers explore first-party data strategies, proprietary identifiers, and other solutions that reduce reliance on cookies. This trend could favor walled gardens and platforms with extensive access to first-party data, presenting competitive challenges for companies operating within the open internet. The growing adoption of these approaches may diminish the effectiveness of our platform in attracting buyers and advertisers, potentially leading to reduced revenue and market share.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in the absence of third-party cookie deprecation, evolving regulatory and consumer expectations around privacy may require significant investment in re-engineering our platform and adapting to new data usage paradigms. If alternative solutions fail to deliver comparable performance or interoperability, or if they fundamentally shift the economics of digital advertising, our ability to compete effectively could be adversely impacted.</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belief that the elimination of third-party cookies will lead to an increased use of first-party publisher data may be incorrect.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though third-party cookies remain supported, the programmatic ecosystem is increasingly shifting toward privacy-centric approaches that prioritize first-party data. We believe that this trend has the potential to shift the programmatic ecosystem from an identity model powered by buyers that are able to aggregate and target audiences through cookies and other tracking technologies to one enabled by sellers that have direct relationships with consumers and are therefore better positioned to obtain user data and consent for implementing first party identifiers. While we believe that our platform and scale position us well to provide the infrastructure and tools needed for a publisher-centric identity model to succeed, there is no guarantee that our efforts will lead to an increase of the use of first-party publisher segments in the ecosystem. It is also possible that the increased use of first-party publisher segments will disproportionately benefit sellers or the large walled gardens that have access to large amounts of first party data. Additionally, these changes could create some variability in our revenue across certain buyers or sellers, depending on the timing of changes and developed solutions, and even if there is an increase in the proliferation of first-party publisher segments, we may still incur substantial re-engineering costs to optimize our solution for use with such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Risks Related to Regulation</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More legislation and regulation of digital businesses, including privacy and data protection regimes, could create unexpected additional costs, subject us to enforcement actions for compliance failures, or cause us to change our technology solution or business model, which may have an adverse effect on the demand for our solution.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local, state, federal, and international laws and regulations apply to the collection, use, retention, protection, disclosure, transfer, and other processing of data collected from and about consumers and devices, and the regulatory framework for privacy issues is evolving worldwide. Various U.S. and foreign governments, consumer agencies, self-regulatory bodies, and public advocacy groups have called for or implemented new regulation directly impacting the digital advertising industry.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states, including California, have enacted comprehensive consumer privacy laws regulating the collection and use of data to target advertisements, and we expect to see more state laws and potentially federal regulation in the future. Such legislation or regulation could affect the costs of doing business online and may adversely affect the demand for or the effectiveness and value of our solution.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state laws require all businesses that engage in certain advertising uses of consumer personal data to offer and honor an opt-out of such activities, including, in some states, through universal browser or device-based preference signals such as GPC. Some state laws may also restrict use of sensitive information, including precise location information, for advertising purposes. The implementation of these state laws and any corresponding regulations will cause us to incur additional compliance costs and may impose additional restrictions on us and on our industry partners.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Separate from these comprehensive state consumer privacy laws, lawmakers continue to focus their efforts on data collection, processing, and disclosures by companies that do not have direct relationships with the consumers whose personal data they process. Several states, including California, Oregon, and Texas, have recently enacted or updated laws restricting the activities of "data brokers." Notably, California's Delete Act, dramatically increases obligations and potential penalties relative to the state’s preexisting data broker statute. Beyond additional transparency requirements, beginning in August 2026, companies registered as data brokers in California (including Magnite), must honor universal deletion requests consumers make of all data brokers via the state's Delete Request and Opt-out Platform mechanism. These obligations may reduce the data available to Magnite, require us to develop complex and expensive compliance tools and procedures, and may result in reductions in 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European Economic Area ("EEA") and the United Kingdom ("UK"), the General Data Protection Regulation, Regulation (EU) 2016/679 ("GDPR") and UK General Data Protection Regulation ("UK GDPR") respectively treat much of the end-user information that is critical to programmatic digital advertising as "personal data", subject to significant conditions and restrictions on its collection, use, transfer and disclosure. The GDPR and UK GDPR also set out substantial potential liabilities for certain data protection violations and create a compliance burden for us in the course of delivering our solution in Europe.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many governments are restricting the transmission or storage of information about individuals beyond their national borders. Such restrictions could, depending upon their scope, limit our ability to utilize technology infrastructure consolidation, redundancy, and load-balancing techniques, resulting in increased infrastructure costs, decreased operational efficiencies and performance, and increased risk of system failure.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we have from time-to-time become subject to putative class actions or other litigation, including claims based on developing or unsettled interpretations of privacy, data use, or consumer protection laws, which regardless of their ultimate merit may require significant resources to address, divert management attention, and result in reputational harm or adverse outcomes.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are continually evolving, not always clear, and not always consistent across the jurisdictions in which we do business. Any failure to protect, and comply with applicable laws and regulations or industry standards applicable to, personal data or other data relating to consumers could result in enforcement action against us, including fines, imprisonment of our officers, and public censure, claims for damages by consumers and other affected individuals, damage to our reputation, and loss of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The GDPR and UK GDPR impose strict requirements for transferring personal data from the European Economic Area and United Kingdom to the United States and other countries, and regulatory guidance and case law on international transfers is continually evolving; this increases uncertainty and may require us to change our EEA and UK data practices and/or change our technology solution or business model, which may in turn adversely affect demand for our solution.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GDPR and UK GDPR generally prohibit the transfer of personal data of EEA and UK subjects outside of the European Economic Area and the UK to countries whose laws do not ensure an adequate level of protection, unless a lawful data transfer solution has been implemented. On July 16, 2020, in a case known as "Schrems II," the Court of Justice of the European Union ("CJEU") ruled on the validity of two of the primary data transfer solutions. The first method, EU-U.S. Privacy Shield operated by the U.S. Department of Commerce, was declared invalid as a legal mechanism to transfer data from the EEA and UK to the U.S. A successor agreement, the Data Privacy Framework (“DPF”), is now in place, but numerous lawsuits against the DPF have already been filed, and it is uncertain whether DPF will stand up to judicial scrutiny by the CJEU or, like its predecessor agreement, be declared invalid.</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The GDPR imposes requirements for end user consent or opt-out that may cause us to incur additional or unexpected costs, subject us to enforcement actions for compliance failures, or cause us to change our service or business model, which may have a material adverse effect on our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European Union Privacy and Electronic Communications Directive (Directive 2002/58/EC), commonly referred to as the "ePrivacy Directive," and the GDPR require consent or another legal basis in order to process personal data for purposes of behavioral advertising, and there is currently significant risk and uncertainty regarding the standard for obtaining valid consent. Current regulatory developments indicate stricter interpretation of the ePrivacy Directive, meaning that data processing without consent will continue to decrease.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End-user consent is difficult for ad tech intermediaries like us to obtain because we do not have direct relationships with such end users, so we have historically relied upon sellers to obtain consent for use of our technology. To the extent any seller does not adequately satisfy its consent obligations for our technology, we may face regulatory risk. Further, emerging regulatory guidance in the EU has challenged this method of obtaining consent.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Legal standards and regulatory guidance will continue to evolve. National regulators in the UK and EU are evolving their guidance on the use of advertising technologies and compliance with the GDPR and ePrivacy Directive. This guidance may be burdensome or inconsistent across countries, and present challenges to the way we operate.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all of the factors set forth above, our or our clients’ ability to serve target advertisements may become significantly impaired or complicated in certain jurisdictions.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are subject to regulation with respect to political advertising, which lacks clarity and uniformity.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regulation with respect to political advertising activities, which are governed by various federal and state laws in the U.S., and national and provincial laws worldwide, including the new Transparency and Targeting of Political Advertising in the EU, imposing strict prohibitions on the use of personal data for political advertising. Online political advertising laws are rapidly evolving and in certain jurisdictions we have compliance requirements with respect to political ads delivered on our platform. In some jurisdictions we may determine not to serve political advertisements due to uncertainty around these requirements and potential burdens of compliance. In addition, our sellers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Issues related to industry self-regulation could harm our brand, reputation, and our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compliance with government regulations, we voluntarily participate in trade associations and industry self-regulatory groups that promulgate best practices or codes of conduct addressing privacy and the provision of digital advertising. If we encounter difficulties abiding by these principles, we may be subject to negative publicity, as well as investigation and litigation by governmental authorities, self-regulatory bodies or other accountability groups, buyers, sellers, or other private parties. Any such action against us could be costly and time consuming, require us to change our business practices, divert management's attention and our resources, and be damaging to our reputation and our business.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is subject to evolving corporate governance and public disclosure regulations and expectations, including with respect to sustainability matters that could expose us to numerous risks.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Regulators, customers, investors, employees and other stakeholders are increasingly focusing on sustainability matters and related disclosures. These changing rules, regulations and stakeholder expectations have resulted in, and are likely to continue to result in, increased general and administrative expenses and increased management time and attention spent complying with or meeting such regulations and expectations. Emerging regulations in various jurisdictions, including mandatory disclosure requirements and carbon reporting obligations, as well as related uncertainty from modifications to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reversals of such regulations or inconsistency between regulatory requirements in different jurisdictions, may further increase the complexity and cost of compliance.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communicate certain initiatives and goals regarding sustainability matters in our SEC filings or in other public disclosures. While we aim to achieve these goals, we could face scrutiny from certain stakeholders for the scope, ambition, or execution of such initiatives, and stakeholders and regulators have increasingly expressed or pursued opposing views, legislation, and investment expectations with respect to sustainability initiatives, including the enactment or proposal of "anti-ESG" legislation or policies. Revisions to or failure to maintain our goals, delays in achieving progress, or perceived shortcomings in our initiatives or goals could harm our reputation, erode stakeholder trust, and adversely impact our relationships with customers, investors, or employees.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if our sustainability-related data, processes, and reporting are incomplete, inaccurate, or fail to meet regulatory standards, we could be subject to penalties, regulatory scrutiny or enforcement actions, or legal actions. Misalignment between our sustainability practices and stakeholder expectations, or the inability to satisfy all stakeholders in light of their varied and sometimes conflicting views regarding environmental and social matters, could also impact our ability to attract and retain investors, secure partnerships, or compete effectively in the marketplace and could expose us to operational disruptions, increased costs, and reputational damage, adversely affecting our business, financial performance, and growth prospects.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litigation with Google LLC presents potential risks that could adversely affect our business, results of operations and financial condition.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16, 2025, we filed a lawsuit in the U.S. District Court for the Eastern District of Virginia against Google LLC ("Google") seeking financial damages and other remedies (the "Google Action") in light of the U.S. District Court’s ruling that Google had engaged in unlawful anticompetitive practices with respect to certain ad tech markets. Google is a significant participant in the digital advertising ecosystem and both a major partner and competitor to Magnite and a significant portion of our revenue is generated through our relationship with Google. The Google Action is in its early stages, and the outcome and timing of the Google Action is uncertain and difficult to predict. The Google Action presents several risks to our business, including the potential for retaliatory actions by Google. Any such actions could disrupt our ability to serve our customers and partners, reduce our revenue, and harm our relationships with publishers and advertisers. The Google Action may be costly, protracted, and divert management's attention and resources from our business operations. Any damages awarded may not be commensurate with our expectations, and we may not receive any monetary damages at all. The existence of the Google Action and any potential retaliatory measures could also negatively affect our reputation and our ability to compete, potentially causing our business, financial condition, and results of operations to be materially and adversely affected.</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Risks Related to Our Operations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Real or perceived errors or failures in the operation of our solution could damage our reputation and impair our sales.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operate our technology infrastructure without interruption to support the needs of sellers and buyers. Because our software is complex, undetected errors and failures may occur, especially when new versions or updates are made to our software or network infrastructure, changes are made to sellers' or buyers' software interfacing with our solution, or as we further integrate acquired technologies. Any unknown errors or bugs in our software, faulty algorithms, technical or infrastructure problems, or updates to our systems could lead to an inability to effect transactions or process data to place advertisements or price inventory effectively, cause the inadvertent disclosure of proprietary data, or cause advertisements to display improperly or be placed in proximity to inappropriate content. Such errors or failures could also result in negative publicity, disclosure of confidential information, damage to our reputation, loss of or delay in market acceptance of our solution, increased costs or loss of revenue, loss of competitive position, or claims by advertisers for losses sustained by them. We may make errors in the measurement of transactions conducted through our solution, causing discrepancies with the measurements of buyers and sellers, which can lead to a lack of confidence in us and require us to reduce our fees or provide refunds to buyers and sellers. Alleviating problems resulting from errors in our software could require significant expenditures of capital and other resources and could cause interruptions, delays, or the cessation of our business.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Various risks could interrupt access to our network infrastructure or data, exposing us to significant costs and other liabilities.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depends on the technological ability of our solution to deliver and measure advertising impressions, and the operation of our exchange and our ability to place impressions depend on the continuing and uninterrupted performance of our IT systems. Our platform operates on our data processing equipment that is housed in third-party commercial data centers that we do not control or on servers owned and operated by cloud-based service providers. We rely on multiple bandwidth providers, multiple internet service providers, as well as content delivery network, or CDN providers, and domain name systems, or DNS providers, and mobile networks to deliver video ads. In addition, our systems interact with systems of buyers and sellers and their contractors. Any damage to, or failure of, these systems could result in interruptions to the availability or functionality of our service. Moreover, the failure of our data center hosting facilities or any other third-party providers to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our capacity requirements, or dramatically increased costs of such resources, could result in interruptions in the availability or functionality of our solutions or impede our ability to scale our operations. All of these facilities and systems are vulnerable to interruption and/or damage from a number of sources, many of which are beyond our control, including, without limitation: (i) loss of adequate power or cooling and telecommunications failures; (ii) fire, flood, earthquake, hurricane, and other natural disasters or severe weather events; (iii) software and hardware errors, failures, or crashes; (iv) financial insolvency; and (v) computer viruses, malware, hacking, terrorism, and similar disruptive problems. In particular, intentional cyber-attacks present a serious issue because they are difficult to prevent and remediate and can be used to defraud our buyers and sellers and their clients and to steal confidential or proprietary data from us, our clients, or their users. The use of AI has the potential to further exacerbate these cyber security threats. Further, because our Los Angeles office and San Francisco offices and our California data center sites are in seismically active areas, earthquakes present a particularly serious risk of business disruption. These vulnerabilities may increase with the complexity and scope of our systems and their interactions with buyer and seller systems. Malfunction or failure of our systems, or other systems that interact with our systems, or inaccessibility or corruption of data, could disrupt our operations and negatively affect our business and results of operations to a level in excess of any applicable business interruption insurance, result in potential liability to buyers and sellers, and negatively affect our reputation and ability to sell our solution.</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Any breach of our computer systems or confidential data in our possession could expose us to significant expense and liabilities and harm our reputation.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our own confidential and proprietary information in our IT systems, and we control or have access to confidential, proprietary, and personal data belonging or related to buyers, sellers, and their clients and users, as well as vendors and business partners. Our clients and various third parties have access to our confidential and proprietary information. There is no guarantee that inadvertent or unauthorized use or disclosure will not occur or that third parties will not gain unauthorized access to this data despite our efforts to protect this data. Though we undertake robust security measures, any security incident could disrupt computer systems or networks, interfere with services to our sellers, buyers, or their clients, and result in unauthorized access to personally identifiable information, intellectual property, and other confidential business information owned by us or our buyers, sellers, or vendors. As a result, we could be exposed to legal claims and litigation, indemnity obligations, regulatory fines and penalties, contractual obligations, other liabilities, significant costs for remediation and re-engineering to prevent future occurrences, significant distraction to our business, and damage to our reputation, our relationships with buyers and sellers, and our ability to retain and attract new buyers and sellers. Particularly, if information subject to breach notice statuses is compromised, we may be required to undertake notification and remediation procedures, provide indemnity, and undergo regulatory investigations and penalties, all of which can be extremely costly and result in adverse publicity. If the breach is material, we will be subject to additional SEC disclosure requirements, which may harm our brand, reputation, or overall business.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Failure to detect or prevent fraud, intrusion of malware through our platform into the systems or devices of our clients and their customers, or other actions that impact the integrity of our solution or advertisement performance, could cause sellers and buyers to lose confidence in our solution and expose us to legal claims, which would cause our business to suffer. If we terminate relationships with sellers as a result of our screening efforts, our volume of paid impressions may decline.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in the future, be subject to fraudulent and malicious activities undertaken by persons seeking to use our platform for improper purposes, including to divert or artificially inflate purchases by buyers through our platform, or to disrupt or divert the operation of the systems and devices of our clients and their customers to misappropriate information, generate fraudulent billings, stage hostile attacks, or for other illicit purposes. Examples of such activities include the use of bots or other automated or manual mechanisms to generate fraudulent impressions that are delivered through our platform, which could overstate the performance of advertising impressions. Such activities could also include the introduction of malware through our platform by persons seeking to commandeer, or gain access to information on, consumers' devices. We use proprietary and third party technology to identify non-human inventory and traffic, as well as malware, and we generally terminate relationships with parties that appear to be engaging in such activities, which may result in fewer paid impressions in the year the relationships are terminated than would have otherwise occurred. Despite our efforts, it can be difficult to detect fraudulent or malicious activity for various reasons and advancements in AI are likely to exacerbate these challenges. If we fail to detect or prevent fraudulent or other malicious activity, we could face legal claims from clients and/or consumers and the affected advertisers may experience or perceive a reduced return on their investment or heightened risk associated with use of our solution, resulting in dissatisfaction with our solution, refusals to pay, refund demands, loss of confidence of buyers or sellers, or withdrawal of future business. We also face claims from sellers that we terminate because of known or perceived fraudulent activity, and any such claim could be material.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Failure to maintain the brand security features of our solution or handle viewability issues well could harm our reputation and expose us to liabilities.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 is important to sellers that the advertising placed on their media not conflict with existing seller arrangements and be of high quality, consistent with applicable seller standards and compliant with applicable legal and regulatory requirements.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important to buyers that their advertisements are placed on appropriate media, in proximity with appropriate content, that the impressions for which they are charged are legitimate, and that their advertising campaigns yield their desired results. We use various measures, including proprietary technology, in an effort to store, manage and process rules set by buyers and sellers and to ensure the quality and integrity of the results delivered to sellers and buyers through our solution. If we fail to properly implement or honor rules established by buyers and sellers, or if our measures are not adequate, advertisements may be improperly placed through our platform, which can result in harm to our reputation as well as the need to pay refunds and other potential legal liabilities.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viewability of digital advertising (i.e. whether an advertisement that can be seen is actually seen, in whole or part, or for how long) represents a way of assessing the value of particular inventory as a means to reach a target audience. If we do not handle viewability well, or if we are not positioned to transact the higher viewability inventory competitively, our revenue and profitability could be adversely affected and we could be competitively disadvantaged.</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If we fail to attract, motivate, train, and retain highly qualified engineering, marketing, sales and management personnel, our ability to execute our business strategy could be impaired.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technology-driven company and it is imperative that we have highly skilled computer scientists, data scientists, engineers and engineering management to innovate and deliver our complex solutions. Increasing our base of buyers and sellers depends to a significant extent on our ability to expand our sales and marketing operations and activities, and our solution requires a sophisticated sales force with specific sales skills and specialized technical knowledge that takes time to develop. In particular, it may be difficult to find qualified sales personnel in international markets, or sales personnel with experience in emerging segments of the market. Skilled and experienced management is critical to our ability to achieve revenue growth, execute against our strategic vision and maintain our performance through the growth and change we anticipate.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depends significantly upon our ability to recruit, train, motivate, and retain key technology, engineering, sales, and management personnel, and competition for employees with experience in our industry can be intense, particularly in New York, California, Denver, London and Sydney, where our operations and the operations of other digital media companies are concentrated and where other technology companies compete for management and engineering talent. Other employers may be able to provide better compensation, more diverse opportunities and better chances for career advancement. None of our officers or other key employees have an employment agreement for a specific term, and any of such individuals may terminate his or her employment with us at any time.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can be difficult, time-consuming, and expensive to recruit personnel with the combination of skills and attributes required to execute our business strategy, and we may be unable to hire or retain sufficient numbers of qualified individuals in the markets where we do business or plan to do business. New hires require significant training and it may take significant time (often six months or more) before they achieve full productivity. As a result, we may incur significant costs to attract and retain employees, including significant expenditures related to salaries and benefits and compensation expenses related to equity awards before new hires contribute to sales or productivity, and we may lose new employees to our competitors or other companies before we realize the benefit of our investment in recruiting and training. Moreover, new employees may not be or become as productive as we expect, and we may face challenges in adequately or appropriately integrating them into our workforce and culture. At times we have experienced elevated levels of unwanted attrition, and as our organization grows and changes and competition for talent increases, this type of attrition may increase.</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proprietary rights may be difficult to enforce, which could enable others to copy or use aspects of our solution without compensating us, thereby eroding our competitive advantages and harming our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protect proprietary methods and technologies that we develop or otherwise acquire, so that we can prevent others from using our inventions and proprietary information. Establishing trade secret, copyright, trademark, domain name, and patent protection is difficult and expensive. We rely on trademark, copyright, trade secret laws, confidentiality procedures and contractual provisions to protect our proprietary methods and technologies.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From time to time, we may take legal action to enforce our intellectual property rights, protect our trade secrets, determine the validity and scope of the proprietary rights of others, or defend against claims of infringement. Such litigation could result in substantial costs and the diversion of limited resources, and might not be successful. If we are unable to protect our proprietary rights (including aspects of our technology solution) we may find ourselves at a competitive disadvantage.</w:t>
      </w:r>
    </w:p>
    <w:p>
      <w:pPr>
        <w:pStyle w:val="TextBody"/>
        <w:bidi w:val="0"/>
        <w:spacing w:before="10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Risks Related to Financing Arrangements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financing of the SpotX, Inc. ("SpotX") acquisition and subsequent refinancing significantly increased our leverage, which may put us at greater risk of defaulting on our debt obligations and limit our ability to conduct necessary operating activities, make strategic investments, respond to changing market conditions, or obtain future financing on favorable terms.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financed the cash portion of the SpotX acquisition consideration in part through borrowings under a credit agreement (the "Credit Agreement") with Goldman Sachs Bank USA as administrative and collateral agent, and other lending parties thereto for a $360.0 million seven-year senior secured term loan facility ("Term Loan B Facility"), a $65.0 million senior secured revolving credit facility ("Revolving Credit Facility"), and the sale of $400.0 million of convertible senior notes ("Convertible Senior Notes"). As part of Term Loan B Facility, the Company received $325 million in proceeds, net of discounts and fees, which were used to finance the SpotX acquisition and related transactions, and for general corporate purposes. The majority of the net proceeds from the offering of Convertible Senior Notes was also used to finance the SpotX acquisition.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6, 2024, we refinanced and terminated our existing Credit Agreement and entered into a new credit agreement with Morgan Stanley Senior Funding, Inc., as term facility administrative agent, Citibank, N.A., as revolving facility administrative agent and collateral agent, and other lending parties (the “New Credit Agreement”) for a $365.0 million term loan that matures in February 2031 and a $175.0 million revolving facility that matures February 2029. On September 18, 2024, we amended our New Credit Agreement to reduce the interest rate margin applicable to our term loan by 0.75%. On March 18, 2025, we again amended our New Credit Agreement to further reduce the interest rate margin applicable to our term loan by an additional 0.75%.</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debt leverage could adversely affect our business and operating results by:</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making it more difficult for us to make payments on our indebtedness and comply with applicable financial metrics and covenants;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requiring us to use a substantial portion of our cash flow to pay interest and principal, which reduces the amount available for operations, distributions, acquisitions and capital expenditures;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making us more vulnerable to economic and industry downturns and reducing our flexibility to respond to changing business and economic conditions;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requiring us to agree to less favorable terms, including higher interest rates, in order to incur additional debt, and otherwise limiting our ability to borrow for operations, working capital or to finance acquisitions in the future; or</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limiting our flexibility in conducting our business, which may place us at a disadvantage compared to competitors with less debt or debt with less restrictive terms.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New Credit Agreement subjects us to operating restrictions and financial covenants that impose risk of default and may restrict our business and financing activities.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obligations under our New Credit Agreement are secured by substantially all of the assets of the Company and those of its subsidiaries that are guarantors. The covenants of the New Credit Agreement include customary negative covenants that, among other things, restrict the Company’s ability to incur additional indebtedness, grant liens and make certain acquisitions, investments, asset dispositions and restricted payments. In addition, the New Credit Agreement contains a springing financial covenant, tested on the last day of any fiscal quarter if utilization of the Revolving Credit Facility exceeds 35% of the total revolving commitments, that requires the Company to maintain a first lien net leverage ratio not greater than 3.25 to 1.00.</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New Credit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Conversion of our Convertible Senior Notes will dilute the ownership interest of existing stockholders, including holders who had previously converted their Convertible Senior Notes, or may otherwise depress the price of our common stock.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2021, we sold Convertible Senior Notes for gross proceeds of $400.0 million. The conversion of some or all of the Convertible Senior Notes will dilute the ownership interests of existing stockholders to the extent we deliver shares of common stock upon conversion of any of the Convertible Senior Notes. The Convertible Senior Notes are not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convertible but may from time to time in the future be convertible at the option of their holders prior to their scheduled terms under certain circumstances. Any sales in the public market of the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The Capped Call Transactions may affect the value of the Convertible Senior Notes and our common stock.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Convertible Senior Notes, we entered into privately negotiated capped call transactions with various financial institutions (the "Capped Call Transactions"). The Capped Call Transactions are expected generally to reduce or offset the potential dilution upon conversion of the Convertible Senior Notes and/or offset any cash payments we are required to make in excess of the principal amount of converted Convertible Senior Notes, as the case may be, with such reduction and/or offset subject to a cap.</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establishing their initial hedges of the Capped Call Transactions, financial institutions or their respective affiliates likely purchased shares of our common stock and/or entered into various derivative transactions with respect to our common stock concurrently with or shortly after the pricing of the Convertible Senior Notes. These financial institutions or their respective affiliates may modify their hedge positions by entering into or unwinding various derivatives with respect to our common stock and/or purchasing or selling our common stock or other securities in secondary market transactions prior to the maturity of the Convertible Senior Notes (and are likely to do so during any observation period related to a conversion of Convertible Senior Notes). This activity could also cause or avoid an increase or a decrease in the market price of our common stock or the Convertible Senior Notes.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potential effect, if any, of these transactions and activities on the price of our common stock or the Convertible Senior Notes will depend in part on market conditions and cannot be ascertained at this time. Any of these activities could adversely affect the value of our common stock and the value of the Convertible Senior Notes (and as a result, the amount and value of consideration that a holder would receive upon conversion of any Convertible Senior Notes) and, under certain circumstances, a holder’s ability to convert his or her Convertible Senior Notes.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 Transactions.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counterparties to the Capped Call Transactions are financial institutions, and we are subject to the risk that one or more of the counterparties may default or otherwise fail to perform, or may exercise certain rights to terminate, their obligations under the Capped Call Transactions. Our exposure to the credit risk of the option counterparties is not secured by any collateral. Global economic conditions have in the past resulted in the actual or perceived failure or financial difficulties of many financial institutions. If any option counterparty becomes subject to proceedings, we will become an unsecured creditor in those proceedings with a claim equal to our exposure at the time under any Capped Call Transactions with that option counterparty.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The conditional conversion feature of the Convertible Senior Notes, if triggered, may adversely affect our financial condition and operating results.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the conditional conversion feature of the Convertible Senior Notes is triggered, holders of the Convertible Senior Notes will be entitled to convert their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Provisions in the indenture for the Convertible Senior Notes may deter or prevent a business combination that may be favorable to our stockholders.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fundamental change occurs prior to the maturity date of the Convertible Senior Notes, holders of the Convertible Senior Notes will have the right, at their option, to require us to repurchase all or a portion of their Convertible Senior Notes. In addition, if a "make-whole fundamental change" (as defined in the Indenture) occurs prior the maturity date, we will in some cases be required to increase the conversion rate of the Convertible Senior Notes for a holder that elects to convert its Convertible Senior Notes in connection with such make-whole fundamental change.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Indenture prohibits us from engaging in certain mergers or acquisitions unless, among other things, the surviving entity assumes our obligations under the Convertible Senior Notes. These and other provisions in the Indenture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could deter or prevent a third party from acquiring the Company even when the acquisition may be favorable to our stockholders.</w:t>
      </w:r>
    </w:p>
    <w:p>
      <w:pPr>
        <w:pStyle w:val="TextBody"/>
        <w:bidi w:val="0"/>
        <w:spacing w:before="100" w:after="100"/>
        <w:ind w:left="0" w:right="0" w:firstLine="72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Risks Related to Our International Business Strategy.</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international operations require increased expenditures and impose additional risks and compliance imperatives, and failure to successfully execute our international plans will adversely affect our growth and operating results.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operations outside of North America, in the UK, EU, Australia, New Zealand, Japan, Singapore, India, and Brazil, and achievement of our international objectives will require a significant amount of attention from our management, finance, legal, analytics, operations, sales, and engineering teams, as well as significant investment in developing the technology infrastructure necessary to deliver our solution and maintain sales, delivery, support, and administrative capabilities in the countries where we operate. Attracting new buyers and sellers outside the United States may require more time and expense than in the United States, in part due to language barriers and the need to educate such buyers and sellers about our solution, and we may not be successful in establishing and maintaining these relationships. The data center and telecommunications infrastructure in some overseas markets may not be as reliable as in North America and Europe, which could disrupt our operations. In addition, our international operations will require us to develop and administer our internal controls and legal and compliance practices in countries with different cultural norms, languages, currencies, legal requirements, and business practices than the United States.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International operations also impose risks and challenges in addition to those faced in the United States, including management of a distributed workforce; the need to adapt our offering to satisfy local requirements and standards (including differing privacy policies and labor laws that are sometimes more stringent); laws and business practices that may favor local competitors; legal requirements or business expectations that agreements be drafted and negotiated in the local language and disputes be resolved in local courts according to local laws; the need to enable transactions in local currencies; longer accounts receivable payment cycles and other collection difficulties; the effect of global and regional recessions and economic and political instability; potentially adverse tax consequences in the United States and abroad; staffing challenges, including difficulty in recruiting and retaining qualified personnel as well as managing such a diversity in personnel; reduced or ineffective protection of our intellectual property rights in some countries; and costs and restrictions affecting the repatriation of funds to the United States.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 or more of these requirements and risks may make our international operations more difficult and expensive or less successful than we expect, and may preclude us from operating in some markets. There is no assurance that our international expansion efforts will be successful, and we may not generate sufficient revenue or margins from our international business to cover our expenses or contribute to our growth.</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Operating in multiple countries requires us to comply with different legal and regulatory requirements.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international operations subject us to laws and regulations of multiple jurisdictions, as well as U.S. laws governing international operations, which are often evolving and sometimes conflict. For example, the Foreign Corrupt Practices Act ("FCPA"), and comparable foreign laws and regulations (including the U.K. Bribery Act) prohibit improper payments or offers of payments to foreign governments and their officials and political parties by U.S. and other business entities for the purpose of obtaining or retaining business. Other laws and regulations prohibit bribery of private parties and other forms of corruption. As we expand our international operations, there is some risk of unauthorized payment or offers of payment or other inappropriate conduct by one of our employees, consultants, agents, or other contractors, including by persons engaged or employed by a business we acquire, which could result in violation by us of various laws, including the FCPA. Safeguards we implement to discourage these practices may prove to be ineffective and violations of the FCPA and other laws may result in severe criminal or civil sanctions, or other liabilities or proceedings against us, including class action lawsuits and enforcement actions from the SEC, Department of Justice, and foreign regulators. Other laws applicable to our international business include local employment, tax, privacy, data security, and intellectual property protection laws and regulations, including restrictions on movement of information about individuals beyond national borders. In particular, as explained in more detail elsewhere in this report, the GDPR imposes substantial compliance obligations and increases the risks associated with collection and processing of personal data. In some cases, buyers and sellers operating in non-U.S. markets may impose additional requirements on our non-U.S. business in efforts to comply with their interpretation of their own or our legal obligations. These requirements may differ significantly from the requirements applicable to our business in the United States and may require engineering, infrastructure and other costly resources to accommodate, and may result in decreased operational efficiencies and performance. As these laws continue to evolve and we expand to more jurisdictions or acquire new businesses, compliance will become more complex and expensive, and the risk of non-compliance will increase.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with complex foreign and U.S. laws and regulations that apply to our international operations increases our cost of doing business abroad, and violation of these laws or regulations may interfere with our ability to offer our solution competitively in one or more countries, expose us or our employees to fines and penalties, and result in the limitation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prohibition of our conduct of business. In addition, we have recently received numerous inquiries from foreign regulators asking for information about advertising technology generally and our business specifically. These investigations are costly and time consuming to respond to and divert management attention.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Risks Related to Our Internal Controls and Finances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in the future, we may not be able to accurately or timely report our financial condition or results of operations. If our internal control over financial reporting is not effective, it may adversely affect investor confidence in us and the price of our common stock.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 over financial reporting.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system applications are complex, multi-faceted and include applications that are highly customized in order to serve and support our clients, advertising inventory and data suppliers, as well as support our financial reporting obligations. We regularly make improvements to our platform to maintain and enhance our competitive position. In the future, we may implement new offerings and engage in business transactions, such as acquisitions, reorganizations or implementation of new information systems. These factors require us to develop and maintain our internal controls, processes and reporting systems, and we expect to incur ongoing costs in this effort. We may not be successful in developing and maintaining effective internal controls, and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identify material weaknesses in our internal control over financial reporting, we will be unable to assert that our internal control over financial reporting is effective. If we are unable to assert that our internal control over financial reporting is effective, if our independent registered public accounting firm is unable to express an unqualified opinion as to the effectiveness of our internal control over financial reporting, or if we are unable to comply with the requirements of the Sarbanes-Oxley Act in a timely manner, then, we may be late with the filing of our periodic reports, investors may lose confidence in the accuracy and completeness of our financial reports and the market price of our common stock could be negatively affected. Such failures could also subject us to investigations by Nasdaq, the stock exchange on which our securities are listed, the SEC or other regulatory authorities, and to litigation from stockholders, which could harm our reputation, financial condition or divert financial and management resources from our core business.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and tax credit carryforwards to offset future taxable income may be subject to certain limitations, which could result in higher tax liabilities.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fully utilize our net operating loss and tax credit carryforwards to offset future taxable income may be limited.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we had U.S. federal net operating loss carryforwards, or NOLs, of approximately $252.6 million, state NOLs of approximately $205.3 million, foreign NOLs of approximately $17.6 million, federal research and development tax credit carryforwards of approximately $8.1 million, and state research and development tax credit carryforwards of approximately $10.1 million. A lack of future taxable income would adversely affect our ability to utilize these NOLs and credit carryforwards. In addition, under Sections 382 and 383 of the Internal Revenue Code of 1986, as amended, or the Code, and comparable state income tax laws, a corporation that undergoes an "ownership change" is subject to limitations on its ability to utilize its NOLs and credit carryforwards to offset future taxable income following the ownership change. As a result, future changes in our stock ownership, including because of issuance of shares of common stock in connection with acquisitions or other direct or indirect changes in our ownership that may be outside of our control, could result in limitations on our ability to fully utilize our NOLs and credit carryforwards. The Company had an ownership change on December 31, 2016 subjecting the federal and state NOLs to annual limitations that have expired. Additionally, the Company had an ownership change in January 2008 resulting in not material limitation of federal and state NOLs under Section 382 of the Code and comparable state income tax laws. Moreover, not material federal and state NOLs and federal research and development tax credits were generated during the pre-acquisition period by corporations that we acquired, and thus those NOLs already are subject to limitation under Section 382 and 383 of the Code and comparable state income tax laws. Also, prior to the merger, Telaria Inc. ("Telaria") acquired corporations with pre-acquisition NOLs that are subject to limitation under Section 382 of the Code and comparable state income tax laws.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and Telaria both underwent ownership changes for tax purposes (i.e. a more than 50% change in stock ownership in aggregated 5% shareholders) on April 1, 2020 due to the Merger. As a result, the use of the Company’s total domestic NOL carryforwards and tax credits generated prior to the ownership change will be subject to annual use limitations under Section 382 and Section 383 of the Code and comparable state income tax laws. The Company believes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that the ownership changes will not impact the ability to utilize substantially all of our NOLs and state research and development tax credits to the extent we generate taxable income that can be offset by such losses.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Also, depending on the timing and level of our taxable income, a portion of our NOLs may expire unutilized, which could prevent us from offsetting future taxable income we may generate by the amount of our NOLs and credit carryforwards generated in tax years beginning before December 31, 2018. U.S. federal NOLs generated for tax years beginning before December 31, 2018 can offset 100% of taxable income, however, these NOLs can only be carried forward for 20 years. U.S. federal NOLs generated for tax years beginning after December 31, 2018 can offset 80% of taxable income, however, these NOLs can be carried forward indefinitely.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have released our U.S. federal valuation allowances, the majority of our state valuation allowances, and certain foreign valuation allowances on deferred tax assets based on sustained profitability and cumulative three-year pre-tax income. As a result, significant deferred tax assets are reflected on our balance sheet. The realization of these deferred tax assets depends on our ability to generate sufficient taxable income in the relevant jurisdictions during the periods in which the temporary differences reverse and tax attributes remain available. If our actual results differ materially from our projections, if we experience a significant decline in profitability, or if tax laws or interpretations change, we may determine that it is no longer more likely than not that some portion or all of our deferred tax assets will be realized. In such event, we would be required to establish or increase a valuation allowance through income tax expense, which could materially increase our effective tax rate and adversely affect our financial condition and results of operations.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business or to refinance our existing debt obligations as they come due, and such capital might not be available on terms acceptable to us, if at all. Inability to obtain financing could limit our ability to conduct necessary operating activities, make strategic investments or repay or refinance our existing debt obligations.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Various business challenges and opportunities may require additional funds, including the need to respond to competitive threats or market evolution by developing new solutions and improving our operating infrastructure through additional hiring or acquisition of complementary businesses or technologies, or both. In addition, we could incur significant expenses or shortfalls in anticipated cash generated as a result of unanticipated events in our business or competitive, regulatory, or other changes in our market, or longer payment cycles required or imposed by our buyers.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available cash and cash equivalents, any cash we may generate from operations, and our available line of credit under our credit facility may not be adequate to meet our capital needs, and therefore we may need to engage in equity or debt financings to secure additional funds. We may not be able to obtain additional financing on terms favorable to us, if at all. If we are unable to obtain adequate financing on terms satisfactory to us when we require it or are unable to renew our credit facility when it matures or enter into a new one or we are unable to refinance or otherwise satisfy our Convertible Senior Notes before they come due, on terms satisfactory to us or at all, our ability to continue to support our business growth and respond to business challenges could be significantly impaired, and our business and financial condition may be adversely affected.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do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In addition, if we issue debt, the holders of that debt would have prior claims on the Company's assets, and in case of insolvency, the claims of creditors would be satisfied before distribution of value to equity holders, which would result in significant reduction or total loss of the value of our equity.</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Risks Related to the Securities Markets and Ownership of our Common Stock</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The price of our common stock has been and may continue to be volatile and the value of an investment in our common stock could decline.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substantially and may continue to do so. These fluctuations could result in significant decreases in the value of an investment in our common stock. Factors that could cause fluctuations in the trading price of our common stock include the following:</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announcements of new offerings, products, services or technologies, commercial relationships, acquisitions, or other events by us or our competitors;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significant volatility in the market price and trading volume of technology companies in general and of companies in the digital advertising industry in particular;</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fluctuations in the trading volume of our shares or the size of our public float;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actual or anticipated changes in the expectations of investors or securities analysts, and whether our results of operations meet these expectations;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issuance of research reports by analysts or investors;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litigation involving us, our industry, or both;</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regulatory developments in the United States, foreign countries, or both;</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general economic conditions and trends;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major catastrophic events;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political uncertainty;</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breaches or system outages;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departures of officers or other key employees; or</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an adverse impact on the company resulting from other causes, including any of the other risks described in this report.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the market for advertising technology stocks or the stock market, in general, experiences a loss of investor confidence, the trading price of our common stock could decline for reasons unrelated to our business. The trading price of our common stock might also decline in reaction to events that affect other companies in our industry even if these events do not directly affect us. Declines in the price of our common stock, even following increases, may result in securities litigation against us, which would result in substantial costs and divert our management's attention and resources from our business.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We cannot guarantee that our repurchase program will enhance shareholder value, and repurchases could affect the price of our common stock and Convertible Senior Notes.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23, 2026, our Board of Directors approved a repurchase program (the "February 2026 Repurchase Plan"), under which we are authorized to repurchase common stock with an aggregate market value of up to $200.0 million, through February 29, 2028. The February 2026 Repurchase Plan allows us to repurchase our common stock using open market stock purchases, privately negotiated transactions, block trades or other means in accordance with U.S. securities laws. The number of securities repurchased and the timing of repurchases will depend on a number of factors, including, but not limited to, share price, trading volume and general market conditions, along with working capital requirements, general business conditions, other opportunities that we may have for the use or investment of our capital and other factors, and there is no guarantee that any repurchases will enhance shareholder value. The February 2026 Repurchase Plan does not obligate us to repurchase any particular amount of common stock and may be suspended, modified or discontinued at any time at our discretion. The February 2026 Repurchase Plan could affect the price of our common stock, increase volatility and diminish our cash reserves.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Provisions of our charter documents and Delaware law may inhibit a potential acquisition of the company and limit the ability of stockholders to cause changes in company management.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include provisions, as described below, that could delay or prevent a change in control of the company, and make it difficult for stockholders to elect directors who are not nominated by the current members of our board of directors or take other actions to change company management.</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Our certificate of incorporation gives our board of directors the authority to issue shares of preferred stock in one or more series, and to establish the number of shares in each series and to fix the price, designations, powers, preferences and relative, participating, optional or other rights, if any, and the qualifications, limitations, or restrictions of each series of the preferred stock without any further vote or action by stockholders. The issuance of shares of preferred stock may discourage, delay or prevent a merger or acquisition of the company by significantly diluting the ownership of a hostile acquirer, resulting in the loss of voting power and reduced ability to cause a takeover or effect other changes.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Our certificate of incorporation provides that our board of directors is classified, with only one of its three classes elected each year, and directors may be removed only for cause and only with the vote of 66</w:t>
      </w:r>
      <w:r>
        <w:rPr>
          <w:color w:val="000000"/>
        </w:rPr>
        <w:t xml:space="preserve"> </w:t>
      </w:r>
      <w:r>
        <w:rPr>
          <w:rFonts w:ascii="Times New Roman;serif" w:hAnsi="Times New Roman;serif"/>
          <w:b w:val="false"/>
          <w:color w:val="000000"/>
          <w:sz w:val="13"/>
        </w:rPr>
        <w:t>2</w:t>
      </w:r>
      <w:r>
        <w:rPr>
          <w:rFonts w:ascii="Times New Roman;serif" w:hAnsi="Times New Roman;serif"/>
          <w:b w:val="false"/>
          <w:color w:val="000000"/>
          <w:sz w:val="20"/>
        </w:rPr>
        <w:t>/</w:t>
      </w:r>
      <w:r>
        <w:rPr>
          <w:rFonts w:ascii="Times New Roman;serif" w:hAnsi="Times New Roman;serif"/>
          <w:b w:val="false"/>
          <w:color w:val="000000"/>
          <w:sz w:val="13"/>
        </w:rPr>
        <w:t>3</w:t>
      </w:r>
      <w:r>
        <w:rPr>
          <w:rFonts w:ascii="Times New Roman;serif" w:hAnsi="Times New Roman;serif"/>
          <w:b w:val="false"/>
          <w:color w:val="000000"/>
          <w:sz w:val="20"/>
        </w:rPr>
        <w:t>% of the voting power of stock outstanding and entitled to vote thereon. Further, the number of directors is determined solely by our board of directors, and because we do not allow for cumulative voting rights, holders of a majority of shares of common stock entitled to vote may elect all of the directors standing for election. These provisions could delay the ability of stockholders to change the membership of a majority of our board of directors.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Under our bylaws, only the board of directors or a majority of remaining directors, even if less than a quorum, may fill vacancies resulting from an increase in the authorized number of directors or the resignation, death or removal of a director.</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Our certificate of incorporation prohibits stockholder action by written consent, so any action by stockholders may only be taken at an annual or special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Our certificate of incorporation provides that a special meeting of stockholders may be called only by the board of directors. This could delay any effort by stockholders to force consideration of a proposal or to take action, including the removal of directors.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Under our bylaws, advance notice must be given to nominate directors or submit proposals for consideration at stockholders' meetings. This gives our board of directors time to defend against takeover attempts and could discourage or deter a potential acquirer from soliciting proxies or making proposals related to an unsolicited takeover attempt.</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The provisions of our certificate of incorporation noted above may be amended only with the affirmative vote of holders of at least 66</w:t>
      </w:r>
      <w:r>
        <w:rPr>
          <w:color w:val="000000"/>
        </w:rPr>
        <w:t xml:space="preserve"> </w:t>
      </w:r>
      <w:r>
        <w:rPr>
          <w:rFonts w:ascii="Times New Roman;serif" w:hAnsi="Times New Roman;serif"/>
          <w:b w:val="false"/>
          <w:color w:val="000000"/>
          <w:sz w:val="13"/>
        </w:rPr>
        <w:t>2</w:t>
      </w:r>
      <w:r>
        <w:rPr>
          <w:rFonts w:ascii="Times New Roman;serif" w:hAnsi="Times New Roman;serif"/>
          <w:b w:val="false"/>
          <w:color w:val="000000"/>
          <w:sz w:val="20"/>
        </w:rPr>
        <w:t>/</w:t>
      </w:r>
      <w:r>
        <w:rPr>
          <w:rFonts w:ascii="Times New Roman;serif" w:hAnsi="Times New Roman;serif"/>
          <w:b w:val="false"/>
          <w:color w:val="000000"/>
          <w:sz w:val="13"/>
        </w:rPr>
        <w:t>3</w:t>
      </w:r>
      <w:r>
        <w:rPr>
          <w:rFonts w:ascii="Times New Roman;serif" w:hAnsi="Times New Roman;serif"/>
          <w:b w:val="false"/>
          <w:color w:val="000000"/>
          <w:sz w:val="20"/>
        </w:rPr>
        <w:t>% of the voting power of all of the then-outstanding shares of the company's voting stock, voting together as a single class. The same two-thirds vote is required to amend the provision of our certificate of incorporation imposing these supermajority voting requirements. Further, our bylaws may be amended only by our board of directors or by the same percentage vote of stockholders noted above as required to amend our certificate of incorporation. These supermajority voting requirements may inhibit the ability of a potential acquirer to effect such amendments to facilitate an unsolicited takeover attempt.</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Our board of directors may amend our bylaws by majority vote. This could allow the board to use bylaw amendments to delay or prevent an unsolicited takeover, and limits the ability of an acquirer to amend the bylaws to facilitate an unsolicited takeover attempt.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subject to Section 203 of the Delaware General Corporation Law, which prohibits us from engaging in any business combination with an interested stockholder for a period of three years from the date the person became an interested stockholder, unless certain conditions are met. These provisions make it more difficult for stockholders or potential acquirers to acquire the company without negotiation and may apply even if some of our stockholders consider the proposed transaction beneficial to them. For example, these provisions might discourage a potential acquisition proposal or tender offer, even if the acquisition proposal or tender offer were to be at a premium over the then-current market price for our common stock. These provisions could also limit the price that investors are willing to pay in the future for shares of our common stock.    </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Cybersecurity is a critical aspect of our business. As the world's largest independent omni-channel sell-side advertising platform, we face a multitude of cybersecurity threats, and our customers rely on us to safeguard their data. These challenges make it imperative that we take information security seriously and, as such, we expend considerable resources on cybersecurity. We have implemented a comprehensive cybersecurity framework to identify, assess, and manage risks from cybersecurity threats that may result in adverse effects on the confidentiality, integrity, and availability of our information systems.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Cybersecurity matters are overseen by our board of directors, which meets quarterly to review the measures implemented by the Company to identify and mitigate cybersecurity risks. Our Chief Information Security Officer (“CISO”) reports to the board quarterly on cybersecurity matters. These reports and presentations are prepared with input from members of our senior management team responsible for overseeing the company’s cybersecurity risk management, including the Chief Technology Officer, Chief Financial Officer, Chief Legal Officer, Chief People Officer, and SVP, Engineering, who is responsible for the technical infrastructure and engineering organization. In addition, cybersecurity risks and associated mitigation efforts are assessed by senior management as part of the enterprise risk assessment process that includes reporting to and discussion with the audit committee and our board of directors. Further, cybersecurity controls have been integrated into our disclosure controls and procedures.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CISO leads the team responsible for implementing, monitoring and maintaining cybersecurity and data protection practices across our business. Our CISO has extensive background, knowledge and skill in cybersecurity, with over 12 years of experience in establishing and maturing cybersecurity strategies and safeguards in the advertising technology space, from small startups to Fortune 500 companies. She holds a bachelors degree, with a certificate in architecture and systems engineering, and a professional education certificate in AI and machine learning.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CISO receives reports on cybersecurity threats from internal information security personnel and open source intelligence on an ongoing basis and, in conjunction with management, regularly reviews risk management measures implemented by the Company to identify and mitigate cybersecurity risks. These sources all contribute to the building of a comprehensive threat profile for Magnite. The CISO attends meetings of the board of directors to report on any material developments. The Company has protocols by which cybersecurity incidents are reported promptly to management and the legal team.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information security policies which outline the relationship between employees and information technologies and systems within the Company, and set guidelines on how such technologies and systems should and should not be used. These policies are revised regularly by the CISO and reviewed and acknowledged by all Company employees in conjunction with annual cybersecurity training. The security policies outline the requirements for system configuration and administration of systems within the Company, and include steps for reporting cybersecurity incidents and informing and involving senior management and other key stakeholders as appropriate.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incident response, the Company has adopted an Incident Response Plan (an "IRP") that applies in the event of a cybersecurity threat or incident to provide a standardized framework for responding to security incidents, including malware, hacking, data breach (including third-party data breach), and other types of vulnerabilities. The IRP sets out a coordinated approach to investigating, containing, documenting and mitigating incidents, and provides triage workflows for individuals to follow. Our incident response process is generally based on the NIST Cybersecurity Framework and customized for our business and focuses on four phases: 1) Preparation; 2) Detection and analysis; 3) Containment, eradication and recovery; and 4) In post-incident remediation. The IRP applies to all Company personnel (including third-party contractors, vendors and partners) that perform functions or services requiring access to secure Company information, and to all devices and network services that are owned or managed by the Company. Our incident response team includes our CISO and the security team, along with various business units as applicable and the team undergoes periodic training which includes exercises on monitoring and detection tools.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Security incidents are reviewed by the CISO and the security team as soon as they are discovered or reported. The initial review of a security incident is conducted immediately in order to appropriately determine the severity and urgency of the event, provide the most rapid response possible, and meet disclosure obligations. Key stakeholders and owners of the impacted systems or processes are included in the incident review process and are brought in immediately in the case of potentially critical incidents. All phases of the review process are led by the CISO or another member of the security team, as appropriate.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perform regular vulnerability scanning of our systems in order to confirm that appropriate security controls are in place and function properly in accordance with established policies. We also have ongoing engagements with security consultants, and vendors help us with annual penetration testing and other tasks as needed. We have a robust internal controls framework and process and issue annual SOC 1 Type 2 reports covering our DV+ and SpringServe platforms. We also delivered an audited SOC2 Type 1 report covering our DV+ and SpringServe platforms in 2025. In addition to our internal audit team, we have a dedicated governance, risk and compliance manager who helps promote compliance with our control framework.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detailed elsewhere in this Annual Report on Form 10-K, we also rely on information technology and third-party vendors to support our operations, including our secure processing of personal, confidential, proprietary and other types of information. We use state of the art systems with respect to the type of information processed, and employ processes designed to identify and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potential impact of a security incident with a third-party vendor or customer or otherwise impact the third-party technology and systems we use. Despite ongoing efforts to drive continuous improvement of our and our vendors’ ability to protect against cyber-attacks, we may not be able to protect all information systems at all times. Any incidents may lead to reputational harm, revenue and client loss, legal actions, statutory penalties, among other consequences.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maintain a robust cybersecurity program, due to the evolving cybersecurity threat landscape, it has and will continue to be difficult to prevent, detect, mitigate, and remediate cybersecurity incidents. While we are not aware of any risks from cybersecurity threats or incidents that have materially affected or are reasonably likely to materially affect the Company, including its business strategy, results of operations, or financial condition, there can be no guarantee that we will not be the subject of future successful attacks, threats or incidents. To mitigate against such risks, the company carries cybersecurity insurance that provides protection against potential losses arising from a cybersecurity incident. Refer to Item 1A. "Risk Factors" for additional information related to cybersecurity risks and the impact they may have on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are located in New York, New York, where we occupy office space totaling approximately 54,080 square feet under leases that expire in 2038. We use these facilities for our principal administration, sales and marketing, technology and development, and engineering activities.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have an office in Los Angeles under a lease that expires in 2032 that is approximately 38,754 square feet and lease additional offices and maintain data centers in other locations in North America, South America, Europe, Australia, and Asia. We believe that our current facilities are adequate to meet our current needs, and that, if we require additional space, we will be able to obtain additional facilities on commercially reasonable terms.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claims relating to our collection or use of data, regulatory investigations, audits by taxing authorities, or enforcement proceedings, and claims by persons whose employment has been terminated. For example, we have recently been subject to class action lawsuits alleging violations of various privacy statutes. Additionally, on September 16, 2025, we filed the Google Action. For additional information, refer to the "Regulatory Developments and Google Litigation" section in Item 7. Management's Discussion and Analysis of Financial Condition and Results of Operations.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matters are subject to many uncertainties, and outcomes are not predictable with assurance. Consequently, we are unable to ascertain the ultimate aggregate amount of monetary liability or awards, amounts which may be covered by insurance or recoverable from third parties, or the financial impact with respect to such matters as of December 31, 2025. However, based on our knowledge as of December 31, 2025, we believe that the final resolution of such matters pending at the time of this report, individually and in the aggregate, will not have a material adverse effect upon our consolidated financial position, results of operations or cash flows.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13—"Commitments and Contingencies" for additional information related to legal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of the Nasdaq Stock Market LLC ("Nasdaq") under the symbol "MGNI."</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19, 2026, there were approximately 42 holders of record of our common stock. The actual number of stockholders is greater than this number of record holders and includes stockholders who are beneficial owners but whose shares are held in street name by brokers and other nominees. This number of holders also does not include stockholders whose shares may be held in trust by other entities.</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dividends and we do not anticipate paying any cash dividends in the foreseeable future. In addition, our credit facility contains restrictions on our ability to pay dividends.</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stock repurchases during the quarter ended December 31, 2025 were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686"/>
        <w:gridCol w:w="425"/>
        <w:gridCol w:w="430"/>
        <w:gridCol w:w="109"/>
        <w:gridCol w:w="109"/>
        <w:gridCol w:w="109"/>
        <w:gridCol w:w="473"/>
        <w:gridCol w:w="473"/>
        <w:gridCol w:w="474"/>
        <w:gridCol w:w="109"/>
        <w:gridCol w:w="109"/>
        <w:gridCol w:w="109"/>
        <w:gridCol w:w="269"/>
        <w:gridCol w:w="787"/>
        <w:gridCol w:w="139"/>
        <w:gridCol w:w="109"/>
        <w:gridCol w:w="109"/>
        <w:gridCol w:w="109"/>
        <w:gridCol w:w="730"/>
        <w:gridCol w:w="730"/>
        <w:gridCol w:w="732"/>
        <w:gridCol w:w="109"/>
        <w:gridCol w:w="109"/>
        <w:gridCol w:w="109"/>
        <w:gridCol w:w="491"/>
        <w:gridCol w:w="1686"/>
        <w:gridCol w:w="372"/>
      </w:tblGrid>
      <w:tr>
        <w:trPr/>
        <w:tc>
          <w:tcPr>
            <w:tcW w:w="68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Approximate Dollar Value that May Yet be Purchased Under the Program</w:t>
            </w:r>
          </w:p>
        </w:tc>
      </w:tr>
      <w:tr>
        <w:trPr/>
        <w:tc>
          <w:tcPr>
            <w:tcW w:w="1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October 1 -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87,547 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November 1 -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87,547 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1 -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withholding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64,145 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 </w:t>
      </w:r>
    </w:p>
    <w:p>
      <w:pPr>
        <w:pStyle w:val="TextBody"/>
        <w:bidi w:val="0"/>
        <w:spacing w:lineRule="auto" w:line="288" w:before="100" w:after="10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On February 1, 2024, our Board of Directors approved a share repurchase program (the "February 2024 Repurchase Plan") under which the Company is authorized to repurchase common stock or Convertible Senior Notes, with an aggregate market value of up to $125.0 million, through February 1, 2026. Shares repurchased under the February 2024 Repurchase Plan in the quarter ended December 31, 2025 have been subsequently retired, which was recorded as a reduction in additional paid in capital. The average price per share purchased under the February 2024 Repurchase Plan includes broker commission costs. As of December 31, 2025, $64.1 million remains available under the February 2024 Repurchase Plan.</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performance graph shall not be deemed "soliciting material" or to be "filed" with the SEC for purposes of Section 18 of the Exchange Act, or otherwise subject to the liabilities under that Section, and shall not be deemed to be incorporated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reference into any filing of ours under the Securities Act of 1933, as amended, except as shall be expressly set forth by specific reference in such filing.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on an initial investment of $100 in our common stock between December 31, 2020 and December 31, 2025, with the comparative cumulative total returns of the S&amp;P 500 Index, Nasdaq Composite, Nasdaq Internet Index, S&amp;P Internet Select Industry Index, and Russell 2000 Index over the same period. As previously discussed, we have not paid any cash dividends and, therefore, the cumulative total return calculation for us is based solely upon stock price appreciation (depreciation) and not reinvestment of cash dividends, whereas the data for the comparative indexes assumes reinvestments of dividends. The returns shown are based on historical results and are not necessarily indicative of, nor intended to forecast, future stock price performance.</w:t>
      </w:r>
    </w:p>
    <w:p>
      <w:pPr>
        <w:pStyle w:val="TextBody"/>
        <w:bidi w:val="0"/>
        <w:spacing w:before="100" w:after="100"/>
        <w:ind w:left="0" w:right="0" w:firstLine="720"/>
        <w:jc w:val="left"/>
        <w:rPr/>
      </w:pPr>
      <w:r>
        <w:rPr/>
      </w:r>
    </w:p>
    <w:p>
      <w:pPr>
        <w:pStyle w:val="TextBody"/>
        <w:bidi w:val="0"/>
        <w:spacing w:lineRule="auto" w:line="288" w:before="100" w:after="100"/>
        <w:ind w:left="0" w:right="0" w:firstLine="720"/>
        <w:jc w:val="center"/>
        <w:rPr>
          <w:rFonts w:ascii="Times New Roman;serif" w:hAnsi="Times New Roman;serif"/>
          <w:b/>
          <w:color w:val="000000"/>
          <w:sz w:val="20"/>
        </w:rPr>
      </w:pPr>
      <w:r>
        <w:rPr>
          <w:rFonts w:ascii="Times New Roman;serif" w:hAnsi="Times New Roman;serif"/>
          <w:b/>
          <w:color w:val="000000"/>
          <w:sz w:val="20"/>
        </w:rPr>
        <w:t>COMPARISON OF CUMULATIVE TOTAL RETURN</w:t>
      </w:r>
    </w:p>
    <w:p>
      <w:pPr>
        <w:pStyle w:val="TextBody"/>
        <w:bidi w:val="0"/>
        <w:spacing w:before="100" w:after="100"/>
        <w:jc w:val="center"/>
        <w:rPr/>
      </w:pPr>
      <w:r>
        <w:rPr/>
        <w:drawing>
          <wp:inline distT="0" distB="0" distL="0" distR="0">
            <wp:extent cx="6743700" cy="3305175"/>
            <wp:effectExtent l="0" t="0" r="0" b="0"/>
            <wp:docPr id="4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 descr=""/>
                    <pic:cNvPicPr>
                      <a:picLocks noChangeAspect="1" noChangeArrowheads="1"/>
                    </pic:cNvPicPr>
                  </pic:nvPicPr>
                  <pic:blipFill>
                    <a:blip r:embed="rId2"/>
                    <a:stretch>
                      <a:fillRect/>
                    </a:stretch>
                  </pic:blipFill>
                  <pic:spPr bwMode="auto">
                    <a:xfrm>
                      <a:off x="0" y="0"/>
                      <a:ext cx="6743700" cy="330517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"Item 1A. Risk Factors" and the "Special Note About Forward-Looking Statements; Summary of Risk Factors."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Overview and Trends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"Item 1. Business" for an overview of our business, the industry in which we operate, and important industry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Financial Highlights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represents our consolidated financial highlights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1160"/>
        <w:gridCol w:w="947"/>
        <w:gridCol w:w="953"/>
        <w:gridCol w:w="246"/>
        <w:gridCol w:w="964"/>
        <w:gridCol w:w="126"/>
        <w:gridCol w:w="109"/>
        <w:gridCol w:w="109"/>
        <w:gridCol w:w="109"/>
        <w:gridCol w:w="246"/>
        <w:gridCol w:w="964"/>
        <w:gridCol w:w="126"/>
        <w:gridCol w:w="109"/>
        <w:gridCol w:w="109"/>
        <w:gridCol w:w="109"/>
        <w:gridCol w:w="246"/>
        <w:gridCol w:w="964"/>
        <w:gridCol w:w="126"/>
        <w:gridCol w:w="109"/>
        <w:gridCol w:w="109"/>
        <w:gridCol w:w="109"/>
        <w:gridCol w:w="237"/>
        <w:gridCol w:w="233"/>
        <w:gridCol w:w="443"/>
        <w:gridCol w:w="109"/>
        <w:gridCol w:w="109"/>
        <w:gridCol w:w="109"/>
        <w:gridCol w:w="226"/>
        <w:gridCol w:w="184"/>
        <w:gridCol w:w="506"/>
      </w:tblGrid>
      <w:tr>
        <w:trPr/>
        <w:tc>
          <w:tcPr>
            <w:tcW w:w="116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Measures and non-GAAP Financial Measures:</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 Contribution ex-TAC and Adjusted EBITDA are Non-GAAP measures. Refer to discussion in section "Key Operating and Financial Performance Metrics" for a definition of Contribution ex-TAC and Adjusted EBITDA, as well as reconciliations of gross profit to Contribution ex-TAC and Net income (loss) to Adjusted EBITDA, for the years ended December 31, 2025, 2024, and 2023, respectively.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the past several years, we have made a number of investments to build what we believe is the leading independent programmatic CTV platform, including our 2021 acquisitions of SpotX, a leading CTV supply side platform, and SpringServe, a leading ad server for CTV. We believe these transactions are highly strategic, as the combination of our SSP and ad server allows us to offer publishers an independent full-stack solution that works across their entire video advertising business, for both programmatic and directly sold inventory, to manage yield and drive value. As a result of our investments, CTV has become the biggest growth driver of our business, with revenue growing 9% and Contribution ex-TAC growing 17% year-over-year from 2024 to 2025.</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we are well positioned to take advantage of a number of favorable market trends in CTV. In particular, as the pace of adoption has accelerated and the streaming market has proliferated, the largest streaming publishers have adopted ad-supported models leading to a significant increase in the amount of CTV inventory available for advertisers.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the proliferation of CTV advertising inventory, CTV sellers have been slower to embrace biddable environments with multiple buyers compared to desktop and mobile sellers. Currently, the vast majority of CTV advertising is transacted through reserve auctions that are established by a sellers direct sales team with a single buyer. This is particularly true of larger publishers and broadcasters that are newer to programmatic advertising and have large direct sales forces, as reserve auctions allow the seller to maintain tighter control over their advertising allocation. These publishers have continued to increase their focus and investment in programmatic CTV, and in recent periods have grown as a percentage of our CTV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industry matures, we anticipate that market dynamics will lead CTV sellers to make a greater percentage of inventory available through biddable auction environments with multiple buyers rather than programmatic guaranteed, in order to accommodate a broader set of advertisers that have not historically advertised on linear TV. We believe that this shift, if it were to occur, would likely be beneficial to our CTV growth as biddable transactions tend to require a higher level of service and therefore carry a higher take-rate compared to reserve auctions. At the same time, we expect CTV advertisers that have historically transacted on our platform through managed service insertion orders to continue to shift budgets towards more automated solutions, which tend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to carry a lower take rate; and as a result, we expect transactions through managed service insertion orders to become a smaller component of our overall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and plan to continue to make significant investments in technology, sales and support related to our CTV growth initiatives, and believe CTV will be a significant driver of our revenue growth for the foreseeable future. In April 2025, we announced the introduction of our next generation SpringServe CTV platform. The new SpringServe platform combines the features and functionalities of our streaming SSP and ad server to provide a more efficient connection for buyers to premium CTV supply, while offering powerful tools and streamlined workflow for sellers through a single user interface.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CTV, we track mobile and desktop channels. We expect our revenue and Contribution ex-TAC from each of these channels to grow at a slower rate compared to CTV, with mobile expected to grow at a higher rate than desktop. In particular, we believe growth rates for open web display will be lower across both mobile and desktop, consistent with the overall decline in search referral traffic. We expect our desktop and mobile web business to continue to decline as an overall percentage of our revenue in future periods; however, we expect that contributions from these channels will continue to represent a significant percentage of our revenue in the near term. Therefore, the mix of our desktop and mobile web business will continue to have a negative effect on our overall growth rate.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mobile channel consists of mobile web and mobile applications, with mobile applications expected to be a larger driver of our growth in future periods. A significant portion of the mobile application inventory on our platform is made available through third-party mobile technology platforms or aggregators, rather than application developers themselves. Accordingly, we are focused on expanding our relationships with these third parties in order to increase our access to inventory. Other important growth initiatives for our mobile and desktop channels include: bringing additional advertising demand to sellers through SPO and other buyer initiatives; increasing the operational efficiency of our platform to reduce costs for us as well as the process costs for buyers; developing alternative identity solutions to increase the value of seller inventory, as the industry shifts away from third-party cookies; leveraging our machine learning and big data set to improve traffic shaping and generate higher-quality matching between buyers and sellers; and increasing adoption of our proprietary SDK for mobile in-app advertising.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that our operating expenses will continue to increase in absolute dollars for the foreseeable future as we invest in technology and development to enhance our product features, in particular CTV, as well as sales and marketing to acquire new clients and reinforce our relationships with existing clients. At the same time, we are making additional investments in on-prem data centers to support a higher percentage of CTV transactions, with the goal of increasing the operational efficiency of our platform in order to realize long-term cost savings.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Regulatory Developments and Google Litigation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17, 2025, the United States District Court for the Eastern District of Virginia (the "Court") ruled that Google LLC ("Google") had violated federal antitrust laws by willfully acquiring and maintaining monopoly power in the display publisher ad server market and display ad exchange (also called an SSP) market, and had unlawfully tied its display ad server and ad exchange. Having found Google liable, the Court held closing arguments in November 2025 to determine what remedies are appropriate to restore competition to the affected markets. While the specific timing and nature of these remedies remains uncertain, and Google has indicated its intent to appeal the decision, we expect this ruling to have a significant positive impact on our industry and business prospects.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mobile and desktop SSP competes directly with Google's ad exchange for the placement of display ads within the Google display ad server, which is estimated to be used by approximately 90% of open-web publishers. We believe that the conduct found to be unlawful by the Court provided Google's ad exchange with an unfair advantage relative to rival exchanges, such as our SSP, and artificially depressed our ability to win impressions within the Google display ad server. Moreover, we believe that Google's illegal conduct foreclosed the ability of publishers to freely choose what SSPs or exchanges they worked with to monetize inventory. As such, any remedy that creates a more level playing field and increases publisher choice is likely to improve our ability to monetize a greater share of display inventory while growing our market share in open-web display.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16, 2025, in light of the Court's decision, we filed a lawsuit against Google in the U.S. District Court of the Eastern District of Virginia, seeking damages and other remedies (the "Google Action"). Our complaint alleges that Google engaged in anticompetitive conduct in the ad exchange and ad server markets in violation of federal antitrust laws, including actions that restrict publishers' ability to use competing services and favor Google's own advertising exchange, which caused us substantial harm and lost opportunity. Refer to "Our litigation with Google LLC presents potential risks that could adversely affect our business, results of operations and financial condition" in Item 1A. "Risk Factors".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Macroeconomic Developments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Macroeconomic challenges, such as inflation, tariffs and trade wars, the interest rate environment, global conflicts, the risk of a recession, and labor strikes, generally have a negative impact on ad budgets, which in turn may lead to slower ad spend growth through our platform. Any worsening of macroeconomic conditions in future periods would likely have a negative effect on our financial results, the magnitude of which is difficult to predict. In addition, inflation and tariffs could result in an increase in our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base relative to our revenue and increased cost associated with our infrastructure investments. Moreover, in response to U.S. tariffs, foreign countries in which we operate may enact additional or new taxes that are applicable to our business.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Item 1A. "Risk Factors" for additional information related to risks associated with macroeconomic challenges.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financial results as one operating segment. Our consolidated operating results are regularly reviewed by our chief operating decision maker, principally to make decisions about how we allocate our resources and to measure our consolidated operating performance.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 </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our revenue reported on a gross basis was 10%, 14%, and 18% of total revenue for the respective periods. The decline in our revenue reported on a gross basis as a percentage of our revenue is primarily due to declines in our managed service business, which is accounted for on a gross basis, as advertisers continue to shift budgets towards more automated solutions. </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recognition policies are discussed in more detail in Note 2 of the "Notes to the Consolidated Financial Statements."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Expenses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classify our expenses into the following categories: </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Cost of Revenue</w:t>
      </w:r>
      <w:r>
        <w:rPr>
          <w:rFonts w:ascii="Times New Roman;serif" w:hAnsi="Times New Roman;serif"/>
          <w:b w:val="false"/>
          <w:color w:val="000000"/>
          <w:sz w:val="20"/>
        </w:rPr>
        <w:t>. Our cost of revenue primarily consists of cloud hosting, data center, and bandwidth costs, ad verification costs, depreciation and maintenance expense of hardware supporting our revenue-producing platform, amortization of internally-developed software costs for the development of our revenue-producing platform, amortization expense associated with acquired developed technologies, personnel costs, and software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Sales and Marketing</w:t>
      </w:r>
      <w:r>
        <w:rPr>
          <w:rFonts w:ascii="Times New Roman;serif" w:hAnsi="Times New Roman;serif"/>
          <w:b w:val="false"/>
          <w:color w:val="000000"/>
          <w:sz w:val="20"/>
        </w:rPr>
        <w:t>. Our sales and marketing expenses primarily consist of personnel costs, including salaries, bonuses, and stock-based compensation, as well as marketing expenses such as brand marketing, travel expenses, trade shows and marketing materials, amortization expense associated with client relationships,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from our business acquisitions over their estimated useful lives.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Technology and Development</w:t>
      </w:r>
      <w:r>
        <w:rPr>
          <w:rFonts w:ascii="Times New Roman;serif" w:hAnsi="Times New Roman;serif"/>
          <w:b w:val="false"/>
          <w:color w:val="000000"/>
          <w:sz w:val="20"/>
        </w:rPr>
        <w:t>. Our technology and development expenses primarily consist of personnel costs, including salaries, bonuses, and stock-based compensation, as well as professional services associated with the ongoing development and maintenance of our solution, software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Our general and administrative expenses primarily consist of personnel costs, including salaries, bonuses, and stock-based 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Merger, Acquisition, and Restructuring Costs.</w:t>
      </w:r>
      <w:r>
        <w:rPr>
          <w:color w:val="000000"/>
        </w:rPr>
        <w:t xml:space="preserve"> </w:t>
      </w:r>
      <w:r>
        <w:rPr>
          <w:rFonts w:ascii="Times New Roman;serif" w:hAnsi="Times New Roman;serif"/>
          <w:b w:val="false"/>
          <w:color w:val="000000"/>
          <w:sz w:val="20"/>
        </w:rPr>
        <w:t>Our merger, acquisition, and restructuring costs primarily consist of professional service fees associated with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Interest (Income) Expense, Net.</w:t>
      </w:r>
      <w:r>
        <w:rPr>
          <w:color w:val="000000"/>
        </w:rPr>
        <w:t xml:space="preserve"> </w:t>
      </w:r>
      <w:r>
        <w:rPr>
          <w:rFonts w:ascii="Times New Roman;serif" w:hAnsi="Times New Roman;serif"/>
          <w:b w:val="false"/>
          <w:color w:val="000000"/>
          <w:sz w:val="20"/>
        </w:rPr>
        <w:t>Interest expense primarily consists of interest expense associated with our 2024 Term Loan B Facility (defined below), 2021 Term Loan B Facility (defined below) and Convertible Senior Notes (defined below), and their related amortization of debt issuance costs and debt discount. Interest income primarily consists of interest earned on our cash equivalents.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Foreign Currency Exchange (Gain) Loss, Net</w:t>
      </w:r>
      <w:r>
        <w:rPr>
          <w:rFonts w:ascii="Times New Roman;serif" w:hAnsi="Times New Roman;serif"/>
          <w:b w:val="false"/>
          <w:color w:val="000000"/>
          <w:sz w:val="20"/>
        </w:rPr>
        <w:t xml:space="preserve">. Foreign currency exchange (gain) loss, net consists of gains and losses on foreign currency transactions 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Euro, Japanese Yen, and New Zealand Dollar. </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(Gain) Loss on Extinguishment of Debt</w:t>
      </w:r>
      <w:r>
        <w:rPr>
          <w:rFonts w:ascii="Times New Roman;serif" w:hAnsi="Times New Roman;serif"/>
          <w:b w:val="false"/>
          <w:color w:val="000000"/>
          <w:sz w:val="20"/>
        </w:rPr>
        <w:t>. Gain or loss on extinguishment of debt consists of gains or losses associated with the repurchases of Convertible Senior Notes at a discount or premium and gains or losses associated with the refinancing of our debt facilities, including the extinguishment of unamortized debt discount, debt issuance costs, and deferred financing costs.</w:t>
      </w:r>
    </w:p>
    <w:p>
      <w:pPr>
        <w:pStyle w:val="TextBody"/>
        <w:bidi w:val="0"/>
        <w:spacing w:lineRule="auto" w:line="288" w:before="100" w:after="100"/>
        <w:ind w:left="0" w:right="0" w:firstLine="720"/>
        <w:jc w:val="left"/>
        <w:rPr/>
      </w:pPr>
      <w:r>
        <w:rPr>
          <w:rFonts w:ascii="Times New Roman;serif" w:hAnsi="Times New Roman;serif"/>
          <w:b w:val="false"/>
          <w:i/>
          <w:color w:val="000000"/>
          <w:sz w:val="20"/>
        </w:rPr>
        <w:t xml:space="preserve">Other Income. </w:t>
      </w:r>
      <w:r>
        <w:rPr>
          <w:rFonts w:ascii="Times New Roman;serif" w:hAnsi="Times New Roman;serif"/>
          <w:b w:val="false"/>
          <w:color w:val="000000"/>
          <w:sz w:val="20"/>
        </w:rPr>
        <w:t>Other income primarily consists of rental income from commercial office space we hold under lease and have sublet to other tenants.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Provision (Benefit) for Income Taxes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an income tax benefit primarily driven by the release of our U.S. federal valuation allowances, the majority of our state valuation allowances, and certain foreign valuation allowances on deferred tax assets. The release was supported by sustained profitability and our cumulative three-year pre-tax income position, together with forecasts of future taxable income. As a result of this release, our effective tax rate for 2025 differs significantly from prior periods. A material valuation allowance release is not expected to recur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consolidated results of operations: </w:t>
      </w:r>
    </w:p>
    <w:tbl>
      <w:tblPr>
        <w:tblW w:w="10233" w:type="dxa"/>
        <w:jc w:val="center"/>
        <w:tblInd w:w="0" w:type="dxa"/>
        <w:tblLayout w:type="fixed"/>
        <w:tblCellMar>
          <w:top w:w="28" w:type="dxa"/>
          <w:left w:w="28" w:type="dxa"/>
          <w:bottom w:w="28" w:type="dxa"/>
          <w:right w:w="28" w:type="dxa"/>
        </w:tblCellMar>
      </w:tblPr>
      <w:tblGrid>
        <w:gridCol w:w="725"/>
        <w:gridCol w:w="282"/>
        <w:gridCol w:w="284"/>
        <w:gridCol w:w="109"/>
        <w:gridCol w:w="109"/>
        <w:gridCol w:w="109"/>
        <w:gridCol w:w="109"/>
        <w:gridCol w:w="109"/>
        <w:gridCol w:w="826"/>
        <w:gridCol w:w="211"/>
        <w:gridCol w:w="826"/>
        <w:gridCol w:w="109"/>
        <w:gridCol w:w="275"/>
        <w:gridCol w:w="275"/>
        <w:gridCol w:w="276"/>
        <w:gridCol w:w="211"/>
        <w:gridCol w:w="826"/>
        <w:gridCol w:w="109"/>
        <w:gridCol w:w="275"/>
        <w:gridCol w:w="275"/>
        <w:gridCol w:w="276"/>
        <w:gridCol w:w="211"/>
        <w:gridCol w:w="841"/>
        <w:gridCol w:w="109"/>
        <w:gridCol w:w="155"/>
        <w:gridCol w:w="155"/>
        <w:gridCol w:w="156"/>
        <w:gridCol w:w="250"/>
        <w:gridCol w:w="216"/>
        <w:gridCol w:w="271"/>
        <w:gridCol w:w="155"/>
        <w:gridCol w:w="155"/>
        <w:gridCol w:w="156"/>
        <w:gridCol w:w="240"/>
        <w:gridCol w:w="241"/>
        <w:gridCol w:w="316"/>
      </w:tblGrid>
      <w:tr>
        <w:trPr/>
        <w:tc>
          <w:tcPr>
            <w:tcW w:w="72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 %</w:t>
            </w:r>
          </w:p>
        </w:tc>
        <w:tc>
          <w:tcPr>
            <w:tcW w:w="1263" w:type="dxa"/>
            <w:gridSpan w:val="6"/>
            <w:tcBorders/>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 2023</w:t>
            </w:r>
          </w:p>
        </w:tc>
        <w:tc>
          <w:tcPr>
            <w:tcW w:w="797" w:type="dxa"/>
            <w:gridSpan w:val="3"/>
            <w:tcBorders/>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before="0" w:after="20"/>
        <w:jc w:val="center"/>
        <w:rPr/>
      </w:pPr>
      <w:r>
        <w:rPr/>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20"/>
        <w:jc w:val="center"/>
        <w:rPr/>
      </w:pPr>
      <w:r>
        <w:rPr/>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specified periods as a percentage of our revenue for those periods presented:</w:t>
      </w:r>
    </w:p>
    <w:tbl>
      <w:tblPr>
        <w:tblW w:w="9264" w:type="dxa"/>
        <w:jc w:val="center"/>
        <w:tblInd w:w="0" w:type="dxa"/>
        <w:tblLayout w:type="fixed"/>
        <w:tblCellMar>
          <w:top w:w="28" w:type="dxa"/>
          <w:left w:w="28" w:type="dxa"/>
          <w:bottom w:w="28" w:type="dxa"/>
          <w:right w:w="28" w:type="dxa"/>
        </w:tblCellMar>
      </w:tblPr>
      <w:tblGrid>
        <w:gridCol w:w="1312"/>
        <w:gridCol w:w="1156"/>
        <w:gridCol w:w="1161"/>
        <w:gridCol w:w="109"/>
        <w:gridCol w:w="109"/>
        <w:gridCol w:w="109"/>
        <w:gridCol w:w="109"/>
        <w:gridCol w:w="334"/>
        <w:gridCol w:w="334"/>
        <w:gridCol w:w="832"/>
        <w:gridCol w:w="109"/>
        <w:gridCol w:w="109"/>
        <w:gridCol w:w="109"/>
        <w:gridCol w:w="296"/>
        <w:gridCol w:w="296"/>
        <w:gridCol w:w="908"/>
        <w:gridCol w:w="109"/>
        <w:gridCol w:w="109"/>
        <w:gridCol w:w="109"/>
        <w:gridCol w:w="282"/>
        <w:gridCol w:w="282"/>
        <w:gridCol w:w="981"/>
      </w:tblGrid>
      <w:tr>
        <w:trPr/>
        <w:tc>
          <w:tcPr>
            <w:tcW w:w="1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872"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5565" w:type="dxa"/>
            <w:gridSpan w:val="10"/>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Note: Percentages may not sum due to rounding</w:t>
            </w:r>
          </w:p>
        </w:tc>
        <w:tc>
          <w:tcPr>
            <w:tcW w:w="3699"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Comparison of the Years Ended December 31, 2025, 2024, and 2023</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increased $45.8 million, or 7%, for the year ended December 31, 2025 compared to the prior year. Our revenue growth was driven primarily by growth in CTV and mobile. Revenue from CTV, mobile, and desktop increased by $28.7 million, or 9%, $16.1 million, or 7%, and $1.0 million, or 1%, respectively.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increased $48.5 million, or 8%, for the year ended December 31, 2024 compared to the prior year. Our revenue growth was driven primarily by growth in CTV and mobile. Revenue from CTV, mobile, and desktop increased by $35.3 million, or 13%, $12.1 million, or 5%, and $1.0 million, or 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CTV revenue growth for the year ended December 31, 2025 compared to the respective prior year period was negatively impacted by a decline in the relative percentage of transactions reported on a gross basis, compared to on a net basis. Transactions reported on a gross basis generally result in a higher revenue contribution with an associated increase in our traffic acquisition costs. See "Key Operating and Financial Performance Metrics" below for a discussion of Contribution ex-TAC, which presents a year-over-year comparison of our CTV growth, without considering the impact of traffic acquisition costs related to revenue reported on a gross basis.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2026, we believe our revenue will increase compared to the prior year period and we expect CTV will continue to be our biggest growth driver.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increased $7.8 million, or 3%, for the year ended December 31, 2025 compared to the prior year, primarily due to increases of $11.5 million in cloud hosting, data center, and bandwidth expenses, $9.1 million in software costs, and $4.0 million in personnel costs. These increases were partially offset by decreases of $16.9 million in traffic acquisition costs due to a decrease in revenue reported on a gross basis.</w:t>
      </w:r>
    </w:p>
    <w:p>
      <w:pPr>
        <w:pStyle w:val="TextBody"/>
        <w:bidi w:val="0"/>
        <w:spacing w:lineRule="auto" w:line="288" w:before="100" w:after="100"/>
        <w:ind w:left="0" w:right="0" w:firstLine="720"/>
        <w:jc w:val="left"/>
        <w:rPr/>
      </w:pPr>
      <w:r>
        <w:rPr>
          <w:rFonts w:ascii="Times New Roman;serif" w:hAnsi="Times New Roman;serif"/>
          <w:b w:val="false"/>
          <w:color w:val="000000"/>
          <w:sz w:val="20"/>
        </w:rPr>
        <w:t xml:space="preserve">Cost of revenue decreased </w:t>
      </w:r>
      <w:r>
        <w:rPr>
          <w:rFonts w:ascii="Times New Roman;serif" w:hAnsi="Times New Roman;serif"/>
          <w:b w:val="false"/>
          <w:color w:val="000000"/>
          <w:sz w:val="20"/>
          <w:shd w:fill="FFFFFF" w:val="clear"/>
        </w:rPr>
        <w:t>$151.1 million</w:t>
      </w:r>
      <w:r>
        <w:rPr>
          <w:rFonts w:ascii="Times New Roman;serif" w:hAnsi="Times New Roman;serif"/>
          <w:b w:val="false"/>
          <w:color w:val="000000"/>
          <w:sz w:val="20"/>
        </w:rPr>
        <w:t xml:space="preserve">, or 37%, for the year ended December 31, 2024 compared to the prior year, primarily due to decreases of $164.4 million in depreciation and amortization, which was primarily driven by certain acquired intangible assets becoming fully amortized in the third quarter of 2023. These decreases were partially offset by increases of $11.8 million in cloud hosting, data center, and bandwidth expenses, primarily due to revenue growth and an associated increase in the volume of transactions processed on our platform.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 2024, we extended the estimated useful lives of our network hardware assets from three years to five years, which was due to actual and expected longer refresh cycles for these assets. Based on the related asset balance as of December 31, 2023 and those placed in service during the year ended December 31, 2024, the effect of this change reduced depreciation expense by $12.6 million for the full year ending December 31, 2024 when compared to what depreciation expense would have been based on the original expected useful lives of three years.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may fluctuate from quarter to quarter and period to period, on an absolute dollar basis and as a percentage of revenue, depending on revenue levels and the volume of transactions we process supporting those revenues, whether transactions are reported on a gross or net basis, and the timing and amounts of depreciation and amortization of equipment and software.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Sales and Marketing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$5.5 million, or 3%, for the year ended December 31, 2025 compared to the prior year, primarily due to increases of $10.2 million in personnel costs. These increases were partially offset by decreases of $6.6 million in depreciation and amortization, which were primarily driven by certain acquired intangible assets becoming fully amortized in 2025.</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decreased $7.8 million, or 5%, for the year ended December 31, 2024 compared to the prior year, primarily due to decreases of $17.4 million in depreciation and amortization, which were primarily driven by certain acquired intangible assets becoming fully amortized in 2023. These decreases were partially offset by increases of $9.5 million of personnel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may fluctuate quarter to quarter and period to period, on an absolute dollar basis and as a percentage of revenue, based on revenue levels, the timing of our investments and seasonality in our industry and business.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Technology and Development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decreased $10.5 million, or 11%, for the year ended December 31, 2025 compared to the prior year, primarily due to decreases of $4.6 million in personnel costs and $4.1 million in software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increased $0.9 million, or 1%, for the year ended December 31, 2024 compared to the prior year.</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internally-developed capitalized projects and the timing and amounts of future capitalized internally-developed software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$3.7 million, or 4%, for the year ended December 31, 2025 compared to the prior year, primarily due to decreases of $4.0 million in insurance and business taxes and $3.1 million in refinancing expenses associated with our 2024 Term Loan B Facility (defined below). These decreases were partially offset by increases of $2.0 million in personnel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$7.8 million, or 9%, for the year ended December 31, 2024 compared to the prior year, primarily due to increases of $5.9 million in personnel costs, $4.1 million in expenses associated with refinancing our 2021 Credit Agreement (defined below) in February 2024 and repricing our 2024 Term Loan B Facility (defined below) in September 2024, and $3.7 million in insurance and business taxes. These increases were partially offset by decreases of $4.1 million in bad debt expense and $2.7 million in facilities-related costs. The higher bad debt expense in 2023 as compared to 2024 was primarily due to a buyer defaulting on payment obligations and filing for bankruptcy, resulting in bad debt expense of $4.2 million.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Merger, Acquisition, and Restructuring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incurred $0.2 million of merger, acquisition, and restructuring costs for the year ended December 31, 2025 and did not incur any merger, acquisition, and restructuring costs for the year ended December 31, 2024.</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we incurred $7.5 million of merger, acquisition, and restructuring costs consisting of $3.4 million of severance related expenses, $2.2 million of facilities related loss contracts, and $1.4 million of exit costs all due to restructuring activities as a result of consolidating our legacy CTV and SpotX CTV platforms following the SpotX, Inc. acquisition in 2021.</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tbl>
      <w:tblPr>
        <w:tblW w:w="8815" w:type="dxa"/>
        <w:jc w:val="left"/>
        <w:tblInd w:w="0" w:type="dxa"/>
        <w:tblLayout w:type="fixed"/>
        <w:tblCellMar>
          <w:top w:w="28" w:type="dxa"/>
          <w:left w:w="28" w:type="dxa"/>
          <w:bottom w:w="28" w:type="dxa"/>
          <w:right w:w="28" w:type="dxa"/>
        </w:tblCellMar>
      </w:tblPr>
      <w:tblGrid>
        <w:gridCol w:w="1152"/>
        <w:gridCol w:w="1011"/>
        <w:gridCol w:w="1017"/>
        <w:gridCol w:w="109"/>
        <w:gridCol w:w="109"/>
        <w:gridCol w:w="109"/>
        <w:gridCol w:w="109"/>
        <w:gridCol w:w="304"/>
        <w:gridCol w:w="1039"/>
        <w:gridCol w:w="157"/>
        <w:gridCol w:w="109"/>
        <w:gridCol w:w="109"/>
        <w:gridCol w:w="109"/>
        <w:gridCol w:w="304"/>
        <w:gridCol w:w="1039"/>
        <w:gridCol w:w="157"/>
        <w:gridCol w:w="109"/>
        <w:gridCol w:w="109"/>
        <w:gridCol w:w="109"/>
        <w:gridCol w:w="300"/>
        <w:gridCol w:w="1026"/>
        <w:gridCol w:w="219"/>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872" w:type="dxa"/>
            <w:gridSpan w:val="6"/>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72" w:type="dxa"/>
            <w:gridSpan w:val="6"/>
            <w:tcBorders/>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net decreased by $8.1 million during the year ended December 31, 2025 compared to the prior year primarily due to a decrease in interest expense as a result of the refinancing and repricing of our term loan facilities.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net decreased by $5.3 million during the year ended December 31, 2024 compared to the prior year primarily due to an increase in interest income and a decrease in interest expense as a result of lower Convertible Senior Notes (defined below) outstanding throughout 2024 as compared to the prior year period and the lower interest incurred under the 2024 Term Loan B Facility (defined below) compared to the 2021 Term Loan B Facility (defined below).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 changed by $12.1 million during the year ended December 31, 2025 compared to the prior year, due to movements in foreign currency exchange rates and the amount of foreign currency-denominated cash, receivables, and payables, which were impacted by our billings to buyers, payments to sellers, and intercompany balances. Foreign exchange (gain) loss, net changed by $7.0 million during the year ended December 31, 2024 compared to the prior year, for the same reasons above.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loss on extinguishment of debt of $2.2 million for the year ended December 31, 2025 was due to the March 2025 repricing of our 2024 Term Loan B Facility (defined below) and the loss on extinguishment of debt of $7.7 million for the year ended December 31, 2024 was due to the refinancing of our 2021 Credit Agreement (defined below) in February 2024 and the repricing of our 2024 Term Loan B Facility (defined below) in September 2024. Our refinancing and repricing activities are further discussed below. The gain on extinguishment of debt of $26.5 million for the year ended December 31, 2023 was due to the repurchase of portions of our Convertible Senior Notes (defined below).</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decreased by $4.0 million for year ended December 31, 2025 compared to the prior year primarily due to decreases in rental income from real estate leases for which we sublease to other tenants. Other income was relatively flat for the year ended December 31, 2024 compared to the prior year as we had similar levels of sublease activity in each of the respective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recorded an income tax benefit of $74.0 million for the year ended December 31, 2025 compared to an income tax expense of $3.7 million and $1.6 million for the years ended December 31, 2024 and 2023, respectively. The income tax benefit for the year ended December 31, 2025 was primarily driven by the release of our U.S. federal valuation allowances, the majority of our state valuation allowances, and certain of our foreign valuation allowances on deferred tax assets. The release was supported by sustained profitability and our cumulative three-year pre-tax income position, together with forecasts of future taxable income. As a result of the valuation allowance release, our effective tax rate for 2025 differs significantly from prior periods. A material valuation allowance release is not expected to recur in future periods.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President of the United States signed H.R. 1, commonly referred to as the "One Big Beautiful Bill Act" into law. These changes were reflected in the income tax provision for the year ended December 31, 2025. We have evaluated the tax law as it relates to our financials and determined there is no material impact on the period presented above. Based on current projections, the continuing impact will be a deferral of the payment of current income taxes over multiple years; however, we expect the net impact to our effective tax rate for 2026 to be immaterial. We will continue to monitor for any impact of future guidance.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expense for the year ended December 31, 2024 was primarily the result of the domestic valuation allowance and the federal, state, and foreign income tax liabilities.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expense for the year ended December 31, 2023 was primarily the result of the domestic valuation allowance and the federal, state, and foreign income tax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Key Operating and Financial Performance Metrics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cost of revenue, and net income (loss) are discussed above under the headings "Components of Our Results of Operations" and "Results of Operations."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Contribution ex-TAC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facilitating a consistent comparison against our core business without considering the impact of traffic acquisition costs related to revenue reported on a gross basis.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(loss) and cash flows.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calculation of gross profit and reconciliation of gross profit to Contribution ex-TAC for the years ended December 31, 2025, 2024, and 2023, respectively: </w:t>
      </w:r>
    </w:p>
    <w:tbl>
      <w:tblPr>
        <w:tblW w:w="10205" w:type="dxa"/>
        <w:jc w:val="left"/>
        <w:tblInd w:w="0" w:type="dxa"/>
        <w:tblLayout w:type="fixed"/>
        <w:tblCellMar>
          <w:top w:w="28" w:type="dxa"/>
          <w:left w:w="28" w:type="dxa"/>
          <w:bottom w:w="28" w:type="dxa"/>
          <w:right w:w="28" w:type="dxa"/>
        </w:tblCellMar>
      </w:tblPr>
      <w:tblGrid>
        <w:gridCol w:w="1097"/>
        <w:gridCol w:w="870"/>
        <w:gridCol w:w="873"/>
        <w:gridCol w:w="255"/>
        <w:gridCol w:w="998"/>
        <w:gridCol w:w="131"/>
        <w:gridCol w:w="109"/>
        <w:gridCol w:w="109"/>
        <w:gridCol w:w="109"/>
        <w:gridCol w:w="255"/>
        <w:gridCol w:w="998"/>
        <w:gridCol w:w="131"/>
        <w:gridCol w:w="109"/>
        <w:gridCol w:w="109"/>
        <w:gridCol w:w="109"/>
        <w:gridCol w:w="255"/>
        <w:gridCol w:w="998"/>
        <w:gridCol w:w="131"/>
        <w:gridCol w:w="109"/>
        <w:gridCol w:w="109"/>
        <w:gridCol w:w="109"/>
        <w:gridCol w:w="237"/>
        <w:gridCol w:w="200"/>
        <w:gridCol w:w="487"/>
        <w:gridCol w:w="109"/>
        <w:gridCol w:w="109"/>
        <w:gridCol w:w="109"/>
        <w:gridCol w:w="226"/>
        <w:gridCol w:w="201"/>
        <w:gridCol w:w="554"/>
      </w:tblGrid>
      <w:tr>
        <w:trPr/>
        <w:tc>
          <w:tcPr>
            <w:tcW w:w="109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 2023</w:t>
            </w:r>
          </w:p>
        </w:tc>
      </w:tr>
      <w:tr>
        <w:trPr/>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Cost of revenue</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447,334 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409,332 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209,804 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Cost of revenue, excluding TAC</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0"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669,633 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606,942 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549,147 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Sellers use our technology to monetize their content across all digital channels, including CTV, mobile, and desktop. We track the breakdown of Contribution ex-TAC across channels to better understand how our clients are transacting on our platform.</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Contribution ex-TAC by channel for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tbl>
      <w:tblPr>
        <w:tblW w:w="8848" w:type="dxa"/>
        <w:jc w:val="left"/>
        <w:tblInd w:w="0" w:type="dxa"/>
        <w:tblLayout w:type="fixed"/>
        <w:tblCellMar>
          <w:top w:w="28" w:type="dxa"/>
          <w:left w:w="28" w:type="dxa"/>
          <w:bottom w:w="28" w:type="dxa"/>
          <w:right w:w="28" w:type="dxa"/>
        </w:tblCellMar>
      </w:tblPr>
      <w:tblGrid>
        <w:gridCol w:w="315"/>
        <w:gridCol w:w="277"/>
        <w:gridCol w:w="278"/>
        <w:gridCol w:w="276"/>
        <w:gridCol w:w="1081"/>
        <w:gridCol w:w="142"/>
        <w:gridCol w:w="109"/>
        <w:gridCol w:w="109"/>
        <w:gridCol w:w="109"/>
        <w:gridCol w:w="276"/>
        <w:gridCol w:w="1081"/>
        <w:gridCol w:w="142"/>
        <w:gridCol w:w="109"/>
        <w:gridCol w:w="109"/>
        <w:gridCol w:w="109"/>
        <w:gridCol w:w="276"/>
        <w:gridCol w:w="1081"/>
        <w:gridCol w:w="142"/>
        <w:gridCol w:w="109"/>
        <w:gridCol w:w="109"/>
        <w:gridCol w:w="109"/>
        <w:gridCol w:w="237"/>
        <w:gridCol w:w="237"/>
        <w:gridCol w:w="590"/>
        <w:gridCol w:w="109"/>
        <w:gridCol w:w="109"/>
        <w:gridCol w:w="109"/>
        <w:gridCol w:w="226"/>
        <w:gridCol w:w="226"/>
        <w:gridCol w:w="657"/>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15"/>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6"/>
              </w:rPr>
            </w:pPr>
            <w:r>
              <w:rPr>
                <w:rFonts w:ascii="Times New Roman;serif" w:hAnsi="Times New Roman;serif"/>
                <w:b/>
                <w:color w:val="000000"/>
                <w:sz w:val="16"/>
              </w:rPr>
              <w:t>Contribution ex-TAC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 2023</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CTV</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669,633 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606,942 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549,147 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 ex-TAC increased $62.7 million, or 10%, for the year ended December 31, 2025 compared to the year ended December 31, 2024.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 ex-TAC increased $57.8 million, or 11%, for the year ended December 31, 2024 compared to the year ended December 31, 2023.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2026, we expect Contribution ex-TAC will increase compared to the prior year period, and we expect CTV will be our biggest growth driver in 2026.</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to exclude stock-based compensation expense, depreciation and amortization, including amortization of acquired intangible assets, impairment charges, interest income or expense, provision (benefit) for income taxes, and certain cash and non-cash based income or expenses that we do not consider indicative of our core operating performance, including, but not limited to foreign exchange gains and losses, acquisition and related items, gains or losses on extinguishment of debt, other debt refinancing expenses, certain litigation expenses, and non-operational real estate and other expenses (income), net. We believe Adjusted EBITDA is useful to investors in evaluating our performance for the following reasons: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Stock-based compensation is a non-cash charge and will remain an element of our long-term incentive compensation package, although we exclude it as an expense when evaluating our ongoing operating performance for a particular period.</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Depreciation and amortization are non-cash charges, and the assets being depreciated or amortized will often have to be replaced in the future, but Adjusted EBITDA does not reflect any cash requirements for these replacements.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Impairment charges are non-cash charges related to goodwill, intangible assets and/or long-lived assets.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Adjusted EBITDA does not reflect certain cash and non-cash charges related to acquisition and related items, such as amortization of acquired intangible assets, merger, acquisition, or restructuring related severance costs, certain transaction expenses, and changes in the fair value of contingent consideration.</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Adjusted EBITDA does not reflect cash and non-cash charges related to interest income and interest expense and certain financing transactions such as gains or losses on extinguishment of debt or other debt refinancing expenses.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Adjusted EBITDA does not reflect cash requirements for income taxes and the cash impact of other income or expense.</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Adjusted EBITDA does not reflect litigation expenses for specific proceedings.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Adjusted EBITDA does not reflect certain non-operational real estate and other (income) and expense, net.</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Adjusted EBITDA does not reflect changes in our working capital needs, capital expenditures, or contractual commitments.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Other companies may calculate Adjusted EBITDA differently than we do, limiting its usefulness as a comparative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(loss), the most comparable GAAP measure, to Adjusted EBITDA for the years ended December 31, 2025, 2024, and 2023:</w:t>
      </w:r>
    </w:p>
    <w:tbl>
      <w:tblPr>
        <w:tblW w:w="10205" w:type="dxa"/>
        <w:jc w:val="center"/>
        <w:tblInd w:w="0" w:type="dxa"/>
        <w:tblLayout w:type="fixed"/>
        <w:tblCellMar>
          <w:top w:w="28" w:type="dxa"/>
          <w:left w:w="28" w:type="dxa"/>
          <w:bottom w:w="28" w:type="dxa"/>
          <w:right w:w="28" w:type="dxa"/>
        </w:tblCellMar>
      </w:tblPr>
      <w:tblGrid>
        <w:gridCol w:w="1979"/>
        <w:gridCol w:w="1512"/>
        <w:gridCol w:w="1372"/>
        <w:gridCol w:w="138"/>
        <w:gridCol w:w="138"/>
        <w:gridCol w:w="138"/>
        <w:gridCol w:w="138"/>
        <w:gridCol w:w="300"/>
        <w:gridCol w:w="1177"/>
        <w:gridCol w:w="155"/>
        <w:gridCol w:w="109"/>
        <w:gridCol w:w="109"/>
        <w:gridCol w:w="109"/>
        <w:gridCol w:w="224"/>
        <w:gridCol w:w="879"/>
        <w:gridCol w:w="115"/>
        <w:gridCol w:w="109"/>
        <w:gridCol w:w="109"/>
        <w:gridCol w:w="109"/>
        <w:gridCol w:w="220"/>
        <w:gridCol w:w="895"/>
        <w:gridCol w:w="171"/>
      </w:tblGrid>
      <w:tr>
        <w:trPr/>
        <w:tc>
          <w:tcPr>
            <w:tcW w:w="197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5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613" w:type="dxa"/>
            <w:gridSpan w:val="6"/>
            <w:tcBorders/>
          </w:tcPr>
          <w:p>
            <w:pPr>
              <w:pStyle w:val="TableContents"/>
              <w:bidi w:val="0"/>
              <w:spacing w:before="0" w:after="283"/>
              <w:jc w:val="left"/>
              <w:rPr>
                <w:sz w:val="4"/>
                <w:szCs w:val="4"/>
              </w:rPr>
            </w:pPr>
            <w:r>
              <w:rPr>
                <w:sz w:val="4"/>
                <w:szCs w:val="4"/>
              </w:rPr>
            </w:r>
          </w:p>
        </w:tc>
      </w:tr>
      <w:tr>
        <w:trPr/>
        <w:tc>
          <w:tcPr>
            <w:tcW w:w="4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4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5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613" w:type="dxa"/>
            <w:gridSpan w:val="6"/>
            <w:tcBorders/>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(deduct):</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excluding amortization of acquired intangible assets</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acquisition, and restructuring costs, excluding stock-based compensation expense</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debt refinancing expense</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Litigation expense </w:t>
            </w:r>
            <w:r>
              <w:rPr>
                <w:rFonts w:ascii="Times New Roman;serif" w:hAnsi="Times New Roman;serif"/>
                <w:b w:val="false"/>
                <w:color w:val="000000"/>
                <w:sz w:val="13"/>
              </w:rPr>
              <w:t>(1)</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Non-operational real estate and other expense, net</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232,131 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171,364 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10"/>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Litigation expense includes professional and legal expenses related to the Google Action and defense costs relating to class action privacy litigation, net of insurance recoveries. For additional information, see the "Regulatory Developments and Google Litigation" section and Part I, Item 3. "Legal Proceedings."</w:t>
            </w:r>
          </w:p>
        </w:tc>
        <w:tc>
          <w:tcPr>
            <w:tcW w:w="3158"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increased by $35.3 million during the year ended December 31, 2025 compared to the year ended December 31, 2024 and increased by $25.5 million during the year ended December 31, 2024 compared to the year ended December 31, 2023.</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we had cash and cash equivalents of $553.4 million, of which $74.5 million was held in foreign currency denominated cash and cash equivalents accounts, and an aggregate gross principal amount of $565.5 million of indebtedness outstanding under our 2024 Term Loan B Facility (as defined below) and our Convertible Senior Notes (as defined below). In addition, we were party to a $175.0 million 2024 Revolving Credit Facility (as defined below), of which approximately $4.0 million was assigned to outstanding but undrawn letters of credit. See "Capital Resources" below for further information about our outstanding debt.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known principal cash requirements for the twelve-month period following this report primarily consist of personnel costs, contractual payment obligations, including office leases, cloud hosting, data center, and bandwidth expenses, capital expenditures, payment of interest, required principal payments on our Convertible Senior Notes, which mature in March 2026, and our 2024 Term Loan B Facility, cash outlays for income taxes, and cash requirements to fund working capital. We plan to repay the outstanding Convertible Senior Notes upon maturity with our cash and cash equivalents balance. In the longer term, we would expect to have similar cash requirements, excluding the one-time payment related to the maturity of our Convertible Senior Notes, with increases in absolute dollars associated with the continued growth of our business and expansion of operations. See "Contractual Obligations and Known Future Cash Requirements" for a further discussion of our known material contractual obligations.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 2024, the Board of Directors approved a repurchase plan (the "February 2024 Repurchase Plan"), which fully replaced the prior repurchase plan, pursuant to which we were authorized to repurchase common stock or Convertible Senior Notes, with an aggregate market value of up to $125.0 million, through February 1, 2026. During the year ended December 31, 2025, we repurchased 3.4 million shares of the Company's common stock for an aggregate amount of $46.3 million. As of December 31, 2025, $64.1 million remained available under the February 2024 Repurchase Plan. We repurchased 33,800 shares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January 2026 before the expiration of the February 2024 Repurchase Plan on February 1, 2026. On February 23, 2026, the Board of Directors approved a new repurchase plan (the "February 2026 Repurchase Plan"), which authorized the repurchase of common stock with a value up to $200.0 million, through February 29, 2028.</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this Annual Report on Form 10-K.</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December 31, 2025, the balance of the Convertible Senior Notes was $204.8 million, net of unamortized debt issuance costs of $0.3 million, and was reflected as debt, current, net of debt issuance costs in the Company's balance sheet.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prior credit agreement entered into in April 2021 (the "2021 Credit Agreement"), which included a term loan facility (the "2021 Term Loan B Facility") and a revolving facility (the "2021 Revolving Credit Facility").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18, 2024, we entered into Amendment No. 1 to the 2024 Credit Agreement ("Amendment No. 1"), which reduced the interest rate of the 2024 Term Loan B Facility by 75 basis points to Term SOFR plus a margin of 3.75% from the previous rate of Term SOFR plus a margin of 4.50% and on March 18, 2025, we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the balance of the 2024 Term Loan B Facility was $351.3 million, net of unamortized debt discount and debt issuance costs of $9.2 million, and amounts available under the 2024 Revolving Credit Facility were $171.0 million, net of letters of credit outstanding in the amount of $4.0 million.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Any future indebtedness we incur may result in terms that could be unfavorable to equity investors. An inability to raise additional capital could adversely affect our ability to achieve our business objectives.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10205" w:type="dxa"/>
        <w:jc w:val="center"/>
        <w:tblInd w:w="0" w:type="dxa"/>
        <w:tblLayout w:type="fixed"/>
        <w:tblCellMar>
          <w:top w:w="28" w:type="dxa"/>
          <w:left w:w="28" w:type="dxa"/>
          <w:bottom w:w="28" w:type="dxa"/>
          <w:right w:w="28" w:type="dxa"/>
        </w:tblCellMar>
      </w:tblPr>
      <w:tblGrid>
        <w:gridCol w:w="1830"/>
        <w:gridCol w:w="1606"/>
        <w:gridCol w:w="1612"/>
        <w:gridCol w:w="273"/>
        <w:gridCol w:w="1071"/>
        <w:gridCol w:w="140"/>
        <w:gridCol w:w="109"/>
        <w:gridCol w:w="109"/>
        <w:gridCol w:w="109"/>
        <w:gridCol w:w="273"/>
        <w:gridCol w:w="1071"/>
        <w:gridCol w:w="140"/>
        <w:gridCol w:w="109"/>
        <w:gridCol w:w="109"/>
        <w:gridCol w:w="109"/>
        <w:gridCol w:w="270"/>
        <w:gridCol w:w="1062"/>
        <w:gridCol w:w="203"/>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5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5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236,168 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Effects of exchange rate changes on cash and cash equivalents </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net cash provided by operating activities was $236.2 million, compared to net cash provided by operating activities of $235.2 million and $214.4 million during the years ended December 31, 2024 and 2023, respectively. Our operating activities included net income of $144.6 million, net income of $22.8 million, and net loss of $159.2 million for the years ended December 31, 2025, 2024, and 2023, respectively. Non-cash adjustments of $63.2 million, $135.8 million, and $298.1 million increased cash provided by operating activities in 2025, 2024, and 2023 respectively. Net changes in our working capital also resulted in increases of $28.3 million, $76.6 million, and $75.5 million in cash provided by operating activities in 2025, 2024, and 2023 respectively. The net changes in working capital for all periods presented are primarily due to the timing of cash receipts from buyers and the timing of payments to sellers. </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investing activities have consisted of purchases of property and equipment, capital expenditures in support of creating and enhancing our technology infrastructure, and acquisitions of businesses. Purchases of property and equipment and investments in internal use software development may vary from period-to-period due to the timing of the expansion of our operations, changes to headcount, and the cycles of our internal use software development.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net cash used in investing activities was $92.8 million, compared to net cash used in investing activities of $47.5 million and $37.4 million during the years ended December 31, 2024 and 2023, respectively. During the year ended December 31, 2025, 2024, and 2023, we primarily used cash for purchases of property and equipment of $70.5 million, $32.8 million, and $26.8 million, respectively, and used cash for investments in our internally developed software of $13.8 million, $14.3 million, and $10.6 million, respectively. During the year ended December 31, 2025, we also used cash of $8.1 million to acquire Streamrai, Inc. (the "Streamr.ai Acquisition").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cash flows used in our investing activities will decrease in 2026 compared to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primarily consisted of our debt refinancing and repricing activities, Convertible Senior Notes transactions, repayment of amounts borrowed under our 2024 Term Loan B Facility and our 2021 Term Loan B Facility, and transactions related to our share repurchases and equity plans.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cash used in financing activities was $75.1 million, compared to net cash used in financing activities of $28.9 million and $177.8 million for the years ended December 31, 2024 and 2023, respectively. Cash outflows from financing activities for the year ended December 31, 2025 primarily included $92.6 million of payments to certain 2024 Term Loan B Facility lenders related to our Amendment No. 2 repricing activity, $46.3 million of payments related to share repurchases, and $32.9 million for taxes paid related to net share settlement of stock-based awards. The outflows were partially offset by cash proceeds primarily consisting of $92.6 million from certain 2024 Term Loan B Facility lenders related to our Amendment No. 2 repricing activity, cash proceeds from the employee stock purchase plan of $3.9 million, and cash proceeds from stock options exercised of $3.1 million. In connection with Amendment No. 2, $270.6 million of principal debt balance from Amendment No. 1 was rolled over as part of non-cash financing activities while the remaining $92.6 million principal balance from Amendment No. 1 was repaid and then reissued under Amendment No. 2 as mentioned above.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outflows from financing activities for the year ended December 31, 2024 primarily included $403.1 million of payments related to paying off our 2021 Term Loan B Facility in February 2024 and repricing our 2024 Term Loan B Facility in September 2024, $22.5 million for taxes paid related to net share settlement of stock-based awards, $14.6 million of payments related to share repurchases, and $4.5 million of payments related to debt issuance costs related to the issuance of our 2024 Term Loan B Facility and 2024 Revolver Facility in February 2024. The outflows were partially offset by cash proceeds primarily consisting of $413.5 million from the issuance of our 2024 Term Loan B Facility, net of debt discount, and the repricing of our 2024 Term Loan B Facility in September 2024, and cash proceeds from the employee stock purchase plan of $3.6 million. In connection with Amendment No. 1 in September 2024, $312.0 million of the principal balance was rolled over as part of non-cash financing activities while the remaining $52.1 million principal debt balance was repaid and reissued as mentioned above.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outflows from financing activities for the year ended December 31, 2023 primarily included $165.5 million of payments related to repurchasing our Convertible Senior Notes, $11.8 million for taxes paid related to net share settlement of stock-based awards, $3.6 million for repayment of our 2021 Term Loan B Facility, and $2.3 million for payment of our indemnification claims holdback related to a historical acquisition. These outflows for the year ended December 31, 2023 were partially offset by cash proceeds from issuance of common stock under our employee stock purchase plan of $3.5 million and from stock options exercised of $2.2 million.</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Contractual Obligations and Known Future Cash Requirements </w:t>
      </w:r>
    </w:p>
    <w:p>
      <w:pPr>
        <w:pStyle w:val="TextBody"/>
        <w:bidi w:val="0"/>
        <w:spacing w:lineRule="auto" w:line="25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commitments as of December 31, 2025 consist of obligations under our Convertible Senior Notes, 2024 Term Loan B Facility, 2024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2038, and the indemnification holdback associated with the Streamr.ai Acquisition. In certain cases, the terms of the lease agreements provide for rental payments on a graduated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future lease obligations, payments of principal and interest under our debt agreements and other future payments due under non-cancelable agreements at December 31, 2025: </w:t>
      </w:r>
    </w:p>
    <w:tbl>
      <w:tblPr>
        <w:tblW w:w="11290" w:type="dxa"/>
        <w:jc w:val="left"/>
        <w:tblInd w:w="0" w:type="dxa"/>
        <w:tblLayout w:type="fixed"/>
        <w:tblCellMar>
          <w:top w:w="28" w:type="dxa"/>
          <w:left w:w="28" w:type="dxa"/>
          <w:bottom w:w="28" w:type="dxa"/>
          <w:right w:w="28" w:type="dxa"/>
        </w:tblCellMar>
      </w:tblPr>
      <w:tblGrid>
        <w:gridCol w:w="641"/>
        <w:gridCol w:w="392"/>
        <w:gridCol w:w="39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97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associated with leases included right-of-use assets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for leases not included in lease liabilities as of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Convertible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2024 Term Loan B Facility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2024 Term Loan B Facility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Contractual fees related to the 2024 Term Loan B Facility and the 2024 Revolving Credit Facility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Indemnification claims holdback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non-cancelable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90"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only customary scheduled loan amortization payments and excludes currently unknown prepayment amounts that may be required, per terms of the 2024 Credit Agreement after the end of each fiscal year.</w:t>
            </w:r>
          </w:p>
        </w:tc>
      </w:tr>
      <w:tr>
        <w:trPr/>
        <w:tc>
          <w:tcPr>
            <w:tcW w:w="11290"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Interest payments are based on an assumed rate of 6.72%, which was the rate as of December 31, 2025 for the associated 2024 Term Loan B Facility.</w:t>
            </w:r>
          </w:p>
        </w:tc>
      </w:tr>
      <w:tr>
        <w:trPr/>
        <w:tc>
          <w:tcPr>
            <w:tcW w:w="11290" w:type="dxa"/>
            <w:gridSpan w:val="42"/>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estimated fees based on current available amounts under our 2024 Revolving Credit Facility and using the current commitment rate as of December 31, 2025, fees based on outstanding but undrawn letters of credit as of December 31, 2025, and fees owed to our administrative agents for both facilities under the 2024 Credit Agreement.</w:t>
            </w:r>
          </w:p>
        </w:tc>
      </w:tr>
    </w:tbl>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Obligations for leases not included in the lease liabilities as of December 31, 2025 include commitments under agreements for office space and data centers that have not commenced as of December 31, 2025.</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associated with our Convertible Senior Notes, 2024 Term Loan B, and 2024 Revolving Credit Facility are based on contractual terms and intended timing of repayments of current and long-term debt and associated interest and required fees.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non-cancelable obligations above consist of agreements in the normal course of business that are in excess of one year as of December 31, 2025. The amounts above include commitments under a cloud-managed services agreement, under which we have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we expect to fulfill the obligation.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December 31, 2025.</w:t>
      </w:r>
    </w:p>
    <w:p>
      <w:pPr>
        <w:pStyle w:val="TextBody"/>
        <w:bidi w:val="0"/>
        <w:spacing w:before="1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historical experience and various other assumptions that we believe to be reasonable under the circumstances. Our actual results could differ from these estimates.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assumptions and estimates have the greatest potential impact on our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years ended December 31, 2025, 2024 and 2023.</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accounting policies disclosed below include estimates and assumptions critical to our business and their application could have a material impact on our consolidated financial statements. In addition to these critical policies, our significant accounting policies are included within Note 2 of our "Notes to Consolidated Financial Statements" within this Annual Report on Form 10-K.</w:t>
      </w:r>
    </w:p>
    <w:p>
      <w:pPr>
        <w:pStyle w:val="TextBody"/>
        <w:bidi w:val="0"/>
        <w:spacing w:lineRule="auto" w:line="288" w:before="100" w:after="100"/>
        <w:ind w:left="0" w:right="0" w:firstLine="720"/>
        <w:jc w:val="left"/>
        <w:rPr/>
      </w:pPr>
      <w:r>
        <w:rPr>
          <w:rFonts w:ascii="Times New Roman;serif" w:hAnsi="Times New Roman;serif"/>
          <w:b/>
          <w:i/>
          <w:color w:val="000000"/>
          <w:sz w:val="20"/>
        </w:rPr>
        <w:t>Revenue Recognition</w:t>
      </w:r>
      <w:r>
        <w:rPr>
          <w:color w:val="000000"/>
        </w:rPr>
        <w: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transactions where we provide a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Our platform dynamically connects sellers and buyers of advertising inventory in a digital marketplace. Our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determination of whether revenue should be reported on a gross or net basis is based on an assessment of whether we are acting as the principal or an agent in the transaction. In determining whether we are acting as the principal or an agent, we followed the accounting guidance for principal-agent considerations. Making such determinations involves judgment and is based on an evaluation of the terms of each arrangement, none of which are considered presumptive or determinative.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majority of transactions on our platform, we report revenue on a net basis as we do not act as the principal in the purchase and sale of digital advertising inventory because we do not have control of the digital advertising inventory and do not set prices agreed upon within the auction marketplace. However, with respect to certain revenue streams for managed advertising campaigns that are transacted through insertion orders, we report revenue on a gross basis, based primarily on our determination that we act as the primary obligor in the delivery of advertising campaigns for buyers with respect to such transactions.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Internal Use Software Development Costs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capitalize certain internal use software development costs associated with creating and enhancing internally developed software related to our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post-configuration training and repairs and maintenance of the developed technologies, are expensed as incurred. We capitalize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software and technologies are ready for their intended purpose.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amortize internal use software development costs using a straight-line method over a three year estimated useful life, commencing when the software is ready for its intended use. The straight-line recognition method approximates the manner in which the expected benefit will be derived. We determined the life of internal use software based on historical software upgrades and replacement.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an ongoing basis, we assess if the estimated remaining useful lives of capitalized projects continue to be reasonable based on the remaining expected benefit and usage. If the remaining useful life of a capitalized project is revised, it is accounted for as a change in estimate and the remaining unamortized cost of the underlying asset is amortized prospectively over the updated remaining useful life. We also evaluate internal use software for abandonment and consider that along with other quantitative and qualitative factors as indicators for potential impairment when events or changes in circumstances indicate the carrying value may not be recoverable.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The information set forth under Note 2 to our "Notes to Consolidated Financial Statements" under the caption "Organization and Summary of Significant Accounting Policies" is incorporated herein by reference.</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 About Market Risk</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Fluctuation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consist of cash and money market funds, but may from time to time also include other money market instruments such as commercial paper or U.S. treasury bills,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economic interest rate expense exposure on our Convertible Senior Notes due to their fixed interest rate nature. The amount paid upon redemption or maturity, before considering any potential additional amount owed due to increases in our underlying share price above the conversion price, is not based on changes in any interest rate index or underlying market interest rates. It is fixed at 100% of the principal amount of the Convertible Senior Notes plus unpaid interest. Since the Convertible Senior Notes bear a fixed interest rate, we are not exposed to interest rate risk on those notes, however, the fair value of those notes will change as market interest rates change.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December 31, 2025, the Company had no outstanding borrowings under the 2024 Revolving Credit Facility. Should the company borrow under the 2024 Revolving Credit Facility at any point in the future, any associated borrowings would have a floating underlying base rate of interest that would expose the Company to interest rate risk.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believe that an increase or decrease in interest rates of 100 basis points would have a material effect on our operating results or financial condition. The annualized impact to interest expense for each 100 basis points increase above the SOFR Floor on our 2024 Term Loan B Facility is approximately $3.6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 </w:t>
      </w:r>
    </w:p>
    <w:p>
      <w:pPr>
        <w:pStyle w:val="TextBody"/>
        <w:bidi w:val="0"/>
        <w:spacing w:lineRule="auto" w:line="26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all debt currently outstanding,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U.S. based company that does business around the globe, we have foreign currency risks related to our revenue and expenses denominated in currencies other than the U.S. Dollar, principally the Australian Dollar, British Pound,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December 31, 2025 and December 31, 2024, including intercompany balances, would result in a foreign currency loss of approximately $7.7 million and $10.8 million, respectively. At this time we do not, but we may in the future, enter into derivatives or other financial instruments in an attempt to hedge our foreign currency exchange risk.</w:t>
      </w:r>
    </w:p>
    <w:p>
      <w:pPr>
        <w:pStyle w:val="TextBody"/>
        <w:bidi w:val="0"/>
        <w:spacing w:lineRule="auto" w:line="288" w:before="100" w:after="100"/>
        <w:ind w:left="0" w:right="0" w:firstLine="72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MAGNITE, INC.</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INDEX TO CONSOLIDATED FINANCIAL STATEMENTS</w:t>
      </w:r>
    </w:p>
    <w:tbl>
      <w:tblPr>
        <w:tblW w:w="6867" w:type="dxa"/>
        <w:jc w:val="center"/>
        <w:tblInd w:w="0" w:type="dxa"/>
        <w:tblLayout w:type="fixed"/>
        <w:tblCellMar>
          <w:top w:w="28" w:type="dxa"/>
          <w:left w:w="28" w:type="dxa"/>
          <w:bottom w:w="28" w:type="dxa"/>
          <w:right w:w="28" w:type="dxa"/>
        </w:tblCellMar>
      </w:tblPr>
      <w:tblGrid>
        <w:gridCol w:w="2351"/>
        <w:gridCol w:w="2066"/>
        <w:gridCol w:w="2078"/>
        <w:gridCol w:w="109"/>
        <w:gridCol w:w="109"/>
        <w:gridCol w:w="154"/>
      </w:tblGrid>
      <w:tr>
        <w:trPr/>
        <w:tc>
          <w:tcPr>
            <w:tcW w:w="2351"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(PCAOB ID No. 34)</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82">
              <w:r>
                <w:rPr>
                  <w:rStyle w:val="InternetLink"/>
                  <w:rFonts w:ascii="Times New Roman;serif" w:hAnsi="Times New Roman;serif"/>
                  <w:b w:val="false"/>
                  <w:color w:val="0000FF"/>
                  <w:sz w:val="20"/>
                  <w:u w:val="single"/>
                </w:rPr>
                <w:t>62</w:t>
              </w:r>
            </w:hyperlink>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85">
              <w:r>
                <w:rPr>
                  <w:rStyle w:val="InternetLink"/>
                  <w:rFonts w:ascii="Times New Roman;serif" w:hAnsi="Times New Roman;serif"/>
                  <w:b w:val="false"/>
                  <w:color w:val="0000FF"/>
                  <w:sz w:val="20"/>
                  <w:u w:val="single"/>
                </w:rPr>
                <w:t>65</w:t>
              </w:r>
            </w:hyperlink>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88">
              <w:r>
                <w:rPr>
                  <w:rStyle w:val="InternetLink"/>
                  <w:rFonts w:ascii="Times New Roman;serif" w:hAnsi="Times New Roman;serif"/>
                  <w:b w:val="false"/>
                  <w:color w:val="0000FF"/>
                  <w:sz w:val="20"/>
                  <w:u w:val="single"/>
                </w:rPr>
                <w:t>66</w:t>
              </w:r>
            </w:hyperlink>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91">
              <w:r>
                <w:rPr>
                  <w:rStyle w:val="InternetLink"/>
                  <w:rFonts w:ascii="Times New Roman;serif" w:hAnsi="Times New Roman;serif"/>
                  <w:b w:val="false"/>
                  <w:color w:val="0000FF"/>
                  <w:sz w:val="20"/>
                  <w:u w:val="single"/>
                </w:rPr>
                <w:t>67</w:t>
              </w:r>
            </w:hyperlink>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94">
              <w:r>
                <w:rPr>
                  <w:rStyle w:val="InternetLink"/>
                  <w:rFonts w:ascii="Times New Roman;serif" w:hAnsi="Times New Roman;serif"/>
                  <w:b w:val="false"/>
                  <w:color w:val="0000FF"/>
                  <w:sz w:val="20"/>
                  <w:u w:val="single"/>
                </w:rPr>
                <w:t>68</w:t>
              </w:r>
            </w:hyperlink>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97">
              <w:r>
                <w:rPr>
                  <w:rStyle w:val="InternetLink"/>
                  <w:rFonts w:ascii="Times New Roman;serif" w:hAnsi="Times New Roman;serif"/>
                  <w:b w:val="false"/>
                  <w:color w:val="0000FF"/>
                  <w:sz w:val="20"/>
                  <w:u w:val="single"/>
                </w:rPr>
                <w:t>69</w:t>
              </w:r>
            </w:hyperlink>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103">
              <w:r>
                <w:rPr>
                  <w:rStyle w:val="InternetLink"/>
                  <w:rFonts w:ascii="Times New Roman;serif" w:hAnsi="Times New Roman;serif"/>
                  <w:b w:val="false"/>
                  <w:color w:val="0000FF"/>
                  <w:sz w:val="20"/>
                  <w:u w:val="single"/>
                </w:rPr>
                <w:t>71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Magnite, Inc.</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Magnite, Inc. and subsidiaries (the "Company") as of December 31, 2025 and 2024, the related consolidated statements of operations, comprehensive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w:t>
      </w:r>
      <w:r>
        <w:rPr>
          <w:color w:val="000000"/>
        </w:rPr>
        <w:t xml:space="preserve"> </w:t>
      </w:r>
      <w:r>
        <w:rPr>
          <w:rFonts w:ascii="Times New Roman;serif" w:hAnsi="Times New Roman;serif"/>
          <w:b w:val="false"/>
          <w:i/>
          <w:color w:val="000000"/>
          <w:sz w:val="20"/>
        </w:rPr>
        <w:t xml:space="preserve">Internal Control — Integrated Framework (2013) </w:t>
      </w:r>
      <w:r>
        <w:rPr>
          <w:rFonts w:ascii="Times New Roman;serif" w:hAnsi="Times New Roman;serif"/>
          <w:b w:val="false"/>
          <w:color w:val="000000"/>
          <w:sz w:val="20"/>
        </w:rPr>
        <w:t>issued by the Committee of Sponsoring Organizations of the Treadway Commission and our report dated February 25, 2026, expressed an unqualified opinion on the Company's internal control over financial reporting.</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 — Refer to Notes 2 and 4 to the financial statements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Critical Audit Matter Description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 from transactions where it provides a platform for the purchase and sale of digital advertising inventory. The Company uses automated systems to process and record revenue based on contractual terms with buyers and publishers, and its revenue is comprised of a significant volume of low-dollar transactions.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identified revenue as a critical audit matter because the Company’s systems to process and record revenue are highly automated and involve complex logic supporting the recognition of revenue. This required increased extent of effort, including the need for us to involve professionals with expertise in Information Technology (IT) to identify, test, and evaluate the Company’s systems, software applications, and automated controls.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Company’s systems to process revenue transactions included the following, among others: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With the assistance of our IT specialists, we: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Identified the significant systems used to process revenue transactions and tested the general IT controls over each of these systems, including testing of user access controls, change management controls, and IT operations controls.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Performed testing of system interface controls and automated controls within the relevant revenue streams, as well as controls designed to ensure the accuracy and completeness of revenue.</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Independently created test transactions and traced such transactions through the systems to final output for financial reporting.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We tested internal controls within the relevant revenue business processes, including those in place to reconcile the various systems to the Company’s general ledger.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We evaluated recorded revenue and revenue trends and used data analytics to analyze transactional revenue data.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We used technology-based data analysis tools to inspect journal entries to: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Identify significant relationships in the revenue population.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Sufficiently understand identified significant relationships and related accounts affecting revenue.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We performed audit procedures on those related accounts determined to have a significant relationship with revenue. Such procedures included:</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For a sample of accounts receivable balances, evaluating responses to confirmations sent to customers or other evidence such as cash receipts received after year end.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For a sample of accounts payable – seller balances, performing detail transaction testing by agreeing the amounts recognized to source documents. </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For a sample of cash disbursements made after year end, evaluating whether the amounts were appropriately included in accounts payable – seller as of the balance sheet date.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Analytical procedures on the accounts payable – seller balance by developing an independent expectation for the recorded balance based on a historical relationship with revenue.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Income Taxes — Valuation Allowance Release– Refer to Notes 2 and 17 to the financial statements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is subject to income taxes in the U.S. (federal and state) and numerous foreign jurisdictions. Deferred income tax assets and liabilities are determined based upon the net tax effects of the differences between the Company’s consolidated financial statement carrying amounts and the tax bases of assets and liabilities and are measured using the enacted tax rate expected to apply to taxable income in the years in which differences are expected to be reversed. A valuation allowance is used to reduce some or all of the deferred tax assets if, based upon the weight of available evidence, it is more likely than not that those deferred tax assets will not be realized. Future realization of deferred tax assets depends on the existence of sufficient taxable income of the appropriate character. Sources of taxable income include future reversals of deferred tax assets and liabilities, expected future taxable income, taxable income in prior carryback years if permitted under the tax law, and tax planning strategies.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management concluded that it is more likely than not that sufficient taxable income will be generated in the future to realize the Company’s U.S. federal and the majority of the Company’s U.S. state net deferred income tax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identified management’s determination that it is more likely than not that sufficient taxable income will be generated in the future to realize these deferred tax assets as a critical audit matter because of the significant judgments management makes related to determining whether it is appropriate to consider expected future taxable income as a source of taxable income. This required a high degree of auditor judgment and an increased extent of effort, including the need to involve our income tax specialists, when performing audit procedures to evaluate the reasonableness of management’s judgments.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release of the valuation allowance included the following, among others: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We tested internal controls over management's determination of whether it is more likely than not that the deferred tax assets will be realized.</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With the assistance of our income tax specialists, we evaluated the reasonableness of the methods, assumptions, and judgments used by management to determine whether a valuation allowance was necessary.</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We evaluated management’s ability to accurately estimate future taxable income by comparing actual results to management’s historical estimates and evaluating whether there have been any changes that would affect management’s ability to continue accurately estimating taxable income.</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 xml:space="preserve">We tested the reasonableness of management’s estimates of future taxable income by comparing the estimates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Internal budgets.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Historical taxable income, as adjusted for nonrecurring items.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Internal communications to management and the Board of Directors.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Forecasted information included in Company press releases as well as in analyst and industry reports for the Company and certain of its peer companies.</w:t>
      </w:r>
    </w:p>
    <w:p>
      <w:pPr>
        <w:pStyle w:val="TextBody"/>
        <w:bidi w:val="0"/>
        <w:spacing w:lineRule="auto" w:line="288" w:before="0" w:after="40"/>
        <w:ind w:left="0" w:right="0" w:hanging="360"/>
        <w:jc w:val="left"/>
        <w:rPr/>
      </w:pPr>
      <w:r>
        <w:rPr>
          <w:color w:val="000000"/>
        </w:rPr>
        <w:t>•</w:t>
      </w:r>
      <w:r>
        <w:rPr>
          <w:rFonts w:ascii="Times New Roman;serif" w:hAnsi="Times New Roman;serif"/>
          <w:b w:val="false"/>
          <w:color w:val="000000"/>
          <w:sz w:val="20"/>
        </w:rPr>
        <w:t>We evaluated whether the estimates of future taxable income were consistent with evidence obtained in other areas of the audit.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 Angeles, California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spacing w:lineRule="auto" w:line="288" w:before="0" w:after="200"/>
        <w:jc w:val="left"/>
        <w:rPr/>
      </w:pPr>
      <w:r>
        <w:rPr>
          <w:rFonts w:ascii="Times New Roman;serif" w:hAnsi="Times New Roman;serif"/>
          <w:b w:val="false"/>
          <w:color w:val="000000"/>
          <w:sz w:val="20"/>
        </w:rPr>
        <w:t>We have served as the Company's auditor since</w:t>
      </w:r>
      <w:r>
        <w:rPr>
          <w:color w:val="000000"/>
        </w:rPr>
        <w:t xml:space="preserve"> </w:t>
      </w:r>
      <w:r>
        <w:rPr>
          <w:rFonts w:ascii="Times New Roman;serif" w:hAnsi="Times New Roman;serif"/>
          <w:b w:val="false"/>
          <w:color w:val="000000"/>
          <w:sz w:val="20"/>
        </w:rPr>
        <w:t>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 except par values)</w:t>
      </w:r>
    </w:p>
    <w:tbl>
      <w:tblPr>
        <w:tblW w:w="10205" w:type="dxa"/>
        <w:jc w:val="right"/>
        <w:tblInd w:w="0" w:type="dxa"/>
        <w:tblLayout w:type="fixed"/>
        <w:tblCellMar>
          <w:top w:w="28" w:type="dxa"/>
          <w:left w:w="28" w:type="dxa"/>
          <w:bottom w:w="28" w:type="dxa"/>
          <w:right w:w="28" w:type="dxa"/>
        </w:tblCellMar>
      </w:tblPr>
      <w:tblGrid>
        <w:gridCol w:w="3286"/>
        <w:gridCol w:w="1935"/>
        <w:gridCol w:w="1899"/>
        <w:gridCol w:w="220"/>
        <w:gridCol w:w="1021"/>
        <w:gridCol w:w="114"/>
        <w:gridCol w:w="109"/>
        <w:gridCol w:w="109"/>
        <w:gridCol w:w="109"/>
        <w:gridCol w:w="220"/>
        <w:gridCol w:w="1019"/>
        <w:gridCol w:w="164"/>
      </w:tblGrid>
      <w:tr>
        <w:trPr/>
        <w:tc>
          <w:tcPr>
            <w:tcW w:w="328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Accounts receivable, net</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1,200,046</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Prepaid expenses and other current assets</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19,914</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1,703,180</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68,730</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50,329</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use software development costs, net</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26,625</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21,309</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3,164,375 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2,854,768 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current, net of debt issuance costs</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1,495,984</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non-current, net of debt discount and issuance costs</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550,104</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38,983</w:t>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2,086,550</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$0.00001 par value, 10,000 shares authorized at December 31, 2025 and December 31, 2024; 0 shares issued and outstanding at December 31, 2025 and December 31, 2024</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500,000 shares authorized at December 31, 2025 and December 31, 2024; 142,964 and 141,427 shares issued and outstanding at December 31, 2025 and December 31, 2024, respectively</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1,433,809</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(661,172)</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768,218</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3,164,375 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2,854,768 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803"/>
        <w:gridCol w:w="1493"/>
        <w:gridCol w:w="1504"/>
        <w:gridCol w:w="109"/>
        <w:gridCol w:w="109"/>
        <w:gridCol w:w="109"/>
        <w:gridCol w:w="109"/>
        <w:gridCol w:w="261"/>
        <w:gridCol w:w="1025"/>
        <w:gridCol w:w="134"/>
        <w:gridCol w:w="109"/>
        <w:gridCol w:w="109"/>
        <w:gridCol w:w="109"/>
        <w:gridCol w:w="261"/>
        <w:gridCol w:w="1025"/>
        <w:gridCol w:w="134"/>
        <w:gridCol w:w="109"/>
        <w:gridCol w:w="109"/>
        <w:gridCol w:w="109"/>
        <w:gridCol w:w="246"/>
        <w:gridCol w:w="1043"/>
        <w:gridCol w:w="186"/>
      </w:tblGrid>
      <w:tr>
        <w:trPr/>
        <w:tc>
          <w:tcPr>
            <w:tcW w:w="180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802" w:type="dxa"/>
            <w:gridSpan w:val="6"/>
            <w:tcBorders/>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713,953 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668,170 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616,352 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617,083 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774,719 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(157,547)</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153,770 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146,810 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136,620 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(LOSS)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9069" w:type="dxa"/>
        <w:jc w:val="left"/>
        <w:tblInd w:w="0" w:type="dxa"/>
        <w:tblLayout w:type="fixed"/>
        <w:tblCellMar>
          <w:top w:w="28" w:type="dxa"/>
          <w:left w:w="28" w:type="dxa"/>
          <w:bottom w:w="28" w:type="dxa"/>
          <w:right w:w="28" w:type="dxa"/>
        </w:tblCellMar>
      </w:tblPr>
      <w:tblGrid>
        <w:gridCol w:w="1244"/>
        <w:gridCol w:w="1091"/>
        <w:gridCol w:w="1100"/>
        <w:gridCol w:w="109"/>
        <w:gridCol w:w="109"/>
        <w:gridCol w:w="109"/>
        <w:gridCol w:w="109"/>
        <w:gridCol w:w="276"/>
        <w:gridCol w:w="1081"/>
        <w:gridCol w:w="142"/>
        <w:gridCol w:w="109"/>
        <w:gridCol w:w="109"/>
        <w:gridCol w:w="109"/>
        <w:gridCol w:w="304"/>
        <w:gridCol w:w="1039"/>
        <w:gridCol w:w="157"/>
        <w:gridCol w:w="109"/>
        <w:gridCol w:w="109"/>
        <w:gridCol w:w="109"/>
        <w:gridCol w:w="257"/>
        <w:gridCol w:w="1100"/>
        <w:gridCol w:w="188"/>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872" w:type="dxa"/>
            <w:gridSpan w:val="6"/>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(159,184)</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147,583 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(158,109)</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11168" w:type="dxa"/>
        <w:jc w:val="left"/>
        <w:tblInd w:w="0" w:type="dxa"/>
        <w:tblLayout w:type="fixed"/>
        <w:tblCellMar>
          <w:top w:w="28" w:type="dxa"/>
          <w:left w:w="28" w:type="dxa"/>
          <w:bottom w:w="28" w:type="dxa"/>
          <w:right w:w="28" w:type="dxa"/>
        </w:tblCellMar>
      </w:tblPr>
      <w:tblGrid>
        <w:gridCol w:w="764"/>
        <w:gridCol w:w="210"/>
        <w:gridCol w:w="212"/>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196"/>
        <w:gridCol w:w="406"/>
        <w:gridCol w:w="109"/>
        <w:gridCol w:w="109"/>
        <w:gridCol w:w="109"/>
        <w:gridCol w:w="109"/>
        <w:gridCol w:w="215"/>
        <w:gridCol w:w="446"/>
        <w:gridCol w:w="109"/>
        <w:gridCol w:w="109"/>
        <w:gridCol w:w="109"/>
        <w:gridCol w:w="109"/>
        <w:gridCol w:w="205"/>
        <w:gridCol w:w="773"/>
        <w:gridCol w:w="163"/>
      </w:tblGrid>
      <w:tr>
        <w:trPr/>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at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791,298 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and PSU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(159,184)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701,683 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768,218 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and PSU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144,613 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9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922,350 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960"/>
        <w:gridCol w:w="1676"/>
        <w:gridCol w:w="1685"/>
        <w:gridCol w:w="262"/>
        <w:gridCol w:w="985"/>
        <w:gridCol w:w="145"/>
        <w:gridCol w:w="109"/>
        <w:gridCol w:w="109"/>
        <w:gridCol w:w="109"/>
        <w:gridCol w:w="262"/>
        <w:gridCol w:w="985"/>
        <w:gridCol w:w="145"/>
        <w:gridCol w:w="109"/>
        <w:gridCol w:w="109"/>
        <w:gridCol w:w="109"/>
        <w:gridCol w:w="245"/>
        <w:gridCol w:w="1002"/>
        <w:gridCol w:w="199"/>
      </w:tblGrid>
      <w:tr>
        <w:trPr/>
        <w:tc>
          <w:tcPr>
            <w:tcW w:w="1960"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72,617 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on extinguishment of debt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(26,480)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Provision for doubtful accounts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 and issuance costs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(78,230)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foreign currency (gain) loss,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items,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(103,761)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(220,102)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236,168 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235,201 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214,367 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(70,535)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(26,764)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internal use software development costs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Mergers and acquisitions, net of indemnification claims holdback</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(92,765)</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(37,383)</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the term loan facility refinancing and repricing activities, net of debt discount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413,463 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Repayment of the term loan facility from refinancing and repricing activities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(92,622)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(403,113)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debt issuance costs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Repayment of debt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of Convertible Senior Notes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employee stock purchase plan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(46,282)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Repayment of finance leases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indemnification claims holdback</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(75,084)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(177,842)</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EFFECT OF EXCHANGE RATE CHANGES ON CASH, AND CASH EQUIVALENTS </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CHANGE IN CASH AND CASH EQUIVALENTS </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157,001 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 Beginning of period</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483,220 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326,219 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326,502 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 End of period</w:t>
            </w:r>
          </w:p>
        </w:tc>
        <w:tc>
          <w:tcPr>
            <w:tcW w:w="2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553,362 </w:t>
            </w:r>
          </w:p>
        </w:tc>
        <w:tc>
          <w:tcPr>
            <w:tcW w:w="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483,220 </w:t>
            </w:r>
          </w:p>
        </w:tc>
        <w:tc>
          <w:tcPr>
            <w:tcW w:w="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326,219 </w:t>
            </w:r>
          </w:p>
        </w:tc>
        <w:tc>
          <w:tcPr>
            <w:tcW w:w="1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FLOWS-(Continued)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018"/>
        <w:gridCol w:w="1771"/>
        <w:gridCol w:w="1778"/>
        <w:gridCol w:w="248"/>
        <w:gridCol w:w="936"/>
        <w:gridCol w:w="138"/>
        <w:gridCol w:w="109"/>
        <w:gridCol w:w="109"/>
        <w:gridCol w:w="109"/>
        <w:gridCol w:w="248"/>
        <w:gridCol w:w="936"/>
        <w:gridCol w:w="138"/>
        <w:gridCol w:w="109"/>
        <w:gridCol w:w="109"/>
        <w:gridCol w:w="109"/>
        <w:gridCol w:w="262"/>
        <w:gridCol w:w="865"/>
        <w:gridCol w:w="213"/>
      </w:tblGrid>
      <w:tr>
        <w:trPr/>
        <w:tc>
          <w:tcPr>
            <w:tcW w:w="2018"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OTHER CASH FLOW INFORMATION:</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Capitalized assets financed by accounts payable and accrued expenses and other liabilities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stock-based compensation</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operating lease liabilities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reduction and corresponding non-cash adjustment to operating lease liabilities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consideration - indemnification claims holdback</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financing activity related to Amendment Nos. 1 and 2 to the 2024 Credit Agreement</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5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MAGNITE,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0"/>
        <w:jc w:val="left"/>
        <w:rPr>
          <w:rFonts w:ascii="Times New Roman;serif" w:hAnsi="Times New Roman;serif"/>
          <w:b/>
          <w:color w:val="000000"/>
          <w:sz w:val="20"/>
        </w:rPr>
      </w:pPr>
      <w:r>
        <w:rPr>
          <w:rFonts w:ascii="Times New Roman;serif" w:hAnsi="Times New Roman;serif"/>
          <w:b/>
          <w:color w:val="000000"/>
          <w:sz w:val="20"/>
        </w:rPr>
        <w:t>Note 1—Nature of Operations</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Company Overview</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Magnite, Inc. ("Magnite" or the "Company") was formed in Delaware and began operations on April 20, 2007. 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Company provides technology solutions to automate the purchase and sale of digital advertising inventory for buyers and sellers globally, across all channels, formats and auction types. The Company's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buyers and sellers of digital advertising inventory.</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Sellers monetize their inventory through the Company’s platform by seamlessly connecting to a global market of integrated buyers that transact through real-time bidding. These transactions include biddable auctions, where multiple buyers bid against each other in a real-time auction for the right to purchase a publisher's inventory, as well as reserve auctions, where publishers establish direct deals or private marketplaces with select buyers. At the same time, buyers leverage the Company’s platform to reach their target audiences across thousands of sellers. </w:t>
      </w:r>
    </w:p>
    <w:p>
      <w:pPr>
        <w:pStyle w:val="TextBody"/>
        <w:bidi w:val="0"/>
        <w:spacing w:before="0" w:after="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2—Organization and Summary of Significant Accounting Policies</w:t>
      </w:r>
    </w:p>
    <w:p>
      <w:pPr>
        <w:pStyle w:val="TextBody"/>
        <w:bidi w:val="0"/>
        <w:spacing w:lineRule="auto" w:line="288" w:before="200" w:after="200"/>
        <w:jc w:val="left"/>
        <w:rPr/>
      </w:pPr>
      <w:r>
        <w:rPr>
          <w:color w:val="000000"/>
        </w:rPr>
        <w:t>    </w:t>
      </w:r>
      <w:r>
        <w:rPr>
          <w:rFonts w:ascii="Times New Roman;serif" w:hAnsi="Times New Roman;serif"/>
          <w:b/>
          <w:i/>
          <w:color w:val="000000"/>
          <w:sz w:val="20"/>
        </w:rPr>
        <w:t>Basis of Consolidation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accompanying consolidated financial statements have been prepared in accordance with accounting principles generally accepted in the United States of America, or GAAP, and include the operations of the Company and its wholly owned subsidiaries. All significant intercompany transactions and balances have been eliminated in consolidation.</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Segments</w:t>
      </w:r>
    </w:p>
    <w:p>
      <w:pPr>
        <w:pStyle w:val="TextBody"/>
        <w:bidi w:val="0"/>
        <w:spacing w:lineRule="auto" w:line="288" w:before="0" w:after="200"/>
        <w:ind w:left="0" w:right="0" w:firstLine="720"/>
        <w:jc w:val="left"/>
        <w:rPr/>
      </w:pPr>
      <w:r>
        <w:rPr>
          <w:rFonts w:ascii="Times New Roman;serif" w:hAnsi="Times New Roman;serif"/>
          <w:b w:val="false"/>
          <w:color w:val="000000"/>
          <w:sz w:val="20"/>
        </w:rPr>
        <w:t>Management has determined that the Company operates as one operating segment and one reportable segment. The Company’s chief operating decision maker ("CODM") is the Chief Executive Officer ("CEO"). The Company has one primary business activity, where it provides a platform to all of its customers, buyers and sellers, that automates the purchase and sale of digital advertising inventory globally, across all channels, formats, and auction types, as described above in Note 1—Nature of Operations. The Company’s CODM reviews financial information on a consolidated basis, principally to make decisions about how to allocate resources and to measure the Company’s performance. The CODM reviews consolidated net income (loss), which is the measure of financial profit and loss most closely aligned with generally accepted accounting principles. The CODM considers budget-to-actual variances for this measure, predominantly in the annual budget, forecasting process, and quarterly results assessment. The CODM does not review any balance sheet information at any other level than on a consolidated basis and does not review any income statement information at any other level than on a consolidated basis with the exception of revenue by geography and by channel (refer to Note 4</w:t>
      </w:r>
      <w:r>
        <w:rPr>
          <w:rFonts w:ascii="Times New Roman;serif" w:hAnsi="Times New Roman;serif"/>
          <w:b/>
          <w:color w:val="000000"/>
          <w:sz w:val="20"/>
        </w:rPr>
        <w:t>)</w:t>
      </w:r>
      <w:r>
        <w:rPr>
          <w:rFonts w:ascii="Times New Roman;serif" w:hAnsi="Times New Roman;serif"/>
          <w:b w:val="false"/>
          <w:color w:val="000000"/>
          <w:sz w:val="20"/>
        </w:rPr>
        <w:t>. The significant expense information regularly provided to the CODM is the same as that included in the face of the Company's consolidated income statement of operations.</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preparation of consolidated financial statements in conformity with GAAP requires management to make estimates and assumptions that affect the reported and disclosed financial statements and accompanying footnotes. Actual results could differ materially from these estimates.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On an ongoing basis, management evaluates its estimates, primarily those related to: (i) revenue recognition criteria, including the determination of revenue reporting as net versus gross in the Company’s revenue arrangements, (ii) accounts receivable and allowances for doubtful accounts, (iii) amounts capitalized and the useful lives of intangible assets, internal use software development costs, and property and equipment, (iv) valuation of long-lived assets and their recoverability, including goodwill, and (v) the realization of tax assets and estimates of tax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Estimates relating to the allowance for doubtful accounts, amounts capitalized and estimated useful lives of internal-use software development costs, estimated useful lives of long-lived assets, recoverability of intangible assets and goodwill, and income taxes, including the realization of tax assets and estimates of tax liabilities require the selection of appropriate valuation methodologies and models, and judgment in evaluating ranges of assumptions and financial inputs. Actual results may differ materially from those estimates under different assumptions or circumstances.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periodic review of the estimated useful lives of its property and equipment, the Company extended the estimated useful lives of its network hardware assets from three years to five years effective January 1, 2024. The change in estimated useful lives were due to actual and expected longer refresh cycles for these assets. Based on the carrying value of network hardware assets as of December 31, 2023 and those placed in service during the year ended December 31, 2024, the effect of this change in estimate was an increase in income from operations of $12.6 million for the year ended December 31, 2024 and an increase in net income of $12.6 million, or $0.09 per basic and diluted share for the year ended December 31, 2024. The updated policy reflecting the change in estimated useful lives is below.</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00"/>
        <w:jc w:val="left"/>
        <w:rPr/>
      </w:pPr>
      <w:r>
        <w:rPr>
          <w:color w:val="000000"/>
        </w:rPr>
        <w:t>    </w:t>
      </w:r>
      <w:r>
        <w:rPr>
          <w:rFonts w:ascii="Times New Roman;serif" w:hAnsi="Times New Roman;serif"/>
          <w:b w:val="false"/>
          <w:color w:val="000000"/>
          <w:sz w:val="20"/>
        </w:rPr>
        <w:t>The Company generates revenue from transactions where it provides a platform for the purchase and sale of digital advertising inventory. Generally, the Company's revenue is based on a percentage of the ad spend that runs through its platform, although for certain clients, services, or transaction types the Company may receive a fixed CPM for each impression sold, and for advertising campaigns that are transacted through insertion orders the Company earns revenue based on the full amount of ad spend that runs through its platform. In addition, the Company may receive certain fixed monthly fees for the use of its platform or products. The Company's platform dynamically connects sellers and buyers of advertising inventory in a digital marketplace. The Company's solution incorporates proprietary machine-learning algorithms, sophisticated data processing, high-volume storage, detailed analytics capabilities, and a distributed infrastructure.</w:t>
      </w:r>
      <w:r>
        <w:rPr>
          <w:color w:val="008080"/>
        </w:rPr>
        <w:t xml:space="preserve"> </w:t>
      </w:r>
      <w:r>
        <w:rPr>
          <w:rFonts w:ascii="Times New Roman;serif" w:hAnsi="Times New Roman;serif"/>
          <w:b w:val="false"/>
          <w:color w:val="000000"/>
          <w:sz w:val="20"/>
        </w:rPr>
        <w:t xml:space="preserve">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 </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 contract existing with the client and a fixed or determinable transaction price. The Company does not disclose the value of unsatisfied performance obligations for (i) contracts with an original expected length of one year or less and (ii) contracts for which the Company recognizes revenue at the amount to which it has the right to invoice for services performed. The Company considers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 </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determination of whether revenue should be reported on a gross or net basis is based on an assessment of whether the Company is acting as the principal or an agent in the transaction. In determining whether the Company is acting as the principal or an agent, the Company follows the accounting guidance for principal-agent considerations. Making such determinations involves judgment and is based on an evaluation of the terms of each arrangement, none of which are considered presumptive or determinative.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expenses into the following categories:</w:t>
      </w:r>
    </w:p>
    <w:p>
      <w:pPr>
        <w:pStyle w:val="TextBody"/>
        <w:bidi w:val="0"/>
        <w:spacing w:lineRule="auto" w:line="288" w:before="0" w:after="200"/>
        <w:jc w:val="left"/>
        <w:rPr/>
      </w:pPr>
      <w:r>
        <w:rPr>
          <w:color w:val="000000"/>
        </w:rPr>
        <w:t>    </w:t>
      </w:r>
      <w:r>
        <w:rPr>
          <w:rFonts w:ascii="Times New Roman;serif" w:hAnsi="Times New Roman;serif"/>
          <w:b w:val="false"/>
          <w:i/>
          <w:color w:val="000000"/>
          <w:sz w:val="20"/>
        </w:rPr>
        <w:t xml:space="preserve">Cost of Revenue. </w:t>
      </w:r>
      <w:r>
        <w:rPr>
          <w:rFonts w:ascii="Times New Roman;serif" w:hAnsi="Times New Roman;serif"/>
          <w:b w:val="false"/>
          <w:color w:val="000000"/>
          <w:sz w:val="20"/>
        </w:rPr>
        <w:t xml:space="preserve">The Company's cost of revenue primarily consists of cloud hosting, data center, and bandwidth costs, ad verification costs, depreciation and maintenance expense of hardware supporting the Company's revenue-producing platform, amortization of internally-developed software costs for the development of the Company's revenue-producing platform, amortization expense associated with acquired developed technologies, personnel costs, and software costs. In addition, for revenue booked on a gross basis, cost of revenue includes traffic acquisition costs. Personnel costs included in cost of revenue include salaries, bonuses, and stock-based compensation, and are primarily attributable to personnel in the Company's network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group who support the Company's platform. The Company capitalizes costs associated with software that is developed or obtained for internal use and amortize the costs associated with its revenue-producing platform in cost of revenue over their estimated useful lives. The Company amortizes acquired developed technologies over their estimated useful lives.</w:t>
      </w:r>
    </w:p>
    <w:p>
      <w:pPr>
        <w:pStyle w:val="TextBody"/>
        <w:bidi w:val="0"/>
        <w:spacing w:lineRule="auto" w:line="288" w:before="0" w:after="200"/>
        <w:jc w:val="left"/>
        <w:rPr/>
      </w:pPr>
      <w:r>
        <w:rPr>
          <w:color w:val="000000"/>
        </w:rPr>
        <w:t>    </w:t>
      </w: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The Company's sales and marketing expenses primarily consist of personnel costs, including salaries, bonuses, and stock-based compensation, as well as marketing expenses such as brand marketing, travel expenses, trade shows and marketing materials, amortization expense associated with client relationships, and non-compete agreements from the Company's business acquisitions, professional services, facilities-related costs, and depreciation expense. The Company's sales and support organization focuses on increasing the adoption of the Company's solution by existing and new buyers and sellers and supports ongoing client relationships. The Company amortizes acquired intangibles associated with client relationships from its business acquisitions over their estimated useful lives.</w:t>
      </w:r>
    </w:p>
    <w:p>
      <w:pPr>
        <w:pStyle w:val="TextBody"/>
        <w:bidi w:val="0"/>
        <w:spacing w:lineRule="auto" w:line="288" w:before="0" w:after="200"/>
        <w:jc w:val="left"/>
        <w:rPr/>
      </w:pPr>
      <w:r>
        <w:rPr>
          <w:color w:val="000000"/>
        </w:rPr>
        <w:t>    </w:t>
      </w:r>
      <w:r>
        <w:rPr>
          <w:rFonts w:ascii="Times New Roman;serif" w:hAnsi="Times New Roman;serif"/>
          <w:b w:val="false"/>
          <w:i/>
          <w:color w:val="000000"/>
          <w:sz w:val="20"/>
        </w:rPr>
        <w:t xml:space="preserve">Technology and Development. </w:t>
      </w:r>
      <w:r>
        <w:rPr>
          <w:rFonts w:ascii="Times New Roman;serif" w:hAnsi="Times New Roman;serif"/>
          <w:b w:val="false"/>
          <w:color w:val="000000"/>
          <w:sz w:val="20"/>
        </w:rPr>
        <w:t>The Company's technology and development expenses primarily consist of personnel costs, including salaries, bonuses, and stock-based compensation, as well as professional services associated with the ongoing development and maintenance of the Company's solution, software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the Company's consolidated balance sheets. The Company amortizes internal use software development costs that relate to its revenue-producing activities on the Company's platform to cost of revenue and amortize other internal use software development costs to technology and development costs or general and administrative expenses, depending on the nature of the related project. The Company amortizes acquired intangibles associated with technology and development functions from its business acquisitions over their estimated useful lives.</w:t>
      </w:r>
    </w:p>
    <w:p>
      <w:pPr>
        <w:pStyle w:val="TextBody"/>
        <w:bidi w:val="0"/>
        <w:spacing w:lineRule="auto" w:line="288" w:before="0" w:after="200"/>
        <w:jc w:val="left"/>
        <w:rPr/>
      </w:pPr>
      <w:r>
        <w:rPr>
          <w:color w:val="000000"/>
        </w:rPr>
        <w:t>    </w:t>
      </w: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The Company's general and administrative expenses primarily consist of personnel costs, including salaries, bonuses, and stock-based compensation, associated with the Company's executive, finance, legal, human resources, compliance, and other administrative personnel, as well as accounting and legal professional services fees, facilities-related costs, depreciation expense, bad debt expense, and other corporate-related expenses.</w:t>
      </w:r>
    </w:p>
    <w:p>
      <w:pPr>
        <w:pStyle w:val="TextBody"/>
        <w:bidi w:val="0"/>
        <w:spacing w:lineRule="auto" w:line="288" w:before="0" w:after="200"/>
        <w:jc w:val="left"/>
        <w:rPr/>
      </w:pPr>
      <w:r>
        <w:rPr>
          <w:color w:val="000000"/>
        </w:rPr>
        <w:t>    </w:t>
      </w:r>
      <w:r>
        <w:rPr>
          <w:rFonts w:ascii="Times New Roman;serif" w:hAnsi="Times New Roman;serif"/>
          <w:b w:val="false"/>
          <w:i/>
          <w:color w:val="000000"/>
          <w:sz w:val="20"/>
        </w:rPr>
        <w:t>Merger, Acquisition, and Restructuring Costs.</w:t>
      </w:r>
      <w:r>
        <w:rPr>
          <w:color w:val="000000"/>
        </w:rPr>
        <w:t xml:space="preserve"> </w:t>
      </w:r>
      <w:r>
        <w:rPr>
          <w:rFonts w:ascii="Times New Roman;serif" w:hAnsi="Times New Roman;serif"/>
          <w:b w:val="false"/>
          <w:color w:val="000000"/>
          <w:sz w:val="20"/>
        </w:rPr>
        <w:t>The Company's merger, acquisition, and restructuring costs primarily consist of professional service fees associated with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pStyle w:val="TextBody"/>
        <w:bidi w:val="0"/>
        <w:spacing w:lineRule="auto" w:line="288" w:before="0" w:after="200"/>
        <w:jc w:val="left"/>
        <w:rPr/>
      </w:pPr>
      <w:r>
        <w:rPr>
          <w:color w:val="000000"/>
        </w:rPr>
        <w:t>    </w:t>
      </w:r>
      <w:r>
        <w:rPr>
          <w:rFonts w:ascii="Times New Roman;serif" w:hAnsi="Times New Roman;serif"/>
          <w:b/>
          <w:i/>
          <w:color w:val="000000"/>
          <w:sz w:val="20"/>
        </w:rPr>
        <w:t>Stock-Based Compensation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Compensation expense related to employee and non-employee stock-based awards is measured and recognized in the consolidated financial statements based on the fair value of the awards granted. The Company grants awards to employees that vest based solely on continued service, or service conditions, awards that vest based on the achievement of performance targets, or performance conditions, and awards that vest based on the Company's stock price exceeding a peer index, or market conditions. The fair value of restricted stock units that vest based on continued service is equal to the closing price of the Company's common stock as reported on the Nasdaq on the grant date. The fair value of each option award containing service conditions is estimated on the grant date using the Black-Scholes option-pricing model. Generally, option awards have a contractual term of ten years. The fair value of awards containing market conditions is estimated using a Monte-Carlo simulation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 The Company accounts for forfeitures when they occur.</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assumptions and estimates used in the Black-Scholes pricing model are as follows:</w:t>
      </w:r>
    </w:p>
    <w:p>
      <w:pPr>
        <w:pStyle w:val="TextBody"/>
        <w:bidi w:val="0"/>
        <w:spacing w:lineRule="auto" w:line="288" w:before="0" w:after="200"/>
        <w:jc w:val="left"/>
        <w:rPr/>
      </w:pPr>
      <w:r>
        <w:rPr>
          <w:color w:val="000000"/>
        </w:rPr>
        <w:t>    </w:t>
      </w:r>
      <w:r>
        <w:rPr>
          <w:rFonts w:ascii="Times New Roman;serif" w:hAnsi="Times New Roman;serif"/>
          <w:b w:val="false"/>
          <w:i/>
          <w:color w:val="000000"/>
          <w:sz w:val="20"/>
        </w:rPr>
        <w:t>Fair Value of Common Stock.</w:t>
      </w:r>
      <w:r>
        <w:rPr>
          <w:color w:val="000000"/>
        </w:rPr>
        <w:t xml:space="preserve"> </w:t>
      </w:r>
      <w:r>
        <w:rPr>
          <w:rFonts w:ascii="Times New Roman;serif" w:hAnsi="Times New Roman;serif"/>
          <w:b w:val="false"/>
          <w:color w:val="000000"/>
          <w:sz w:val="20"/>
        </w:rPr>
        <w:t xml:space="preserve">The fair value of common stock is based on the closing price of the Company's common stock as reported on the Nasdaq on the grant date. </w:t>
      </w:r>
    </w:p>
    <w:p>
      <w:pPr>
        <w:pStyle w:val="TextBody"/>
        <w:bidi w:val="0"/>
        <w:spacing w:lineRule="auto" w:line="288" w:before="0" w:after="200"/>
        <w:jc w:val="left"/>
        <w:rPr/>
      </w:pPr>
      <w:r>
        <w:rPr>
          <w:color w:val="006EBF"/>
        </w:rPr>
        <w:t>    </w:t>
      </w:r>
      <w:r>
        <w:rPr>
          <w:rFonts w:ascii="Times New Roman;serif" w:hAnsi="Times New Roman;serif"/>
          <w:b w:val="false"/>
          <w:i/>
          <w:color w:val="000000"/>
          <w:sz w:val="20"/>
        </w:rPr>
        <w:t>Risk-Free Interest Rate.</w:t>
      </w:r>
      <w:r>
        <w:rPr>
          <w:color w:val="000000"/>
        </w:rPr>
        <w:t xml:space="preserve"> </w:t>
      </w:r>
      <w:r>
        <w:rPr>
          <w:rFonts w:ascii="Times New Roman;serif" w:hAnsi="Times New Roman;serif"/>
          <w:b w:val="false"/>
          <w:color w:val="000000"/>
          <w:sz w:val="20"/>
        </w:rPr>
        <w:t>The Company bases the risk-free interest rate used in the Black-Scholes option-pricing model on the yields of U.S. Treasury securities with maturities appropriate for the term of stock option awards.</w:t>
      </w:r>
    </w:p>
    <w:p>
      <w:pPr>
        <w:pStyle w:val="TextBody"/>
        <w:bidi w:val="0"/>
        <w:spacing w:lineRule="auto" w:line="288" w:before="0" w:after="200"/>
        <w:jc w:val="left"/>
        <w:rPr/>
      </w:pPr>
      <w:r>
        <w:rPr>
          <w:color w:val="000000"/>
        </w:rPr>
        <w:t>    </w:t>
      </w:r>
      <w:r>
        <w:rPr>
          <w:rFonts w:ascii="Times New Roman;serif" w:hAnsi="Times New Roman;serif"/>
          <w:b w:val="false"/>
          <w:i/>
          <w:color w:val="000000"/>
          <w:sz w:val="20"/>
        </w:rPr>
        <w:t>Expected Term.</w:t>
      </w:r>
      <w:r>
        <w:rPr>
          <w:color w:val="000000"/>
        </w:rPr>
        <w:t xml:space="preserve"> </w:t>
      </w:r>
      <w:r>
        <w:rPr>
          <w:rFonts w:ascii="Times New Roman;serif" w:hAnsi="Times New Roman;serif"/>
          <w:b w:val="false"/>
          <w:color w:val="000000"/>
          <w:sz w:val="20"/>
        </w:rPr>
        <w:t>For employee stock options the expected term is determined based on historical trends. The expected term of employee stock options that contain performance conditions represents the weighted-average period that the stock options are estimated to remain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pPr>
      <w:r>
        <w:rPr>
          <w:color w:val="000000"/>
        </w:rPr>
        <w:t>    </w:t>
      </w:r>
      <w:r>
        <w:rPr>
          <w:rFonts w:ascii="Times New Roman;serif" w:hAnsi="Times New Roman;serif"/>
          <w:b w:val="false"/>
          <w:i/>
          <w:color w:val="000000"/>
          <w:sz w:val="20"/>
        </w:rPr>
        <w:t>Volatility.</w:t>
      </w:r>
      <w:r>
        <w:rPr>
          <w:color w:val="000000"/>
        </w:rPr>
        <w:t xml:space="preserve"> </w:t>
      </w:r>
      <w:r>
        <w:rPr>
          <w:rFonts w:ascii="Times New Roman;serif" w:hAnsi="Times New Roman;serif"/>
          <w:b w:val="false"/>
          <w:color w:val="000000"/>
          <w:sz w:val="20"/>
        </w:rPr>
        <w:t xml:space="preserve">The computation of the expected volatility assumption is based on the historical volatility of the Company’s common stock. </w:t>
      </w:r>
    </w:p>
    <w:p>
      <w:pPr>
        <w:pStyle w:val="TextBody"/>
        <w:bidi w:val="0"/>
        <w:spacing w:lineRule="auto" w:line="288" w:before="0" w:after="200"/>
        <w:jc w:val="left"/>
        <w:rPr/>
      </w:pPr>
      <w:r>
        <w:rPr>
          <w:color w:val="000000"/>
        </w:rPr>
        <w:t>    </w:t>
      </w:r>
      <w:r>
        <w:rPr>
          <w:rFonts w:ascii="Times New Roman;serif" w:hAnsi="Times New Roman;serif"/>
          <w:b w:val="false"/>
          <w:i/>
          <w:color w:val="000000"/>
          <w:sz w:val="20"/>
        </w:rPr>
        <w:t>Dividend Yield.</w:t>
      </w:r>
      <w:r>
        <w:rPr>
          <w:color w:val="000000"/>
        </w:rPr>
        <w:t xml:space="preserve"> </w:t>
      </w:r>
      <w:r>
        <w:rPr>
          <w:rFonts w:ascii="Times New Roman;serif" w:hAnsi="Times New Roman;serif"/>
          <w:b w:val="false"/>
          <w:color w:val="000000"/>
          <w:sz w:val="20"/>
        </w:rPr>
        <w:t>The dividend yield assumption is based on the Company’s history and current expectations of dividend payouts. The Company has never declared or paid any cash dividends on its common stock and does not anticipate paying any cash dividends in the foreseeable future, so the Company used an expected dividend yield of zero.</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Determining the fair value of stock-based awards with performance and market conditions requires judgment. The Company's use of the Monte-Carlo simulation model requires the input of subjective assumptions, such as the expected term of the award, the expected volatility of the price of the Company’s common stock, risk-free interest rates, the expected dividend yield of the Company’s common stock, in addition for those awards containing market conditions, which also include expected volatilities of selected peer companies, and expected correlation coefficients of the Company and those of the selected peer companies. The assumptions used in the Company’s valuation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Income Taxes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Deferred income tax assets and liabilities are determined based upon the net tax effects of the differences between the Company’s consolidated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A valuation allowance is recorded to reduce deferred tax assets when, based upon the weight of available evidence, it is more likely than not that some portion or all of the deferred tax assets will not be realized. The Company assesses the realizability of deferred tax assets on a jurisdictional basis and considers all available positive and negative evidence, including cumulative results of operations, projections of future taxable income, the reversal of taxable temporary differences, tax planning strategies, and the carryforward periods of existing tax attributes.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Company recognizes the income tax benefit from an uncertain tax position only if it is more likely than not that the tax position will be sustained on examination by the taxing authorities, based on the technical merits of the position. The income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its income tax provision (benefit) in the consolidated statements of operations.</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Capital Stock    </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Company has authorized capital stock of 500,000,000 shares of common stock and 10,000,000 shares of preferred stock. The Company has issued common stock, which is included in outstanding common stock on the Company's consolidated balance sheets. From time to time, the Company has repurchased shares of common stock, which has been recorded as treasury stock on the Company's consolidated balance sheets. All treasury stock has been subsequently retired. The Company has not issued any shares of its preferred stock subsequent to the Company's initial public offering ("IPO") and does not have any preferred stock outstanding.</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Company is required to reserve and keep available out of its authorized but unissued shares of common stock such number of shares sufficient to affect the conversion of all shares granted and available for grant under the Company’s stock award plans. The number of shares of the Company's stock reserved for these purposes at December 31, 2025 was 35,427,354.</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board of directors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Net Income (Loss) Per Share Attributable to Common Stockholders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Basic net income (loss) per share of common stock is calculated by dividing the net income (loss) by the weighted-average number of shares of common stock outstanding. Diluted income per share considers adjustments to net income and the weighted-average number of shares of common stock outstanding for the effect of potentially dilutive securities during the period. Potentially dilutive securities consist of stock options, restricted stock units, performance stock units, potential shares issuable under the Company's Employee Stock Purchase Plan ("ESPP"), and potential shares issuable as part of the Convertible Senior Notes. Diluted income per share is computed utilizing the treasury method for options, restricted stock units, performance stock units, and potential ESPP shares. Diluted income per share for the Convertible Senior Notes is calculated under the if-converted method. Potential common share equivalents are excluded where their inclusion would be anti-dilutive. For periods in which the Company reports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loss, diluted net loss per share is the same as basic net loss per share because the effects of potentially dilutive securities would be anti-dilutive.</w:t>
      </w:r>
    </w:p>
    <w:p>
      <w:pPr>
        <w:pStyle w:val="TextBody"/>
        <w:bidi w:val="0"/>
        <w:spacing w:lineRule="auto" w:line="288" w:before="0" w:after="200"/>
        <w:jc w:val="left"/>
        <w:rPr/>
      </w:pPr>
      <w:r>
        <w:rPr>
          <w:color w:val="006EBF"/>
        </w:rPr>
        <w:t>    </w:t>
      </w:r>
      <w:r>
        <w:rPr>
          <w:rFonts w:ascii="Times New Roman;serif" w:hAnsi="Times New Roman;serif"/>
          <w:b/>
          <w:i/>
          <w:color w:val="000000"/>
          <w:sz w:val="20"/>
        </w:rPr>
        <w:t>Comprehensive Income (Loss)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Comprehensive income (loss) encompasses all changes in equity other than those arising from transactions with stockholders, and consists of net income (loss), unrealized gains (losses) on investments and foreign currency translation adjustments.</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Cash and Cash Equivalents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The Company invests excess cash primarily in money market funds, corporate debt securities, and highly liquid debt instruments of the U.S. government and its agencies. The Company classifies investments held in money market funds as cash equivalents because the money market funds have weighted-average maturities at the date of purchase of less than 90 days, are freely redeemable into cash and have a constant net asset value. </w:t>
      </w:r>
    </w:p>
    <w:p>
      <w:pPr>
        <w:pStyle w:val="TextBody"/>
        <w:bidi w:val="0"/>
        <w:spacing w:lineRule="auto" w:line="288" w:before="0" w:after="200"/>
        <w:jc w:val="left"/>
        <w:rPr/>
      </w:pPr>
      <w:r>
        <w:rPr>
          <w:color w:val="006EBF"/>
        </w:rPr>
        <w:t>    </w:t>
      </w:r>
      <w:r>
        <w:rPr>
          <w:rFonts w:ascii="Times New Roman;serif" w:hAnsi="Times New Roman;serif"/>
          <w:b/>
          <w:i/>
          <w:color w:val="000000"/>
          <w:sz w:val="20"/>
        </w:rPr>
        <w:t>Accounts Receivable Allowance for Doubtful Accounts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Accounts receivable are recorded at the invoiced amount, are unsecured, and do not bear interest.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client information, subsequent collection history and other relevant data. The Company reviews the allowance for doubtful accounts on a quarterly basis. Account balances are charged off against the allowance when the Company believes it is probable the receivable will not be recovered. </w:t>
      </w:r>
    </w:p>
    <w:p>
      <w:pPr>
        <w:pStyle w:val="TextBody"/>
        <w:bidi w:val="0"/>
        <w:spacing w:lineRule="auto" w:line="288" w:before="0" w:after="200"/>
        <w:jc w:val="left"/>
        <w:rPr/>
      </w:pPr>
      <w:r>
        <w:rPr>
          <w:color w:val="006EBF"/>
        </w:rPr>
        <w:t>    </w:t>
      </w:r>
      <w:r>
        <w:rPr>
          <w:rFonts w:ascii="Times New Roman;serif" w:hAnsi="Times New Roman;serif"/>
          <w:b/>
          <w:i/>
          <w:color w:val="000000"/>
          <w:sz w:val="20"/>
        </w:rPr>
        <w:t>Property and Equipment, Net</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Property and equipment are recorded at historical cost, less accumulated depreciation and amortization. Depreciation is computed using the straight-line method based upon the estimated useful lives of the assets. The estimated useful lives of the Company’s property and equipment are as follows:</w:t>
      </w:r>
    </w:p>
    <w:tbl>
      <w:tblPr>
        <w:tblW w:w="6658" w:type="dxa"/>
        <w:jc w:val="left"/>
        <w:tblInd w:w="0" w:type="dxa"/>
        <w:tblLayout w:type="fixed"/>
        <w:tblCellMar>
          <w:top w:w="28" w:type="dxa"/>
          <w:left w:w="28" w:type="dxa"/>
          <w:bottom w:w="28" w:type="dxa"/>
          <w:right w:w="28" w:type="dxa"/>
        </w:tblCellMar>
      </w:tblPr>
      <w:tblGrid>
        <w:gridCol w:w="1331"/>
        <w:gridCol w:w="1168"/>
        <w:gridCol w:w="1175"/>
        <w:gridCol w:w="873"/>
        <w:gridCol w:w="873"/>
        <w:gridCol w:w="1238"/>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network hardware</w:t>
            </w:r>
          </w:p>
        </w:tc>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office equipment</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7</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useful life or life of lease</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lineRule="auto" w:line="288" w:before="20" w:after="200"/>
        <w:jc w:val="left"/>
        <w:rPr>
          <w:color w:val="000000"/>
        </w:rPr>
      </w:pPr>
      <w:r>
        <w:rPr>
          <w:color w:val="000000"/>
        </w:rPr>
        <w:t>    </w:t>
      </w:r>
      <w:r>
        <w:rPr>
          <w:rFonts w:ascii="Times New Roman;serif" w:hAnsi="Times New Roman;serif"/>
          <w:b w:val="false"/>
          <w:color w:val="000000"/>
          <w:sz w:val="20"/>
        </w:rPr>
        <w:t>Repair and maintenance costs are charged to expense as incurred, while renewals and improvements are capitalized. When assets are retired or otherwise disposed of, the cost and related accumulated depreciation are removed from the accounts and any resulting gain or loss is reflected in the Company’s results of operations.</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Internal Use Software Development Costs</w:t>
      </w:r>
    </w:p>
    <w:p>
      <w:pPr>
        <w:pStyle w:val="TextBody"/>
        <w:bidi w:val="0"/>
        <w:spacing w:lineRule="auto" w:line="288" w:before="0" w:after="200"/>
        <w:jc w:val="left"/>
        <w:rPr/>
      </w:pPr>
      <w:r>
        <w:rPr>
          <w:color w:val="006EBF"/>
        </w:rPr>
        <w:t>    </w:t>
      </w:r>
      <w:r>
        <w:rPr>
          <w:rFonts w:ascii="Times New Roman;serif" w:hAnsi="Times New Roman;serif"/>
          <w:b w:val="false"/>
          <w:color w:val="000000"/>
          <w:sz w:val="20"/>
        </w:rPr>
        <w:t>The Company capitalizes certain internal use software development costs associated with creating and enhancing internally developed software related to the Company’s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post-configuration training and repairs and maintenance of the developed technologies, are expensed as incurred. The Company capitalizes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which is generally three years, commencing when the software is ready for its intended use. The straight-line recognition method approximates the manner in which the expected benefit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will be derived. On an ongoing basis, the Company assesses the remaining estimated useful lives of internal use software projects. If remaining useful lives are revised, the change is accounted for as a change in estimate.</w:t>
      </w:r>
    </w:p>
    <w:p>
      <w:pPr>
        <w:pStyle w:val="TextBody"/>
        <w:bidi w:val="0"/>
        <w:spacing w:lineRule="auto" w:line="288" w:before="0" w:after="200"/>
        <w:jc w:val="left"/>
        <w:rPr/>
      </w:pPr>
      <w:r>
        <w:rPr>
          <w:color w:val="006EBF"/>
        </w:rPr>
        <w:t>    </w:t>
      </w:r>
      <w:r>
        <w:rPr>
          <w:rFonts w:ascii="Times New Roman;serif" w:hAnsi="Times New Roman;serif"/>
          <w:b w:val="false"/>
          <w:color w:val="000000"/>
          <w:sz w:val="20"/>
        </w:rPr>
        <w:t>The Company does not transfer ownership of its software, or lease its software, to third parties.</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Intangible assets primarily consist of acquired developed technology, client relationships, and in-process research and development projects resulting from business combinations,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Company’s intangible assets are being amortized over their estimated useful lives as follows:</w:t>
      </w:r>
    </w:p>
    <w:tbl>
      <w:tblPr>
        <w:tblW w:w="3869" w:type="dxa"/>
        <w:jc w:val="left"/>
        <w:tblInd w:w="0" w:type="dxa"/>
        <w:tblLayout w:type="fixed"/>
        <w:tblCellMar>
          <w:top w:w="28" w:type="dxa"/>
          <w:left w:w="28" w:type="dxa"/>
          <w:bottom w:w="28" w:type="dxa"/>
          <w:right w:w="28" w:type="dxa"/>
        </w:tblCellMar>
      </w:tblPr>
      <w:tblGrid>
        <w:gridCol w:w="1126"/>
        <w:gridCol w:w="986"/>
        <w:gridCol w:w="992"/>
        <w:gridCol w:w="224"/>
        <w:gridCol w:w="224"/>
        <w:gridCol w:w="317"/>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 to 4</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to 3</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10</w:t>
            </w:r>
          </w:p>
        </w:tc>
      </w:tr>
    </w:tbl>
    <w:p>
      <w:pPr>
        <w:pStyle w:val="TextBody"/>
        <w:bidi w:val="0"/>
        <w:spacing w:lineRule="auto" w:line="288" w:before="0" w:after="200"/>
        <w:jc w:val="left"/>
        <w:rPr/>
      </w:pPr>
      <w:r>
        <w:rPr>
          <w:color w:val="000000"/>
        </w:rPr>
        <w:t>    </w:t>
      </w:r>
      <w:r>
        <w:rPr>
          <w:rFonts w:ascii="Times New Roman;serif" w:hAnsi="Times New Roman;serif"/>
          <w:b w:val="false"/>
          <w:color w:val="000000"/>
          <w:sz w:val="20"/>
        </w:rPr>
        <w:t>On an ongoing basis, the Company assesses the remaining estimated useful lives of intangible assets. If remaining useful lives are revised, the change is accounted for as a change in estimate.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reviewed for impairment indicators at least annually and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intangible assets used in operations, impairment losses are only recorded if the asset’s carrying amount is not recoverable through its undiscounted, probability-weighted future cash flows at the asset group level that represents the lowest level of independent cash flows. The Company measures the impairment loss based on the difference between the carrying amount and estimated fair value. </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Impairment of Long-Lived Assets including Internal Use Capitalized Software Costs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Company assesses the recoverability of its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The Company assesses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pStyle w:val="TextBody"/>
        <w:bidi w:val="0"/>
        <w:spacing w:lineRule="auto" w:line="288" w:before="0" w:after="200"/>
        <w:jc w:val="left"/>
        <w:rPr/>
      </w:pPr>
      <w:r>
        <w:rPr>
          <w:color w:val="006EBF"/>
        </w:rPr>
        <w:t>    </w:t>
      </w:r>
      <w:r>
        <w:rPr>
          <w:rFonts w:ascii="Times New Roman;serif" w:hAnsi="Times New Roman;serif"/>
          <w:b/>
          <w:i/>
          <w:color w:val="000000"/>
          <w:sz w:val="20"/>
        </w:rPr>
        <w:t>Business Combinations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results of businesses acquired in a business combination are included in the Company’s consolidated financial statements from the date of acquisition. The Company allocates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When the Company issues stock-based or cash awards to an acquired company’s stockholders, the Company evaluates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Company estimates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Acquisition-related transaction costs are not included as a component of consideration transferred, but are accounted for as an expense in the period in which the costs are incurred.</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Goodwill</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 </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 accordance with guidance related to impairment testing, the Company has the option to first assess qualitative factors to determine 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The Company operates as a single operating segment and has identified a single reporting unit. </w:t>
      </w:r>
    </w:p>
    <w:p>
      <w:pPr>
        <w:pStyle w:val="TextBody"/>
        <w:bidi w:val="0"/>
        <w:spacing w:lineRule="auto" w:line="288" w:before="0" w:after="200"/>
        <w:jc w:val="left"/>
        <w:rPr/>
      </w:pPr>
      <w:r>
        <w:rPr>
          <w:color w:val="006EBF"/>
        </w:rPr>
        <w:t>    </w:t>
      </w:r>
      <w:r>
        <w:rPr>
          <w:rFonts w:ascii="Times New Roman;serif" w:hAnsi="Times New Roman;serif"/>
          <w:b/>
          <w:i/>
          <w:color w:val="000000"/>
          <w:sz w:val="20"/>
        </w:rPr>
        <w:t>Operating Leases</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at inception. A contract is or contains a lease if it conveys the right to control the use of an identified asset for a period of time in exchange for consideration. The Company's classes of assets that are leased include office facilities, data centers, and equipment. The Company has elected not to recognize short-term leases on the balance sheet, nor separate lease and non-lease components for data center leases. In addition, the Company utilized the portfolio approach to group leases with similar characteristics together. </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identified leases, the Company used its incremental borrowing rate to discount the related future payment obligations, which represents the rate of interest the Company would have to pay to borrow on a collateralized basis over a similar term an amount equal to the lease payments in a similar economic environment.</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rent expense for operating leases, including leases of office facilities, data centers, and equipment, on a straight-line basis over the lease term. The straight-line calculation of rent expense includes rent escalations on certain leases, as well as lease incentives provided by the landlords, including payments for leasehold improvements and rent-free periods. The Company begins recognition of rent expense on the commencement date, which is generally the date that the asset is made available for use. The Company also records variable lease expense primarily related to operating expenses, utilities, or other costs that are subject to fluctuation. Lease liability, which represents the present value of the Company's obligation related to the estimated future lease payments, is included in lease liabilities, current and lease liabilities, non-current within the consolidated balance sheets. These liability balances are reduced as lease related payments are made. For operating leases, the right-of-use ("ROU") assets are amortized on a periodic basis over the expected term of the lease (see Note 11). </w:t>
      </w:r>
    </w:p>
    <w:p>
      <w:pPr>
        <w:pStyle w:val="TextBody"/>
        <w:bidi w:val="0"/>
        <w:spacing w:lineRule="auto" w:line="288" w:before="10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The carrying amounts of the Company's cash equivalents, accounts receivable, accounts payable, accrued expenses, and seller payables approximate fair value due to the short-term nature of these instruments. Certain assets of the Company are recorded at their fair value, using the fair value hierarchy, on a recurring basis, and other assets and liabilities, including goodwill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subject to measurement at fair value on a non-recurring basis if they are deemed to be impaired as a result of an impairment review (see Note 5). </w:t>
      </w:r>
    </w:p>
    <w:p>
      <w:pPr>
        <w:pStyle w:val="TextBody"/>
        <w:bidi w:val="0"/>
        <w:spacing w:lineRule="auto" w:line="288" w:before="0" w:after="200"/>
        <w:jc w:val="left"/>
        <w:rPr/>
      </w:pPr>
      <w:r>
        <w:rPr>
          <w:color w:val="000000"/>
        </w:rPr>
        <w:t>    </w:t>
      </w:r>
      <w:r>
        <w:rPr>
          <w:rFonts w:ascii="Times New Roman;serif" w:hAnsi="Times New Roman;serif"/>
          <w:b/>
          <w:i/>
          <w:color w:val="000000"/>
          <w:sz w:val="20"/>
        </w:rPr>
        <w:t>Concentration of Risk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Financial instruments that potentially subject the Company to concentration of credit risk consist principally of cash, cash equivalents, and accounts receivable. Cash maintained with financial institutions typically exceeds applicable federally insured limits in the U.S. and may not be covered by similar local depositor insurance schemes for cash held in foreign currencies or in bank accounts outside of the U.S. Cash equivalents, primarily money market fund investments, are not insured by federal insurance schemes and are exposed to other potential risks linked to high concentration among major custodial banks.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Accounts receivable include amounts due from buyers with principal operations primarily in the United States. The Company performs ongoing credit evaluations of its buyers.</w:t>
      </w:r>
    </w:p>
    <w:p>
      <w:pPr>
        <w:pStyle w:val="TextBody"/>
        <w:bidi w:val="0"/>
        <w:spacing w:lineRule="auto" w:line="288" w:before="0" w:after="200"/>
        <w:jc w:val="left"/>
        <w:rPr/>
      </w:pPr>
      <w:r>
        <w:rPr>
          <w:color w:val="006EBF"/>
        </w:rPr>
        <w:t>    </w:t>
      </w:r>
      <w:r>
        <w:rPr>
          <w:rFonts w:ascii="Times New Roman;serif" w:hAnsi="Times New Roman;serif"/>
          <w:b w:val="false"/>
          <w:color w:val="000000"/>
          <w:sz w:val="20"/>
        </w:rPr>
        <w:t xml:space="preserve">At December 31, 2025, two buyers accounted for 40% and 12%, respectively, of consolidated accounts receivable, net. At December 31, 2024, two buyers accounted for 46% and 11%, respectively, of accounts receivable, net. </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Company recognizes revenue from its contracts with sellers. No seller of advertising inventory accounted for 10% or more of revenue during the years ended December 31, 2025, 2024, and 2023.</w:t>
      </w:r>
    </w:p>
    <w:p>
      <w:pPr>
        <w:pStyle w:val="TextBody"/>
        <w:bidi w:val="0"/>
        <w:spacing w:lineRule="auto" w:line="288" w:before="0" w:after="200"/>
        <w:jc w:val="left"/>
        <w:rPr/>
      </w:pPr>
      <w:r>
        <w:rPr>
          <w:color w:val="006EBF"/>
        </w:rPr>
        <w:t>    </w:t>
      </w:r>
      <w:r>
        <w:rPr>
          <w:rFonts w:ascii="Times New Roman;serif" w:hAnsi="Times New Roman;serif"/>
          <w:b w:val="false"/>
          <w:color w:val="000000"/>
          <w:sz w:val="20"/>
        </w:rPr>
        <w:t xml:space="preserve">At December 31, 2025, one seller of advertising inventory accounted for 27% of accounts payable and accrued expenses and at December 31, 2024, one seller of advertising inventory accounted for 28% of accounts payable and accrued expenses. </w:t>
      </w:r>
    </w:p>
    <w:p>
      <w:pPr>
        <w:pStyle w:val="TextBody"/>
        <w:bidi w:val="0"/>
        <w:spacing w:lineRule="auto" w:line="288" w:before="0" w:after="200"/>
        <w:jc w:val="left"/>
        <w:rPr/>
      </w:pPr>
      <w:r>
        <w:rPr>
          <w:color w:val="006EBF"/>
        </w:rPr>
        <w:t>    </w:t>
      </w:r>
      <w:r>
        <w:rPr>
          <w:rFonts w:ascii="Times New Roman;serif" w:hAnsi="Times New Roman;serif"/>
          <w:b/>
          <w:i/>
          <w:color w:val="000000"/>
          <w:sz w:val="20"/>
        </w:rPr>
        <w:t>Foreign Currency Transactions and Translation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Transactions in foreign currencies are translated into the functional currency of the applicable entity at the rates of exchange in effect at the date of the transaction. Foreign exchange gains or losses are included in foreign exchange (gain) loss, net in the accompanying consolidated statements of operations. To the extent that the functional currency is different from the U.S. Dollar, the financial statements have then been translated into U.S. Dollars using period-end exchange rates for assets and liabilities and average exchange rates for the results of operations. Foreign currency translation gains and losses are included as a component of accumulated other comprehensive income (loss) on the consolidated balance sheets.</w:t>
      </w:r>
    </w:p>
    <w:p>
      <w:pPr>
        <w:pStyle w:val="TextBody"/>
        <w:bidi w:val="0"/>
        <w:spacing w:lineRule="auto" w:line="288" w:before="200" w:after="200"/>
        <w:jc w:val="left"/>
        <w:rPr>
          <w:color w:val="000000"/>
        </w:rPr>
      </w:pPr>
      <w:r>
        <w:rPr>
          <w:color w:val="000000"/>
        </w:rPr>
        <w:t>    </w:t>
      </w:r>
      <w:r>
        <w:rPr>
          <w:rFonts w:ascii="Times New Roman;serif" w:hAnsi="Times New Roman;serif"/>
          <w:b/>
          <w:i/>
          <w:color w:val="000000"/>
          <w:sz w:val="20"/>
        </w:rPr>
        <w:t>Recently Adopted Accounting Standards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 Update ("ASU") 2023-09, Income Taxes (Topic 740) – Improvements to Income Tax Disclosures ("ASU 2023-09") to enhance income tax information primarily through changes in the rate reconciliation and income taxes paid information. ASU 2023-09 is effective for annual periods beginning after December 15, 2024 on a prospective basis. Early adoption and retrospective application are permitted. The Company adopted the standard for the fiscal year ended December 31, 2025 on a prospective basis. See Note 17 for the required disclosures.</w:t>
      </w:r>
    </w:p>
    <w:p>
      <w:pPr>
        <w:pStyle w:val="TextBody"/>
        <w:bidi w:val="0"/>
        <w:spacing w:lineRule="auto" w:line="288" w:before="10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00" w:after="100"/>
        <w:ind w:left="0" w:right="0" w:firstLine="720"/>
        <w:jc w:val="left"/>
        <w:rPr/>
      </w:pPr>
      <w:r>
        <w:rPr>
          <w:rFonts w:ascii="Times New Roman;serif" w:hAnsi="Times New Roman;serif"/>
          <w:b w:val="false"/>
          <w:color w:val="000000"/>
          <w:sz w:val="20"/>
        </w:rPr>
        <w:t xml:space="preserve">In November 2024, the FASB issued ASU 2024-03, Income Statement - Reporting Comprehensive Income - Expense Disaggregation Disclosures (Subtopic 220-40) -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("ASU 2024-03"). ASU 2024-03 requires additional disclosures of the nature of expenses included in the income statement and presented in the footnotes. ASU 2024-03 is effective for annual periods beginning after December 15, 2026 and for interim periods beginning after December 15, 2027 on a prospective basis. Early adoption and retrospective application are permitted. The Company is currently evaluating the impact of adopting ASU 2024-03 on its disclosures.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 Measurement of Credit Losses for Accounts Receivable and Contract Assets ("ASU 2025-05"), which provides a practical expedient to measure credit losses on current accounts receivable and current contract assets. The practical expedient allows companies to assume that current conditions as of the balance sheet date do not change for the remaining life of the asset when measuring credit losses. ASU 2025-05 is effective for annual periods beginning after December 15, 2025 and for interim periods within those annual reporting periods on a prospective basis. Early adoption is permitted. The Company will adopt ASU 2025-05 on January 1, 2026 and does not expect the standard to have a material impact on its financial statements and disclosures.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 - Goodwill and Other - Internal-Use Software (Subtopic 350-40) - Targeted Improvements to the Accounting for Internal-Use Software ("ASU 2025-06"), which modernizes and simplifies the recognition and disclosure framework for internal-use software costs by changing from a project-stage approach to a more judgment-based approach. ASU 2025-06 is effective for annual periods beginning after December 15, 2027 and for interim periods within those annual reporting periods on a prospective basis. Early adoption is permitted. The Company is currently evaluating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impact of adopting ASU 2025-06 on its financial statements and disclosures.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believe there are any other recently issued and effective or not yet effective pronouncements that would have or are expected to have a material impact on the Company’s present or future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00"/>
        <w:jc w:val="left"/>
        <w:rPr>
          <w:rFonts w:ascii="Times New Roman;serif" w:hAnsi="Times New Roman;serif"/>
          <w:b/>
          <w:color w:val="000000"/>
          <w:sz w:val="20"/>
        </w:rPr>
      </w:pPr>
      <w:r>
        <w:rPr>
          <w:rFonts w:ascii="Times New Roman;serif" w:hAnsi="Times New Roman;serif"/>
          <w:b/>
          <w:color w:val="000000"/>
          <w:sz w:val="20"/>
        </w:rPr>
        <w:t>Note 3—Net Income (Loss) Per Share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following table presents the basic and diluted net income (loss) per share:</w:t>
      </w:r>
    </w:p>
    <w:tbl>
      <w:tblPr>
        <w:tblW w:w="10205" w:type="dxa"/>
        <w:jc w:val="left"/>
        <w:tblInd w:w="0" w:type="dxa"/>
        <w:tblLayout w:type="fixed"/>
        <w:tblCellMar>
          <w:top w:w="28" w:type="dxa"/>
          <w:left w:w="28" w:type="dxa"/>
          <w:bottom w:w="28" w:type="dxa"/>
          <w:right w:w="28" w:type="dxa"/>
        </w:tblCellMar>
      </w:tblPr>
      <w:tblGrid>
        <w:gridCol w:w="2111"/>
        <w:gridCol w:w="1533"/>
        <w:gridCol w:w="1536"/>
        <w:gridCol w:w="109"/>
        <w:gridCol w:w="109"/>
        <w:gridCol w:w="109"/>
        <w:gridCol w:w="247"/>
        <w:gridCol w:w="969"/>
        <w:gridCol w:w="127"/>
        <w:gridCol w:w="109"/>
        <w:gridCol w:w="109"/>
        <w:gridCol w:w="109"/>
        <w:gridCol w:w="263"/>
        <w:gridCol w:w="900"/>
        <w:gridCol w:w="136"/>
        <w:gridCol w:w="109"/>
        <w:gridCol w:w="109"/>
        <w:gridCol w:w="109"/>
        <w:gridCol w:w="236"/>
        <w:gridCol w:w="987"/>
        <w:gridCol w:w="179"/>
      </w:tblGrid>
      <w:tr>
        <w:trPr/>
        <w:tc>
          <w:tcPr>
            <w:tcW w:w="211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compute 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136,620</w:t>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Convertible Notes,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used to calculate diluted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145,873 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 compute 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common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ESPP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136,620 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weighted-average shares have been excluded from the calculation of diluted net income (loss) per share attributable to common stockholders for each period presented because they were anti-dilutive: </w:t>
      </w:r>
    </w:p>
    <w:tbl>
      <w:tblPr>
        <w:tblW w:w="10205" w:type="dxa"/>
        <w:jc w:val="center"/>
        <w:tblInd w:w="0" w:type="dxa"/>
        <w:tblLayout w:type="fixed"/>
        <w:tblCellMar>
          <w:top w:w="28" w:type="dxa"/>
          <w:left w:w="28" w:type="dxa"/>
          <w:bottom w:w="28" w:type="dxa"/>
          <w:right w:w="28" w:type="dxa"/>
        </w:tblCellMar>
      </w:tblPr>
      <w:tblGrid>
        <w:gridCol w:w="1734"/>
        <w:gridCol w:w="1505"/>
        <w:gridCol w:w="1508"/>
        <w:gridCol w:w="109"/>
        <w:gridCol w:w="109"/>
        <w:gridCol w:w="109"/>
        <w:gridCol w:w="109"/>
        <w:gridCol w:w="477"/>
        <w:gridCol w:w="477"/>
        <w:gridCol w:w="479"/>
        <w:gridCol w:w="109"/>
        <w:gridCol w:w="109"/>
        <w:gridCol w:w="109"/>
        <w:gridCol w:w="483"/>
        <w:gridCol w:w="477"/>
        <w:gridCol w:w="479"/>
        <w:gridCol w:w="109"/>
        <w:gridCol w:w="109"/>
        <w:gridCol w:w="109"/>
        <w:gridCol w:w="443"/>
        <w:gridCol w:w="433"/>
        <w:gridCol w:w="620"/>
      </w:tblGrid>
      <w:tr>
        <w:trPr/>
        <w:tc>
          <w:tcPr>
            <w:tcW w:w="1734"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1823" w:type="dxa"/>
            <w:gridSpan w:val="6"/>
            <w:tcBorders/>
          </w:tcPr>
          <w:p>
            <w:pPr>
              <w:pStyle w:val="TableContents"/>
              <w:bidi w:val="0"/>
              <w:spacing w:before="0" w:after="283"/>
              <w:jc w:val="left"/>
              <w:rPr>
                <w:sz w:val="4"/>
                <w:szCs w:val="4"/>
              </w:rPr>
            </w:pPr>
            <w:r>
              <w:rPr>
                <w:sz w:val="4"/>
                <w:szCs w:val="4"/>
              </w:rPr>
            </w:r>
          </w:p>
        </w:tc>
      </w:tr>
      <w:tr>
        <w:trPr/>
        <w:tc>
          <w:tcPr>
            <w:tcW w:w="4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4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23" w:type="dxa"/>
            <w:gridSpan w:val="6"/>
            <w:tcBorders/>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performance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shares excluded from diluted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performance stock units granted during 2021, 2024, and 2025 had expected achievement levels of 0%, 150%, and 80%, respectively. The performance stock units granted during 2022 vested on February 1, 2025 with an actual achievement of approximately 125%. The performance stock units granted during 2023 had an actual achievement level of approximately 126% as of December 31, 2025. As of December 31, 2024, the performance stock units granted during 2021, 2022, 2023, and 2024 had expected achievement levels of 0%, 121%, 137%, and 150%, respectively. As of December 31, 2023, the performance stock units granted during 2021, 2022, and 2023 had expected achievement levels of 0%, 58%, and 46%,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00"/>
        <w:jc w:val="left"/>
        <w:rPr>
          <w:rFonts w:ascii="Times New Roman;serif" w:hAnsi="Times New Roman;serif"/>
          <w:b w:val="false"/>
          <w:color w:val="000000"/>
          <w:sz w:val="20"/>
        </w:rPr>
      </w:pPr>
      <w:r>
        <w:rPr>
          <w:rFonts w:ascii="Times New Roman;serif" w:hAnsi="Times New Roman;serif"/>
          <w:b w:val="false"/>
          <w:color w:val="000000"/>
          <w:sz w:val="20"/>
        </w:rPr>
        <w:t>These expected and actual achievement levels are included in the calculation of weighted-average shares in the tables above. Refer to Note 16 for additional information related to performance stock units.</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the shares issuable assuming conversion of the Convertible Senior Notes (as defined in Note 12) were included in the calculation of diluted net income per share because they were dilutive. For the years ended December 31, 2024 and 2023, the shares issuable assuming conversion were excluded from the calculation of diluted net income (loss) per share because they were anti-dilutive. The Convertible Senior Notes have an initial conversion rate of 15.6539 shares of common stock per $1,000 principal amount of the Convertible Senior Notes, which will be subject to anti-dilution adjustments in certain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4—Revenue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recognized on a net basis and on a gross basis for the years ended December 31, 2025, 2024, and 2023:</w:t>
      </w:r>
    </w:p>
    <w:tbl>
      <w:tblPr>
        <w:tblW w:w="8675" w:type="dxa"/>
        <w:jc w:val="left"/>
        <w:tblInd w:w="0" w:type="dxa"/>
        <w:tblLayout w:type="fixed"/>
        <w:tblCellMar>
          <w:top w:w="28" w:type="dxa"/>
          <w:left w:w="28" w:type="dxa"/>
          <w:bottom w:w="28" w:type="dxa"/>
          <w:right w:w="28" w:type="dxa"/>
        </w:tblCellMar>
      </w:tblPr>
      <w:tblGrid>
        <w:gridCol w:w="368"/>
        <w:gridCol w:w="325"/>
        <w:gridCol w:w="326"/>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3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by channel for the years ended December 31, 2025, 2024, 2023:</w:t>
      </w:r>
    </w:p>
    <w:tbl>
      <w:tblPr>
        <w:tblW w:w="8635"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The following table presents the Company's revenue disaggregated by geographic location, based on the location of the Company's sellers for the years ended December 31, 2025, 2024, 2023:</w:t>
      </w:r>
    </w:p>
    <w:tbl>
      <w:tblPr>
        <w:tblW w:w="8964"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8"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109"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5"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(refer to Note 10). Accordingly, both accounts receivable and accounts payable appear large in relation to revenue reported on a net basis.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are recorded at the invoiced amount, are unsecured, and do not bear interest. The allowance for doubtful accounts is reviewed quarterly, requires judgment, and is based on the best estimate of the amount of expected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are presented net of an allowance for doubtful accounts of $4.0 million at December 31, 2025, and $2.9 million at December 31, 2024. Accounts receivable are written off against the allowance for doubtful accounts when the Company determines amounts are no longer collectible.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$2.2 million and $1.9 million as of December 31, 2025 and December 31, 2024, respectively.</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activity in the allowance for doubtful accounts for the years ended December 31, 2025, 2024, and 2023, respectively:</w:t>
      </w:r>
    </w:p>
    <w:tbl>
      <w:tblPr>
        <w:tblW w:w="10171" w:type="dxa"/>
        <w:jc w:val="left"/>
        <w:tblInd w:w="0" w:type="dxa"/>
        <w:tblLayout w:type="fixed"/>
        <w:tblCellMar>
          <w:top w:w="28" w:type="dxa"/>
          <w:left w:w="28" w:type="dxa"/>
          <w:bottom w:w="28" w:type="dxa"/>
          <w:right w:w="28" w:type="dxa"/>
        </w:tblCellMar>
      </w:tblPr>
      <w:tblGrid>
        <w:gridCol w:w="1723"/>
        <w:gridCol w:w="1511"/>
        <w:gridCol w:w="1521"/>
        <w:gridCol w:w="338"/>
        <w:gridCol w:w="987"/>
        <w:gridCol w:w="174"/>
        <w:gridCol w:w="109"/>
        <w:gridCol w:w="109"/>
        <w:gridCol w:w="109"/>
        <w:gridCol w:w="304"/>
        <w:gridCol w:w="1039"/>
        <w:gridCol w:w="157"/>
        <w:gridCol w:w="109"/>
        <w:gridCol w:w="109"/>
        <w:gridCol w:w="109"/>
        <w:gridCol w:w="304"/>
        <w:gridCol w:w="1039"/>
        <w:gridCol w:w="157"/>
        <w:gridCol w:w="109"/>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 beginning balance</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provision for expected credit losses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previous write-offs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for doubtful accounts, December 31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wrote off $19.0 million of allowance for doubtful accounts, of which $18.5 million was attributable to the outstanding accounts receivable from a buyer that filed for bankruptcy during 2023.</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provision for expected credit losses associated with accounts receivable and the offsetting impact of the change to contra seller payables related to recoveries of uncollected buyer receivables result in the amount of bad debt expense or recoveries the Company recognizes each year. During the year ended December 31, 2025, the increase in the provision for expected credit losses associated with accounts receivable of $2.4 million was partially offset by increases of contra seller payables related to recoveries of uncollected buyer receivables of $1.3 million, which resulted in $1.1 million of bad debt expense. During the year ended December 31, 2024, the increase in the provision for expected credit losses associated with accounts receivable of $1.4 million was partially offset by increases of contra seller payables related to recoveries of uncollected buyer receivables, which resulted in an immaterial amount of bad debt expense. During the year ended December 31, 2023, the increase in the provision for expected credit losses associated with accounts receivable of $20.1 million was offset by increases of contra seller payables related to recoveries of uncollected buyer receivables of $15.4 million, which resulted in $4.7 million of bad debt expense. The increase in the provision for expected credit losses was primarily attributed to one buyer filing for bankruptcy, resulting in $4.2 million of bad debt expense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Note 5—Fair Value Measurements </w:t>
      </w:r>
    </w:p>
    <w:p>
      <w:pPr>
        <w:pStyle w:val="TextBody"/>
        <w:bidi w:val="0"/>
        <w:spacing w:lineRule="auto" w:line="288" w:before="0" w:after="200"/>
        <w:jc w:val="left"/>
        <w:rPr/>
      </w:pPr>
      <w:r>
        <w:rPr>
          <w:rFonts w:ascii="Times New Roman;serif" w:hAnsi="Times New Roman;serif"/>
          <w:b/>
          <w:color w:val="000000"/>
          <w:sz w:val="20"/>
        </w:rPr>
        <w:t>Recurring Fair Value Measurements</w:t>
      </w:r>
      <w:r>
        <w:rPr>
          <w:color w:val="000000"/>
        </w:rPr>
        <w:t>    </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 </w:t>
      </w:r>
    </w:p>
    <w:p>
      <w:pPr>
        <w:pStyle w:val="TextBody"/>
        <w:bidi w:val="0"/>
        <w:spacing w:lineRule="auto" w:line="288" w:before="200" w:after="200"/>
        <w:ind w:left="0" w:right="0" w:hanging="540"/>
        <w:jc w:val="left"/>
        <w:rPr/>
      </w:pPr>
      <w:r>
        <w:rPr>
          <w:color w:val="000000"/>
        </w:rPr>
        <w:t>•</w:t>
      </w:r>
      <w:r>
        <w:rPr>
          <w:rFonts w:ascii="Times New Roman;serif" w:hAnsi="Times New Roman;serif"/>
          <w:b w:val="false"/>
          <w:color w:val="000000"/>
          <w:sz w:val="20"/>
        </w:rPr>
        <w:t>Level 1 – Quoted prices (unadjusted) in active markets for identical assets or liabilities that the Company has the ability to access at the measurement date.</w:t>
      </w:r>
    </w:p>
    <w:p>
      <w:pPr>
        <w:pStyle w:val="TextBody"/>
        <w:bidi w:val="0"/>
        <w:spacing w:lineRule="auto" w:line="288" w:before="100" w:after="200"/>
        <w:ind w:left="0" w:right="0" w:hanging="540"/>
        <w:jc w:val="left"/>
        <w:rPr/>
      </w:pPr>
      <w:r>
        <w:rPr>
          <w:color w:val="000000"/>
        </w:rPr>
        <w:t>•</w:t>
      </w:r>
      <w:r>
        <w:rPr>
          <w:rFonts w:ascii="Times New Roman;serif" w:hAnsi="Times New Roman;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100" w:after="200"/>
        <w:ind w:left="0" w:right="0" w:hanging="540"/>
        <w:jc w:val="left"/>
        <w:rPr/>
      </w:pPr>
      <w:r>
        <w:rPr>
          <w:color w:val="000000"/>
        </w:rPr>
        <w:t>•</w:t>
      </w:r>
      <w:r>
        <w:rPr>
          <w:rFonts w:ascii="Times New Roman;serif" w:hAnsi="Times New Roman;serif"/>
          <w:b w:val="false"/>
          <w:color w:val="000000"/>
          <w:sz w:val="20"/>
        </w:rPr>
        <w:t>Level 3 – Unobservable inputs.</w:t>
      </w:r>
    </w:p>
    <w:p>
      <w:pPr>
        <w:pStyle w:val="TextBody"/>
        <w:bidi w:val="0"/>
        <w:spacing w:lineRule="auto" w:line="288" w:before="2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summary of financial instruments that are measured at fair value on a recurring basis at December 31, 2025:</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summary of financial instruments that are measured at fair value on a recurring basis at December 31, 2024:</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cash equivalents of $342.8 million and $436.7 million, respectively, consisted of money market funds,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pStyle w:val="TextBody"/>
        <w:bidi w:val="0"/>
        <w:spacing w:lineRule="auto" w:line="26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the Company had debt outstanding under its Convertible Senior Notes and loans under its 2024 Term Loan B Facility (as defined in Note 12) included in its balance sheets. The estimated fair value of the Company's Convertible Senior Notes was $199.2 million and $190.2 million, as of December 31, 2025 and 2024, respectively. The estimated fair value of Convertible Senior Notes is based on market rates and the closing trading price of the Convertible Senior Notes as of December 31, 2025 and 2024 and is classified as Level 2 in the fair value hierarchy. At December 31, 2025 and 2024, the estimated fair value of the Company's 2024 Term Loan B Facility was $360.0 million and $368.2 million, respectively. The estimated fair value is based on borrowing rates currently available to the Company for financing with similar terms and is classified as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6—Property and Equipment</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Major classes of property and equipment were as follows:</w:t>
      </w:r>
    </w:p>
    <w:tbl>
      <w:tblPr>
        <w:tblW w:w="7044" w:type="dxa"/>
        <w:jc w:val="left"/>
        <w:tblInd w:w="0" w:type="dxa"/>
        <w:tblLayout w:type="fixed"/>
        <w:tblCellMar>
          <w:top w:w="28" w:type="dxa"/>
          <w:left w:w="28" w:type="dxa"/>
          <w:bottom w:w="28" w:type="dxa"/>
          <w:right w:w="28" w:type="dxa"/>
        </w:tblCellMar>
      </w:tblPr>
      <w:tblGrid>
        <w:gridCol w:w="1331"/>
        <w:gridCol w:w="1168"/>
        <w:gridCol w:w="1175"/>
        <w:gridCol w:w="276"/>
        <w:gridCol w:w="1081"/>
        <w:gridCol w:w="142"/>
        <w:gridCol w:w="109"/>
        <w:gridCol w:w="109"/>
        <w:gridCol w:w="109"/>
        <w:gridCol w:w="273"/>
        <w:gridCol w:w="1072"/>
        <w:gridCol w:w="199"/>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network hardware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office equipment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and equipment</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191,340 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(124,080)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related to property and equipment totaled $24.8 million, $16.4 million, and $24.0 million for the years ended December 31, 2025, 2024, and 2023, respectively. </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net by geographical region was as follows:</w:t>
      </w:r>
    </w:p>
    <w:tbl>
      <w:tblPr>
        <w:tblW w:w="4570" w:type="dxa"/>
        <w:jc w:val="center"/>
        <w:tblInd w:w="0" w:type="dxa"/>
        <w:tblLayout w:type="fixed"/>
        <w:tblCellMar>
          <w:top w:w="28" w:type="dxa"/>
          <w:left w:w="28" w:type="dxa"/>
          <w:bottom w:w="28" w:type="dxa"/>
          <w:right w:w="28" w:type="dxa"/>
        </w:tblCellMar>
      </w:tblPr>
      <w:tblGrid>
        <w:gridCol w:w="435"/>
        <w:gridCol w:w="381"/>
        <w:gridCol w:w="383"/>
        <w:gridCol w:w="276"/>
        <w:gridCol w:w="1081"/>
        <w:gridCol w:w="142"/>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7—Internal Use Software Development Costs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use software development costs were as follows:</w:t>
      </w:r>
    </w:p>
    <w:tbl>
      <w:tblPr>
        <w:tblW w:w="7554" w:type="dxa"/>
        <w:jc w:val="left"/>
        <w:tblInd w:w="0" w:type="dxa"/>
        <w:tblLayout w:type="fixed"/>
        <w:tblCellMar>
          <w:top w:w="28" w:type="dxa"/>
          <w:left w:w="28" w:type="dxa"/>
          <w:bottom w:w="28" w:type="dxa"/>
          <w:right w:w="28" w:type="dxa"/>
        </w:tblCellMar>
      </w:tblPr>
      <w:tblGrid>
        <w:gridCol w:w="1398"/>
        <w:gridCol w:w="1225"/>
        <w:gridCol w:w="1232"/>
        <w:gridCol w:w="109"/>
        <w:gridCol w:w="109"/>
        <w:gridCol w:w="109"/>
        <w:gridCol w:w="304"/>
        <w:gridCol w:w="1039"/>
        <w:gridCol w:w="157"/>
        <w:gridCol w:w="109"/>
        <w:gridCol w:w="109"/>
        <w:gridCol w:w="109"/>
        <w:gridCol w:w="300"/>
        <w:gridCol w:w="1026"/>
        <w:gridCol w:w="219"/>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use software development costs,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use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capitalized $15.9 million, $16.7 million, and $12.6 million, respectively, of internal use software development costs. Amortization expense was $13.7 million, $12.0 million, and $14.3 million for the years ended December 31, 2025, 2024, and 2023, respectively.</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Company’s internal use software development costs at December 31, 2025, excluding projects that are not ready for their intended use with a value of $8.8 million, estimated amortization expense of $10.9 million, $6.7 million, and $2.3 million is expected to be recognized in 2026, 2027, and 2028,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8—Business Combinations</w:t>
      </w:r>
    </w:p>
    <w:p>
      <w:pPr>
        <w:pStyle w:val="TextBody"/>
        <w:bidi w:val="0"/>
        <w:spacing w:lineRule="auto" w:line="268" w:before="100" w:after="100"/>
        <w:ind w:left="0" w:right="0" w:firstLine="720"/>
        <w:jc w:val="left"/>
        <w:rPr>
          <w:rFonts w:ascii="Times New Roman;serif" w:hAnsi="Times New Roman;serif"/>
          <w:b/>
          <w:color w:val="000000"/>
          <w:sz w:val="20"/>
        </w:rPr>
      </w:pPr>
      <w:r>
        <w:rPr>
          <w:rFonts w:ascii="Times New Roman;serif" w:hAnsi="Times New Roman;serif"/>
          <w:b/>
          <w:color w:val="000000"/>
          <w:sz w:val="20"/>
        </w:rPr>
        <w:t>2025 Acquisition—Streamrai, Inc.</w:t>
      </w:r>
    </w:p>
    <w:p>
      <w:pPr>
        <w:pStyle w:val="TextBody"/>
        <w:bidi w:val="0"/>
        <w:spacing w:lineRule="auto" w:line="26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completed the acquisition of the business of Streamrai, Inc. ("Streamr.ai" and such acquisition the "Streamr.ai Acquisition"), a platform that specializes in artificial intelligence tools that make CTV advertising accessible to small and medium-sized businesses ("SMBs"). The total purchase consideration was $10.1 million, of which $8.1 million was paid in cash and $2.0 million was held back to cover possible indemnification claims that will be partially released one year after the acquisition, with the remainder released by March 2027. In accordance with the accounting for business combinations,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The allocation of purchase consideration resulted in an estimated $5.0 million of developed technology intangible assets with an estimated useful life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68" w:before="100" w:after="100"/>
        <w:jc w:val="left"/>
        <w:rPr>
          <w:rFonts w:ascii="Times New Roman;serif" w:hAnsi="Times New Roman;serif"/>
          <w:b w:val="false"/>
          <w:color w:val="000000"/>
          <w:sz w:val="20"/>
        </w:rPr>
      </w:pPr>
      <w:r>
        <w:rPr>
          <w:rFonts w:ascii="Times New Roman;serif" w:hAnsi="Times New Roman;serif"/>
          <w:b w:val="false"/>
          <w:color w:val="000000"/>
          <w:sz w:val="20"/>
        </w:rPr>
        <w:t>of 3 years, $0.7 million of non-compete intangible assets with an estimated useful life of 2 to 3 years, $0.1 million of customer relationships with an estimated useful life of 0.5 years, $0.2 million of trademark and trade name intangible assets with an estimated useful life of 3 years, goodwill of $5.7 million, which is attributable to the workforce of Streamr.ai and revenue synergies from the acquisition, and deferred tax liability of $1.5 million. The purchase price allocation is preliminary and subject to change pending finalization of any contingent matters. For tax purposes, the acquisition of Streamr.ai will be treated as a stock acquisition. The goodwill recognized in the acquisition of Streamr.ai is not tax deductible for tax purposes.</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9—Intangible Assets and Goodwill</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intangible assets as of December 31, 2025 and 2024 included the following:</w:t>
      </w:r>
    </w:p>
    <w:tbl>
      <w:tblPr>
        <w:tblW w:w="7629" w:type="dxa"/>
        <w:jc w:val="left"/>
        <w:tblInd w:w="0" w:type="dxa"/>
        <w:tblLayout w:type="fixed"/>
        <w:tblCellMar>
          <w:top w:w="28" w:type="dxa"/>
          <w:left w:w="28" w:type="dxa"/>
          <w:bottom w:w="28" w:type="dxa"/>
          <w:right w:w="28" w:type="dxa"/>
        </w:tblCellMar>
      </w:tblPr>
      <w:tblGrid>
        <w:gridCol w:w="1544"/>
        <w:gridCol w:w="1353"/>
        <w:gridCol w:w="1362"/>
        <w:gridCol w:w="276"/>
        <w:gridCol w:w="1081"/>
        <w:gridCol w:w="142"/>
        <w:gridCol w:w="109"/>
        <w:gridCol w:w="109"/>
        <w:gridCol w:w="109"/>
        <w:gridCol w:w="273"/>
        <w:gridCol w:w="1072"/>
        <w:gridCol w:w="199"/>
      </w:tblGrid>
      <w:tr>
        <w:trP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 gross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157,198 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Accumulated amortization—intangible assets:</w:t>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Total accumulated amortization—intangible assets</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(111,229)</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(135,889)</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 net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for the years ended December 31, 2025, 2024, and 2023 was $15.1 million, $30.1 million, and $202.5 million, respectively. For the year ended December 31, 2025, the Company wrote off fully amortized intangible assets with a historical cost of $39.8 million.</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remaining amortization expense associated with the Company's intangible assets was as follows as of December 31, 2025:</w:t>
      </w:r>
    </w:p>
    <w:tbl>
      <w:tblPr>
        <w:tblW w:w="2116" w:type="dxa"/>
        <w:jc w:val="left"/>
        <w:tblInd w:w="0" w:type="dxa"/>
        <w:tblLayout w:type="fixed"/>
        <w:tblCellMar>
          <w:top w:w="28" w:type="dxa"/>
          <w:left w:w="28" w:type="dxa"/>
          <w:bottom w:w="28" w:type="dxa"/>
          <w:right w:w="28" w:type="dxa"/>
        </w:tblCellMar>
      </w:tblPr>
      <w:tblGrid>
        <w:gridCol w:w="342"/>
        <w:gridCol w:w="300"/>
        <w:gridCol w:w="304"/>
        <w:gridCol w:w="227"/>
        <w:gridCol w:w="777"/>
        <w:gridCol w:w="1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to the Company's goodwill were as follows (in thousands):</w:t>
      </w:r>
    </w:p>
    <w:tbl>
      <w:tblPr>
        <w:tblW w:w="4878" w:type="dxa"/>
        <w:jc w:val="left"/>
        <w:tblInd w:w="0" w:type="dxa"/>
        <w:tblLayout w:type="fixed"/>
        <w:tblCellMar>
          <w:top w:w="28" w:type="dxa"/>
          <w:left w:w="28" w:type="dxa"/>
          <w:bottom w:w="28" w:type="dxa"/>
          <w:right w:w="28" w:type="dxa"/>
        </w:tblCellMar>
      </w:tblPr>
      <w:tblGrid>
        <w:gridCol w:w="1217"/>
        <w:gridCol w:w="1068"/>
        <w:gridCol w:w="1075"/>
        <w:gridCol w:w="109"/>
        <w:gridCol w:w="109"/>
        <w:gridCol w:w="109"/>
        <w:gridCol w:w="211"/>
        <w:gridCol w:w="82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for the Streamr.ai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qualitative assessment for impairment in the fourth quarter of 2025 did not indicate that it is more likely than not that the fair value of its goodwill is less than the aggregate carrying amount.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10—Accounts Payable and Accrued Expenses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included the following:</w:t>
      </w:r>
    </w:p>
    <w:tbl>
      <w:tblPr>
        <w:tblW w:w="7002" w:type="dxa"/>
        <w:jc w:val="left"/>
        <w:tblInd w:w="0" w:type="dxa"/>
        <w:tblLayout w:type="fixed"/>
        <w:tblCellMar>
          <w:top w:w="28" w:type="dxa"/>
          <w:left w:w="28" w:type="dxa"/>
          <w:bottom w:w="28" w:type="dxa"/>
          <w:right w:w="28" w:type="dxa"/>
        </w:tblCellMar>
      </w:tblPr>
      <w:tblGrid>
        <w:gridCol w:w="1315"/>
        <w:gridCol w:w="1156"/>
        <w:gridCol w:w="1159"/>
        <w:gridCol w:w="244"/>
        <w:gridCol w:w="1130"/>
        <w:gridCol w:w="126"/>
        <w:gridCol w:w="109"/>
        <w:gridCol w:w="109"/>
        <w:gridCol w:w="109"/>
        <w:gridCol w:w="243"/>
        <w:gridCol w:w="1125"/>
        <w:gridCol w:w="177"/>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payable—seller</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1,417,780 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payable—trade</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employee-related payables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holdback - indemnification claims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1,607,664 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1,466,377 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11—Leases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office facilities and data centers. The lease terms of the Company’s operating leases generally range from 1.0 year to 10.0 years. The Company's lease terms include periods under options to extend or terminate the lease when it is reasonably certain that the Company will exercise that option. The weighted average remaining lease term of leases included in lease liabilities is 4.2 years and 4.6 years as of December 31, 2025 and December 31, 2024, respectively. As of December 31, 2025 and December 31, 2024, a weighted average discount rate of 6.03% and 6.12%, respectively, has been applied to the remaining lease payments to calculate the lease liabilities included within the consolidated balance sheets.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expense was $22.9 million, $21.2 million and $24.5 million for the years ended December 31, 2025, 2024 and 2023, respectively. Included in operating lease expense for the year ended December 31, 2024 was a gain of $1.8 million related to the early termination of an office facility lease. The Company recognized variable lease expense of $4.4 million, $1.6 million, and $3.8 million for the years ended December 31, 2025, 2024 and 2023, respectively. For the year ended December 31, 2024, variable lease expense included $1.4 million of negative variable lease expense related to rent concessions for an office lease.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maturity of the Company's lease liabilities associated with leases included in the lease liabilities and ROU assets were as follows as of December 31, 2025 (in thousands):</w:t>
      </w:r>
    </w:p>
    <w:tbl>
      <w:tblPr>
        <w:tblW w:w="4517" w:type="dxa"/>
        <w:jc w:val="center"/>
        <w:tblInd w:w="0" w:type="dxa"/>
        <w:tblLayout w:type="fixed"/>
        <w:tblCellMar>
          <w:top w:w="28" w:type="dxa"/>
          <w:left w:w="28" w:type="dxa"/>
          <w:bottom w:w="28" w:type="dxa"/>
          <w:right w:w="28" w:type="dxa"/>
        </w:tblCellMar>
      </w:tblPr>
      <w:tblGrid>
        <w:gridCol w:w="1154"/>
        <w:gridCol w:w="1017"/>
        <w:gridCol w:w="933"/>
        <w:gridCol w:w="109"/>
        <w:gridCol w:w="109"/>
        <w:gridCol w:w="109"/>
        <w:gridCol w:w="211"/>
        <w:gridCol w:w="721"/>
        <w:gridCol w:w="154"/>
      </w:tblGrid>
      <w:tr>
        <w:trPr/>
        <w:tc>
          <w:tcPr>
            <w:tcW w:w="11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 (undiscounted)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liabilities—total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color w:val="000000"/>
        </w:rPr>
      </w:pPr>
      <w:r>
        <w:rPr>
          <w:color w:val="000000"/>
        </w:rPr>
        <w:t>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lease liabilities was $23.0 million, $24.1 million, and $26.6 million for the years ended December 31, 2025, 2024, and 2023, respectively.</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received rental income of $1.1 million, $5.0 million, and $5.3 million for real estate leases for which it subleased the property to a third party during the years ended December 31, 2025, 2024, and 2023, respectively. Rental income is included in other income in the consolidated statements of operations.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lease liabilities included in these consolidated financial statements, the Company entered into agreements for office space and data centers that had not commenced as of December 31, 2025; therefore, the leases were not included in the lease liabilities and ROU assets balance as of December 31, 2025. The Company has future commitments totaling $46.3 million over a weighted average term of 7.3 years related to these agreements, of which $32.8 million relate to one lease that will commence in 2030 over 8.2 years.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 right-of-use assets by geographical region were as follows:</w:t>
      </w:r>
    </w:p>
    <w:tbl>
      <w:tblPr>
        <w:tblW w:w="4571" w:type="dxa"/>
        <w:jc w:val="left"/>
        <w:tblInd w:w="0" w:type="dxa"/>
        <w:tblLayout w:type="fixed"/>
        <w:tblCellMar>
          <w:top w:w="28" w:type="dxa"/>
          <w:left w:w="28" w:type="dxa"/>
          <w:bottom w:w="28" w:type="dxa"/>
          <w:right w:w="28" w:type="dxa"/>
        </w:tblCellMar>
      </w:tblPr>
      <w:tblGrid>
        <w:gridCol w:w="435"/>
        <w:gridCol w:w="381"/>
        <w:gridCol w:w="383"/>
        <w:gridCol w:w="304"/>
        <w:gridCol w:w="1039"/>
        <w:gridCol w:w="157"/>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12—Debt</w:t>
      </w:r>
    </w:p>
    <w:p>
      <w:pPr>
        <w:pStyle w:val="TextBody"/>
        <w:bidi w:val="0"/>
        <w:spacing w:lineRule="auto" w:line="276"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 and long term debt as of December 31, 2025 and 2024 consisted of the following:     </w:t>
      </w:r>
    </w:p>
    <w:tbl>
      <w:tblPr>
        <w:tblW w:w="8155" w:type="dxa"/>
        <w:jc w:val="left"/>
        <w:tblInd w:w="0" w:type="dxa"/>
        <w:tblLayout w:type="fixed"/>
        <w:tblCellMar>
          <w:top w:w="28" w:type="dxa"/>
          <w:left w:w="28" w:type="dxa"/>
          <w:bottom w:w="28" w:type="dxa"/>
          <w:right w:w="28" w:type="dxa"/>
        </w:tblCellMar>
      </w:tblPr>
      <w:tblGrid>
        <w:gridCol w:w="1736"/>
        <w:gridCol w:w="1522"/>
        <w:gridCol w:w="1527"/>
        <w:gridCol w:w="276"/>
        <w:gridCol w:w="1081"/>
        <w:gridCol w:w="142"/>
        <w:gridCol w:w="109"/>
        <w:gridCol w:w="109"/>
        <w:gridCol w:w="109"/>
        <w:gridCol w:w="273"/>
        <w:gridCol w:w="1072"/>
        <w:gridCol w:w="199"/>
      </w:tblGrid>
      <w:tr>
        <w:trPr/>
        <w:tc>
          <w:tcPr>
            <w:tcW w:w="173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20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value of Convertible Senior Notes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203,643 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Term Loan B Facility</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value of 2024 Term Loan B Facility</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351,297 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350,102 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Sheet Presentation:</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current, net of debt issuance costs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non-current, net of debt discount and issuance costs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556,112 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553,745 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Maturities of the principal amount of the Company's debt were as follows as of December 31, 2025 (in thousands):</w:t>
      </w:r>
    </w:p>
    <w:tbl>
      <w:tblPr>
        <w:tblW w:w="2165" w:type="dxa"/>
        <w:jc w:val="left"/>
        <w:tblInd w:w="0" w:type="dxa"/>
        <w:tblLayout w:type="fixed"/>
        <w:tblCellMar>
          <w:top w:w="28" w:type="dxa"/>
          <w:left w:w="28" w:type="dxa"/>
          <w:bottom w:w="28" w:type="dxa"/>
          <w:right w:w="28" w:type="dxa"/>
        </w:tblCellMar>
      </w:tblPr>
      <w:tblGrid>
        <w:gridCol w:w="352"/>
        <w:gridCol w:w="310"/>
        <w:gridCol w:w="312"/>
        <w:gridCol w:w="211"/>
        <w:gridCol w:w="82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discount and debt issuance costs is computed using the effective interest method and is included in interest expense in the consolidated statement of operations. Amortization of the debt discount and debt issuance costs associated with the Company's indebtedness totaled $3.1 million, $3.6 million, and $5.8 million for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Convertible Senior Notes and Capped Call Transactions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Company plans to repay the outstanding balance upon maturity with its cash and cash equivalents balance.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the Loan Agreement or the new Credit Agreement (see section below); and (iv) structurally subordinated to all existing and future indebtedness and other liabilities, including trade payables, and (to the extent the Company is not a holder thereof) preferred equity, if any, of the Company’s subsidiaries that do not guarantee the Convertible Senior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Convertible Senior Notes have an initial conversion rate of 15.6539 shares of common stock per $1,000 principal amount of the Convertible Senior Notes, which will be subject to customary anti-dilution adjustments in certain circumstances.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consolidated financial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debt issuance costs of $11.4 million in March 2021. The Convertible Senior Notes are presented net of issuance costs on the Company's consolidated balance sheets. The debt issuance costs are amortized on an effective interest basis over the term of the Convertible Senior Notes and are included in interest expense and amortization of debt discount in the accompanying consolidated statements of operations.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repurchased its Convertible Senior Notes in the open market with cash on hand for $165.5 million. The Company recognized a gain on extinguishment of debt of $26.5 million related to the repurchase of $194.9 million of principal balance of Convertible Senior Notes and $2.9 million of unamortized debt issuance costs associated with the extinguished debt during the year ended December 31, 2023. The gain on extinguishment is included in other (income) expense in the Company's consolidated statement of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interest expense related to the Convertible Senior Notes for the years ended December 31, 2025, 2024, and 2023 (in thousands, except interest rates):</w:t>
      </w:r>
    </w:p>
    <w:tbl>
      <w:tblPr>
        <w:tblW w:w="8198" w:type="dxa"/>
        <w:jc w:val="left"/>
        <w:tblInd w:w="0" w:type="dxa"/>
        <w:tblLayout w:type="fixed"/>
        <w:tblCellMar>
          <w:top w:w="28" w:type="dxa"/>
          <w:left w:w="28" w:type="dxa"/>
          <w:bottom w:w="28" w:type="dxa"/>
          <w:right w:w="28" w:type="dxa"/>
        </w:tblCellMar>
      </w:tblPr>
      <w:tblGrid>
        <w:gridCol w:w="1085"/>
        <w:gridCol w:w="954"/>
        <w:gridCol w:w="960"/>
        <w:gridCol w:w="288"/>
        <w:gridCol w:w="842"/>
        <w:gridCol w:w="370"/>
        <w:gridCol w:w="109"/>
        <w:gridCol w:w="109"/>
        <w:gridCol w:w="109"/>
        <w:gridCol w:w="288"/>
        <w:gridCol w:w="842"/>
        <w:gridCol w:w="370"/>
        <w:gridCol w:w="109"/>
        <w:gridCol w:w="109"/>
        <w:gridCol w:w="109"/>
        <w:gridCol w:w="285"/>
        <w:gridCol w:w="833"/>
        <w:gridCol w:w="427"/>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interest rates)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1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3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3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4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2021 and 2024 Credit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2021, the Company entered into a credit agreement (the "2021 Credit Agreement") with Goldman Sachs Bank USA as administrative agent and collateral agent, and other lender parties thereto. The 2021 Credit Agreement provided for a $360.0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Agreement") to transition away from a variable interest rate based on the Eurodollar Rate towards a similar variable interest rate based on Adjusted Term SOFR, as defined in the Amended 2021 Credit Agreement, which is based on the secured overnight financing rate ("SOFR").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Amounts outstanding under the Amended 2021 Credit Agreement accrue interest at a rate equal to either, (1) for the 2021 Term Loan B Facility, at the Company’s election, the Adjusted Term SOFR plus a margin of 5.00% per annum, or ABR (as defined in the Amended 2021 Credit Agreement) plus a margin of 4.00%, and (2) for the 2021 Revolving Credit Facility, at the Company’s election, the Adjusted Term SOFR plus a margin of 4.25% to 4.75%, or ABR plus a margin of 3.25% to 3.75%, in each case, depending on the Company’s first lien net leverage ratio.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6, 2024, the Company refinanced the Amended 2021 Credit Agreement and entered into a new credit agreement (the "2024 Credit Agreement") with Morgan Stanley Senior Funding, Inc. as the Company term loan administrative agent and Citibank, N.A. as the Company's revolving facility administrative agent and collateral agent, and other lender parties thereto. The 2024 Credit Agreement included a $365.0 million seven-year senior secured term loan facility (the "2024 Term Loan B Facility"), which will mature in February 2031 and a $175.0 million five-year senior secured revolving credit facility (the "2024 Revolving Credit Facility"), which will mature in February 2029. The Company primarily used the proceeds from the 2024 Term Loan B Facility to repay in full all outstanding amounts owed under the Company's Amended 2021 Credit Agreement. Accordingly, the Amended 2021 Credit Agreement was terminated and replaced in its entirety. The obligations under the 2024 Credit Agreement are secured by substantially all of the assets of the Company.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outstanding under the 2024 Credit Agreement accrue interest at a rate equal to either, (1) for the 2024 Term Loan B Facility, at the Company’s election, Term SOFR (as defined in the 2024 Credit Agreement) plus a margin of 4.50% per annum, or ABR (as defined in the 2024 Credit Agreement) plus a margin of 3.50%, and (2) for the 2024 Revolving Credit Facility, at the Company’s election, Term SOFR plus a margin of 3.50% to 4.00%, or ABR plus a margin of 2.50% to 3.00%, in each case, depending on the Company’s First Lien Net Leverage Ratio (as defined in the 2024 Credit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18, 2024, the Company entered into Amendment No. 1 to the 2024 Credit Agreement ("Amendment No. 1"), which reduced the interest rate of the 2024 Term Loan B Facility by 75 basis points to Term SOFR plus a margin of 3.75%, from the previous rate of Term SOFR plus a margin of 4.50%, and on March 18, 2025, the Company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contractual interest rate related to the 2024 Term Loan B Facility was 6.72%.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 any fiscal quarter only if utilization of the 2024 Revolving Credit Facility exceeds 35% of the total revolving commitments, whereby the Company is required to maintain a First Lien Net Leverage Ratio below 3.25 to 1.00. As of December 31, 2025, no amounts were outstanding under the 2024 Revolving Credit Facility and the Company was in compliance with its debt covenants. At December 31, 2025, amounts available under the 2024 Revolving Credit Facility were $171.0 million, net of letters of credit outstanding in the amount of $4.0 million.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which at the time of Amendment No. 2 was $363.2 million,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outstanding under the Company's 2024 Term Loan B Facility as of December 31, 2025 and 2024:</w:t>
      </w:r>
    </w:p>
    <w:tbl>
      <w:tblPr>
        <w:tblW w:w="8935" w:type="dxa"/>
        <w:jc w:val="left"/>
        <w:tblInd w:w="0" w:type="dxa"/>
        <w:tblLayout w:type="fixed"/>
        <w:tblCellMar>
          <w:top w:w="28" w:type="dxa"/>
          <w:left w:w="28" w:type="dxa"/>
          <w:bottom w:w="28" w:type="dxa"/>
          <w:right w:w="28" w:type="dxa"/>
        </w:tblCellMar>
      </w:tblPr>
      <w:tblGrid>
        <w:gridCol w:w="2015"/>
        <w:gridCol w:w="1771"/>
        <w:gridCol w:w="1779"/>
        <w:gridCol w:w="276"/>
        <w:gridCol w:w="1081"/>
        <w:gridCol w:w="142"/>
        <w:gridCol w:w="109"/>
        <w:gridCol w:w="109"/>
        <w:gridCol w:w="109"/>
        <w:gridCol w:w="273"/>
        <w:gridCol w:w="1072"/>
        <w:gridCol w:w="199"/>
      </w:tblGrid>
      <w:tr>
        <w:trPr/>
        <w:tc>
          <w:tcPr>
            <w:tcW w:w="201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Term Loan B Facility</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Term Loan B Facility, net of debt discount and issuance costs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351,297 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350,102 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February 6, 2024 Debt Refinance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debt refinance on February 6, 2024, where lenders under the Amended 2021 Credit Agreement continued to be lenders under the 2024 Credit Agreement, certain of their loans and revolving facility commitments were deemed to have been modified ("Modified Loans" and "Modified Commitments," respectively). The Company continued to defer debt discount costs of $3.7 million and debt issuance costs of $5.7 million from Modified Loans over the term of the new 2024 Term Loan B Facility. The Company continued to defer financing costs as of February 6, 2024 of an immaterial amount from Modified Commitments over the term of the new 2024 Revolver Facility. Deferred financing costs are included in other assets, non-current in the consolidated balance sheets.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lenders of the 2021 Credit Agreement that did not continue to participate in the 2024 Credit Agreement, their pro-rata portion of the unamortized debt discount of $2.8 million, unamortized debt issuance costs of $4.3 million, and an immaterial amount of unamortized deferred financing costs were deemed to be extinguished. The resulting loss on extinguishment of debt of $7.4 million is included in other (income) expense in the Company's consolidated statement of operations for the year ended December 31, 2024.</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paid $7.7 million in third-party fees related to the closing of the 2024 Credit Agreement. Third-party fees attributed to new lenders of $2.4 million were capitalized as part of the debt issuance costs and will be amortized over the term of the 2024 Term Loan B Facility while third-party fees attributed to Modified Loans of $3.1 million were included in general and administrative expenses in the Company's consolidated statement of operations for the year ended December 31, 2024. In addition, third-party fees of $2.1 million attributed to new revolving lenders and Modified Commitments were capitalized as part of deferred financing costs and will be amortized over the term of the 2024 Revolving Facility. The Company also capitalized additional debt discount costs of $3.7 million associated with the closing of the 2024 Term Loan B Facility, which will be amortized over the term of the 2024 Term Loan B Facility. </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September 18, 2024 Debt Repricing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analyzed the changes of Amendment No. 1 on a lender-by-lender basis and determined that the transaction would primarily be accounted for as a modification, with a portion of it accounted for as debt extinguishment and new debt issuance. As a result, the Company recognized an immaterial loss on extinguishment related to unamortized debt discount and unamortized debt issuance costs related to the portion of the 2024 Term Loan B Facility that was extinguished. The Company paid $1.0 million in third-party fees related to Amendment No. 1 of which an immaterial amount was capitalized as debt issuance costs and $1.0 million was included in general and administrative expenses in the Company's consolidated statement of operations for the year ended December 31, 2024. As part of Amendment No. 1, most lenders decided to roll their loan balances over from the original 2024 Term Loan B Facility to the amended 2024 Term Loan B Facility, while some decided to cash out and reassign their loan balances. On September 18, 2024, $312.0 million of the 2024 Term Loan B Facility principal balance was rolled over as part of non-cash financing activities while $52.1 million of the 2024 Term Loan B Facility principal balance was repaid and then reissued.</w:t>
      </w:r>
    </w:p>
    <w:p>
      <w:pPr>
        <w:pStyle w:val="TextBody"/>
        <w:bidi w:val="0"/>
        <w:spacing w:lineRule="auto" w:line="288" w:before="100" w:after="1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March 18, 2025 Debt Repricing</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analyzed the changes of Amendment No. 2 on a lender-by-lender basis and determined that the transaction would primarily be accounted for as a modification, with a portion of it accounted for as debt extinguishment and new debt issuance. As a result, the Company recognized a loss on extinguishment of $2.2 million related to $1.0 million of unamortized debt discount and $1.1 million of unamortized debt issuance costs related to the portion of the 2024 Term Loan B Facility that was extinguished. The Company incurred $1.0 million of third-party debt refinancing expense, which was included in general and administrative expenses in the Company's consolidated statement of operations for the year ended December 31, 2025. As part of Amendment No. 2, most of the 2024 Term Loan B lenders decided to roll their loan balances over from Amendment No. 1 to Amendment No. 2, while some decided to cash out and reassign their loan balances. On March 18, 2025, $270.6 million of the 2024 Term Loan B principal balance from Amendment No. 1 was rolled over to Amendment No. 2 as part of non-cash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activities while $92.6 million of the 2024 Term Loan B Facility principal balance from Amendment No. 1 was repaid and then reissued as part of Amendment No. 2.</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interest expense related to the 2024 Term Loan B Facility and 2021 Term Loan B Facility for the years ended December 31, 2025, 2024, and 2023 (in thousands, except interest rates):</w:t>
      </w:r>
    </w:p>
    <w:tbl>
      <w:tblPr>
        <w:tblW w:w="8198" w:type="dxa"/>
        <w:jc w:val="left"/>
        <w:tblInd w:w="0" w:type="dxa"/>
        <w:tblLayout w:type="fixed"/>
        <w:tblCellMar>
          <w:top w:w="28" w:type="dxa"/>
          <w:left w:w="28" w:type="dxa"/>
          <w:bottom w:w="28" w:type="dxa"/>
          <w:right w:w="28" w:type="dxa"/>
        </w:tblCellMar>
      </w:tblPr>
      <w:tblGrid>
        <w:gridCol w:w="1085"/>
        <w:gridCol w:w="954"/>
        <w:gridCol w:w="960"/>
        <w:gridCol w:w="263"/>
        <w:gridCol w:w="899"/>
        <w:gridCol w:w="338"/>
        <w:gridCol w:w="109"/>
        <w:gridCol w:w="109"/>
        <w:gridCol w:w="109"/>
        <w:gridCol w:w="263"/>
        <w:gridCol w:w="899"/>
        <w:gridCol w:w="338"/>
        <w:gridCol w:w="109"/>
        <w:gridCol w:w="109"/>
        <w:gridCol w:w="109"/>
        <w:gridCol w:w="261"/>
        <w:gridCol w:w="893"/>
        <w:gridCol w:w="391"/>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20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interest rates)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29,136 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37,549 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40,266 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1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3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remaining amortization expense for the 2024 Term Loan B Facility debt discount and debt issuance costs for fiscal years 2026 through 2030 and thereafter was as follows (in thousands):</w:t>
      </w:r>
    </w:p>
    <w:tbl>
      <w:tblPr>
        <w:tblW w:w="3794" w:type="dxa"/>
        <w:jc w:val="left"/>
        <w:tblInd w:w="0" w:type="dxa"/>
        <w:tblLayout w:type="fixed"/>
        <w:tblCellMar>
          <w:top w:w="28" w:type="dxa"/>
          <w:left w:w="28" w:type="dxa"/>
          <w:bottom w:w="28" w:type="dxa"/>
          <w:right w:w="28" w:type="dxa"/>
        </w:tblCellMar>
      </w:tblPr>
      <w:tblGrid>
        <w:gridCol w:w="396"/>
        <w:gridCol w:w="349"/>
        <w:gridCol w:w="350"/>
        <w:gridCol w:w="253"/>
        <w:gridCol w:w="741"/>
        <w:gridCol w:w="131"/>
        <w:gridCol w:w="338"/>
        <w:gridCol w:w="989"/>
        <w:gridCol w:w="247"/>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Discount</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Issuance Costs</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Total Interest Expense and Interest Income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contractual interest expense and amortization of debt discount, debt issuance costs, and deferred financing costs related to the Company's debt facilities under its 2024 Credit Agreement, Amended 2021 Credit Agreement as well as its Convertible Senior Notes. Interest income primarily consists of interest earned on the Company's cash equivalents. The following includes interest expense and interest income, as presented within interest expense, net in the consolidated statement of operations (in thousands):</w:t>
      </w:r>
    </w:p>
    <w:tbl>
      <w:tblPr>
        <w:tblW w:w="6969" w:type="dxa"/>
        <w:jc w:val="left"/>
        <w:tblInd w:w="0" w:type="dxa"/>
        <w:tblLayout w:type="fixed"/>
        <w:tblCellMar>
          <w:top w:w="28" w:type="dxa"/>
          <w:left w:w="28" w:type="dxa"/>
          <w:bottom w:w="28" w:type="dxa"/>
          <w:right w:w="28" w:type="dxa"/>
        </w:tblCellMar>
      </w:tblPr>
      <w:tblGrid>
        <w:gridCol w:w="641"/>
        <w:gridCol w:w="562"/>
        <w:gridCol w:w="567"/>
        <w:gridCol w:w="304"/>
        <w:gridCol w:w="1039"/>
        <w:gridCol w:w="157"/>
        <w:gridCol w:w="109"/>
        <w:gridCol w:w="109"/>
        <w:gridCol w:w="109"/>
        <w:gridCol w:w="304"/>
        <w:gridCol w:w="1039"/>
        <w:gridCol w:w="157"/>
        <w:gridCol w:w="109"/>
        <w:gridCol w:w="109"/>
        <w:gridCol w:w="109"/>
        <w:gridCol w:w="300"/>
        <w:gridCol w:w="1026"/>
        <w:gridCol w:w="219"/>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68" w:before="20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13—Commitments and Contingencies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The Company has commitments under non-cancelable operating leases for facilities, and its managed data center facilities (refer to Note 11).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$4.0 million and $5.2 million, respectively, of letters of credit associated with office leases available for borrowing, on which there were no outstanding borrowings as of either date.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enters into non-cancelable contractual obligations with various parties, primarily related to cloud-managed service agreements, software service agreements, and data center providers. As of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2025, the Company's outstanding non-cancelable contractual obligations with a remaining term in excess of one year consist of the following (in thousands):</w:t>
      </w:r>
    </w:p>
    <w:tbl>
      <w:tblPr>
        <w:tblW w:w="2165" w:type="dxa"/>
        <w:jc w:val="left"/>
        <w:tblInd w:w="0" w:type="dxa"/>
        <w:tblLayout w:type="fixed"/>
        <w:tblCellMar>
          <w:top w:w="28" w:type="dxa"/>
          <w:left w:w="28" w:type="dxa"/>
          <w:bottom w:w="28" w:type="dxa"/>
          <w:right w:w="28" w:type="dxa"/>
        </w:tblCellMar>
      </w:tblPr>
      <w:tblGrid>
        <w:gridCol w:w="352"/>
        <w:gridCol w:w="310"/>
        <w:gridCol w:w="312"/>
        <w:gridCol w:w="211"/>
        <w:gridCol w:w="82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204,082 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amounts above include commitments under a cloud-managed services agreement, under which the Company has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the Company expects to fulfill the obligation.</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Guarantees and Indemnification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 </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Litigation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claims relating to our collection or use of data, regulatory investigations, audits by taxing authorities, or enforcement proceedings, and claims by persons whose employment has been terminated. For example, the Company has recently been subject to class action lawsuits alleging violations of various privacy statutes. Additionally, on September 16, 2025, the Company filed a lawsuit against Google LLC ("Google") in the U.S. District Court of the Eastern District of Virginia. The complaint alleges that Google has engaged in anticompetitive conduct in the ad exchange and ad server markets in violation of federal antitrust laws, including actions that restrict publishers' ability to use competing services and favor Google's own advertising exchange. Magnite seeks monetary damages, an injunction, structural relief, and reimbursement of reasonable costs and expenses. Magnite intends to pursue its claims vigorously, but cannot predict the outcome of this matter.</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Such matters are subject to many uncertainties, and outcomes are not predictable with assurance. Consequently, management is unable to ascertain the ultimate aggregate amount of monetary liability or awards, amounts which may be covered by insurance or recoverable from third parties, or the financial impact with respect to such matters as of December 31, 2025. However, based on management’s knowledge as of December 31, 2025, management believes that the final resolution of these matters known at such date, individually and in the aggregate, will not have a material adverse effect upon the Company’s consolidated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pPr>
      <w:r>
        <w:rPr>
          <w:color w:val="000000"/>
        </w:rPr>
        <w:t>    </w:t>
      </w:r>
      <w:r>
        <w:rPr>
          <w:rFonts w:ascii="Times New Roman;serif" w:hAnsi="Times New Roman;serif"/>
          <w:b/>
          <w:i/>
          <w:color w:val="000000"/>
          <w:sz w:val="20"/>
        </w:rPr>
        <w:t xml:space="preserve">Employment Contracts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severance agreements with certain employees and officers. The Company may be required to pay severance and accelerate the vesting of certain equity awards in the event of involuntary terminations. </w:t>
      </w:r>
    </w:p>
    <w:p>
      <w:pPr>
        <w:pStyle w:val="TextBody"/>
        <w:bidi w:val="0"/>
        <w:spacing w:before="0" w:after="20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14—Stockholders' Equity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 2024, the Board of Directors approved a share repurchase program (the "February 2024 Repurchase Plan") under which the Company is authorized to repurchase common stock or Convertible Senior Notes, with an aggregate market value of up to $125.0 million, through February 1, 2026. Under the February 2024 Repurchase Plan, 4.5 million shares were purchased in open market purchases through December 31, 2025 for a total of approximately $60.9 million at an average of $13.43 per share. The average price paid per share purchased under the Program includes broker commission costs. As of December 31, 2025, $64.1 million remains available under the February 2024 Repurchase Plan. For accounting purposes, common stock repurchases under the Company's repurchase programs are recorded based upon the purchase date of the applicable trade. Repurchased shares are accounted for as treasury stock in the consolidated balance sheets and have all been subsequently retired.</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color w:val="000000"/>
        </w:rPr>
        <w:t> </w:t>
      </w:r>
      <w:r>
        <w:rPr>
          <w:rFonts w:ascii="Times New Roman;serif" w:hAnsi="Times New Roman;serif"/>
          <w:b/>
          <w:color w:val="000000"/>
          <w:sz w:val="20"/>
        </w:rPr>
        <w:t>Note 15—Accumulated Other Comprehensive Loss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which relate to foreign currency translation, were as follows (in thousands):</w:t>
      </w:r>
    </w:p>
    <w:tbl>
      <w:tblPr>
        <w:tblW w:w="6447" w:type="dxa"/>
        <w:jc w:val="center"/>
        <w:tblInd w:w="0" w:type="dxa"/>
        <w:tblLayout w:type="fixed"/>
        <w:tblCellMar>
          <w:top w:w="28" w:type="dxa"/>
          <w:left w:w="28" w:type="dxa"/>
          <w:bottom w:w="28" w:type="dxa"/>
          <w:right w:w="28" w:type="dxa"/>
        </w:tblCellMar>
      </w:tblPr>
      <w:tblGrid>
        <w:gridCol w:w="940"/>
        <w:gridCol w:w="826"/>
        <w:gridCol w:w="828"/>
        <w:gridCol w:w="109"/>
        <w:gridCol w:w="109"/>
        <w:gridCol w:w="109"/>
        <w:gridCol w:w="109"/>
        <w:gridCol w:w="109"/>
        <w:gridCol w:w="109"/>
        <w:gridCol w:w="109"/>
        <w:gridCol w:w="654"/>
        <w:gridCol w:w="1956"/>
        <w:gridCol w:w="480"/>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Note 16—Stock-Based Compensation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In connection with its IPO, the Company implemented its 2014 Equity Incentive Plan, which governs equity awards made to employees and directors of the Company since the IPO. In November 2014, the Company approved the 2014 Inducement Grant Equity Incentive Plan (the "Inducement Plan"), which governs certain equity awards made to certain employees in connection with commencement of employment. In connection with the Company's acquisition of nToggle, Inc. ("nToggle"), it assumed the nToggle 2014 Equity Incentive Plan (the "nToggle Plan"), and in connection with the merger with Telaria, Inc. ("Telaria"), the Company assumed Telaria's 2013 Equity Incentive Plan, as amended (the "Telaria Plan"). Available shares under the nToggle Plan and the Telaria Plan were rolled into the available share pool under the 2014 Equity Incentive Plan at the time of acquisition of and merger with, respectively, each company. On June 14, 2023, the Company's stockholders approved the Magnite, Inc. Amended and Restated 2014 Equity Incentive Plan (the "Amended and Restated 2014 Equity Incentive Plan"), which, among other things, increased the aggregate maximum number of shares of common stock that may be issued under the plan, removed the prior evergreen provision, and extended the plan through April 2033. All compensatory equity awards outstanding at December 31, 2025 were issued pursuant to the Amended and Restated 2014 Equity Incentive Plan, the 2014 Equity Incentive Plan, the nToggle Plan, the Telaria Plan, or the Inducement Plan.</w:t>
      </w:r>
    </w:p>
    <w:p>
      <w:pPr>
        <w:pStyle w:val="TextBody"/>
        <w:bidi w:val="0"/>
        <w:spacing w:lineRule="auto" w:line="268" w:before="0" w:after="0"/>
        <w:jc w:val="left"/>
        <w:rPr>
          <w:color w:val="000000"/>
        </w:rPr>
      </w:pPr>
      <w:r>
        <w:rPr>
          <w:color w:val="000000"/>
        </w:rPr>
        <w:t>    </w:t>
      </w:r>
      <w:r>
        <w:rPr>
          <w:rFonts w:ascii="Times New Roman;serif" w:hAnsi="Times New Roman;serif"/>
          <w:b w:val="false"/>
          <w:color w:val="000000"/>
          <w:sz w:val="20"/>
        </w:rPr>
        <w:t xml:space="preserve">The Company’s equity incentive plans provide for the grant of equity awards, including non-statutory or incentive stock options, restricted stock awards ("RSAs"), restricted stock units that vest based on continuous service ("RSUs"), and restricted stock units that include performance criteria (“performance stock units” or "PSUs"), to the Company's employees, officers, directors, and consultants. The Company's board of directors administers the plans.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In addition, each Director of the Company's Board of Directors receives an annual grant which vests at the earlier of the one year anniversary of the grant date and the following annual shareholder meeting in addition to an initial equity awards in the first year of their election into the Board of Directors. Options, RSAs, RSUs,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PSUs granted under the plans accelerate under certain circumstances for certain participants upon a change in control, as defined in the governing plan. As of December 31, 2025, an aggregate of 16,576,998 shares remained available for future grants, assuming target number of PSUs, under the Amended and Restated 2014 Equity Incentive Plan. </w:t>
      </w:r>
    </w:p>
    <w:p>
      <w:pPr>
        <w:pStyle w:val="TextBody"/>
        <w:bidi w:val="0"/>
        <w:spacing w:before="0" w:after="0"/>
        <w:jc w:val="left"/>
        <w:rPr/>
      </w:pPr>
      <w:r>
        <w:rPr/>
      </w:r>
    </w:p>
    <w:p>
      <w:pPr>
        <w:pStyle w:val="TextBody"/>
        <w:bidi w:val="0"/>
        <w:spacing w:lineRule="auto" w:line="288" w:before="10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stock option activity for the year ended December 31, 2025 is as follows:</w:t>
      </w:r>
    </w:p>
    <w:tbl>
      <w:tblPr>
        <w:tblW w:w="10205" w:type="dxa"/>
        <w:jc w:val="left"/>
        <w:tblInd w:w="0" w:type="dxa"/>
        <w:tblLayout w:type="fixed"/>
        <w:tblCellMar>
          <w:top w:w="28" w:type="dxa"/>
          <w:left w:w="28" w:type="dxa"/>
          <w:bottom w:w="28" w:type="dxa"/>
          <w:right w:w="28" w:type="dxa"/>
        </w:tblCellMar>
      </w:tblPr>
      <w:tblGrid>
        <w:gridCol w:w="779"/>
        <w:gridCol w:w="684"/>
        <w:gridCol w:w="688"/>
        <w:gridCol w:w="544"/>
        <w:gridCol w:w="445"/>
        <w:gridCol w:w="399"/>
        <w:gridCol w:w="109"/>
        <w:gridCol w:w="109"/>
        <w:gridCol w:w="109"/>
        <w:gridCol w:w="420"/>
        <w:gridCol w:w="1228"/>
        <w:gridCol w:w="217"/>
        <w:gridCol w:w="109"/>
        <w:gridCol w:w="109"/>
        <w:gridCol w:w="109"/>
        <w:gridCol w:w="713"/>
        <w:gridCol w:w="713"/>
        <w:gridCol w:w="715"/>
        <w:gridCol w:w="109"/>
        <w:gridCol w:w="109"/>
        <w:gridCol w:w="109"/>
        <w:gridCol w:w="324"/>
        <w:gridCol w:w="1110"/>
        <w:gridCol w:w="245"/>
      </w:tblGrid>
      <w:tr>
        <w:trPr/>
        <w:tc>
          <w:tcPr>
            <w:tcW w:w="77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15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9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3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intrinsic value of options exercised during the years ended December 31, 2025, 2024, and 2023 was $8.4 million, $1.0 million, and $2.2 million, respectively, based on their respective exercise dates. At December 31, 2025, the Company had unrecognized stock-based compensation expense relating to unvested stock options of approximately $1.5 million, which is expected to be recognized over a weighted-average period of 2.0 years. </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fair value of stock options that contain service conditions using the Black-Scholes option pricing model. The grant date fair value of options granted during the years ended December 31, 2025, 2024, and 2023 was $11.40, $6.34, and $7.27, respectively, per share. The weighted-average input assumptions used by the Company were as follows: </w:t>
      </w:r>
    </w:p>
    <w:tbl>
      <w:tblPr>
        <w:tblW w:w="7610"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334"/>
        <w:gridCol w:w="334"/>
        <w:gridCol w:w="832"/>
        <w:gridCol w:w="109"/>
        <w:gridCol w:w="109"/>
        <w:gridCol w:w="109"/>
        <w:gridCol w:w="334"/>
        <w:gridCol w:w="334"/>
        <w:gridCol w:w="832"/>
        <w:gridCol w:w="109"/>
        <w:gridCol w:w="109"/>
        <w:gridCol w:w="109"/>
        <w:gridCol w:w="314"/>
        <w:gridCol w:w="314"/>
        <w:gridCol w:w="917"/>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restricted stock unit ("RSU") activity for the year ended December 31, 2025 is as follows: </w:t>
      </w:r>
    </w:p>
    <w:tbl>
      <w:tblPr>
        <w:tblW w:w="9669" w:type="dxa"/>
        <w:jc w:val="center"/>
        <w:tblInd w:w="0" w:type="dxa"/>
        <w:tblLayout w:type="fixed"/>
        <w:tblCellMar>
          <w:top w:w="28" w:type="dxa"/>
          <w:left w:w="28" w:type="dxa"/>
          <w:bottom w:w="28" w:type="dxa"/>
          <w:right w:w="28" w:type="dxa"/>
        </w:tblCellMar>
      </w:tblPr>
      <w:tblGrid>
        <w:gridCol w:w="1706"/>
        <w:gridCol w:w="1500"/>
        <w:gridCol w:w="1503"/>
        <w:gridCol w:w="469"/>
        <w:gridCol w:w="469"/>
        <w:gridCol w:w="471"/>
        <w:gridCol w:w="109"/>
        <w:gridCol w:w="109"/>
        <w:gridCol w:w="109"/>
        <w:gridCol w:w="693"/>
        <w:gridCol w:w="2023"/>
        <w:gridCol w:w="508"/>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at December 31, 2024</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released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at December 31, 2025</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per share of restricted stock units granted during the years ended December 31, 2025, 2024, and 2023 was $16.59, $9.43, and $10.67, respectively. </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restricted stock units that vested and were released during the years ended December 31, 2025, 2024, and 2023 was $109.3 million, $61.9 million, and $50.7 million, respectively, based on their respective vesting dates. At December 31, 2025, the intrinsic value of unvested restricted stock units was $154.5 million. At December 31, 2025, the Company had unrecognized stock-based compensation expense relating to unvested restricted stock units of approximately $100.7 million, which is expected to be recognized over a weighted-average period of 2.3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granted 379,635 performance stock units ("PSU") to the Company's CEO in August 2021, (the "August 2021 PSUs"), which are subject to both time-based and performance-based vesting conditions. The PSUs consist of three equal tranches (each, a "Performance Tranche"), based on achievement of a share price condition if the Company achieves share price targets of $60.00, $80.00, and $100.00, respectively, over 60 consecutive trading days during a performance period commencing on August 26, 2022 and ending on August 26, 2026. The grant date fair value for such PSUs was estimated using a Monte-Carlo simulation model that incorporates option-pricing inputs covering the period from the grant date through the end of the performance period.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2022 and 2023, the Company granted PSUs to select executive employees that vest based on share price metrics tied to total shareholder return ("TSR") relative to a peer group over a three-year period, assuming a performance measurement of 100%. These PSUs are also subject to a time-based service component. The grant date fair value for such PSUs was estimated using a Monte-Carlo simulation model that incorporates option-pricing inputs covering the period from the grant date through the end of the performance period. Between 0% and 150% of the performance stock units will vest at the end of the performance period, which is generally on the third anniversary of the PSU grant date.</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2024, the Company granted PSUs to select executive employees that vest based on share price metrics tied to total shareholder return ("TSR") relative to a peer group over a three-year period beginning January 1, 2024, as well as certain interim measurements based on relative TSR for the one-year and two-year periods beginning on January 1, 2024, assuming a performance measurement of 100%. At December 31, 2024, the one-year interim performance measurement was 150%, subject to the remaining vesting criteria and at December 31, 2025, the two-year interim performance measurement was also 150%, subject to the remaining vesting criteria.</w:t>
      </w:r>
    </w:p>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Company granted PSUs with an aggregate target of 346,287 shares, assuming a performance measurement of 100%. The amount of shares that will ultimately vest will be determined based on the Company's TSR relative to the TSRs of a peer group for the three-year period beginning January 1, 2025, as well as certain interim measurements based on relative TSR for the one-year and two-year periods beginning on January 1, 2025. At December 31, 2025, the first one-year interim performance measurement was 80%, subject to the remaining vesting criteria.</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PSUs is based on the grant date fair value and the number of shares assuming a performance measurement of 100%. The compensation expense will not be reversed if the performance metrics are not met.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PSU activity for the year ended December 31, 2025 is as follows:</w:t>
      </w:r>
    </w:p>
    <w:tbl>
      <w:tblPr>
        <w:tblW w:w="10205" w:type="dxa"/>
        <w:jc w:val="left"/>
        <w:tblInd w:w="0" w:type="dxa"/>
        <w:tblLayout w:type="fixed"/>
        <w:tblCellMar>
          <w:top w:w="28" w:type="dxa"/>
          <w:left w:w="28" w:type="dxa"/>
          <w:bottom w:w="28" w:type="dxa"/>
          <w:right w:w="28" w:type="dxa"/>
        </w:tblCellMar>
      </w:tblPr>
      <w:tblGrid>
        <w:gridCol w:w="1335"/>
        <w:gridCol w:w="1174"/>
        <w:gridCol w:w="1176"/>
        <w:gridCol w:w="686"/>
        <w:gridCol w:w="648"/>
        <w:gridCol w:w="602"/>
        <w:gridCol w:w="158"/>
        <w:gridCol w:w="158"/>
        <w:gridCol w:w="158"/>
        <w:gridCol w:w="882"/>
        <w:gridCol w:w="2575"/>
        <w:gridCol w:w="653"/>
      </w:tblGrid>
      <w:tr>
        <w:trPr/>
        <w:tc>
          <w:tcPr>
            <w:tcW w:w="13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released*</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4110" w:type="dxa"/>
            <w:gridSpan w:val="3"/>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PSUs granted and weighted-average grant date fair value include 22 shares issued above the target shares for PSUs that vested and were released during the year ended December 31,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grant date fair value for the PSUs was estimated using a Monte-Carlo simulation model. The grant date fair value of PSUs granted during the years ended December 31, 2025, 2024, and 2023 was $20.93, $11.76, and $13.32, respectively, per share. The weighted-average input assumptions used by the Company were as follows:</w:t>
      </w:r>
    </w:p>
    <w:tbl>
      <w:tblPr>
        <w:tblW w:w="10205" w:type="dxa"/>
        <w:jc w:val="left"/>
        <w:tblInd w:w="0" w:type="dxa"/>
        <w:tblLayout w:type="fixed"/>
        <w:tblCellMar>
          <w:top w:w="28" w:type="dxa"/>
          <w:left w:w="28" w:type="dxa"/>
          <w:bottom w:w="28" w:type="dxa"/>
          <w:right w:w="28" w:type="dxa"/>
        </w:tblCellMar>
      </w:tblPr>
      <w:tblGrid>
        <w:gridCol w:w="1732"/>
        <w:gridCol w:w="1518"/>
        <w:gridCol w:w="1527"/>
        <w:gridCol w:w="109"/>
        <w:gridCol w:w="109"/>
        <w:gridCol w:w="109"/>
        <w:gridCol w:w="333"/>
        <w:gridCol w:w="324"/>
        <w:gridCol w:w="808"/>
        <w:gridCol w:w="109"/>
        <w:gridCol w:w="109"/>
        <w:gridCol w:w="109"/>
        <w:gridCol w:w="333"/>
        <w:gridCol w:w="324"/>
        <w:gridCol w:w="808"/>
        <w:gridCol w:w="109"/>
        <w:gridCol w:w="109"/>
        <w:gridCol w:w="109"/>
        <w:gridCol w:w="314"/>
        <w:gridCol w:w="306"/>
        <w:gridCol w:w="897"/>
      </w:tblGrid>
      <w:tr>
        <w:trPr/>
        <w:tc>
          <w:tcPr>
            <w:tcW w:w="173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period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Magnite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 of selected peer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correlation coefficients of Magnite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correlation coefficients of selected peer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PSUs that vested and were released during the year ended December 31, 2025 was $1.9 million, based on their respective vesting dates. No PSUs vested during the years ended December 31, 2024. The fair value of PSUs that vested and were released during the year ended December 31, 2023 was $1.2 million, based on their respective vesting dates. At December 31, 2025, the intrinsic value of unvested performance stock units based on expected achievement levels was $26.0 million. As of December 31, 2025, the Company had unrecognized stock-based compensation expense relating to unvested PSUs of approximately $7.1 million, which will be recognized over a weighted-average period of 1.2 years.</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00" w:after="100"/>
        <w:jc w:val="left"/>
        <w:rPr/>
      </w:pPr>
      <w:r>
        <w:rPr>
          <w:color w:val="000000"/>
        </w:rPr>
        <w:t>    </w:t>
      </w:r>
      <w:r>
        <w:rPr>
          <w:rFonts w:ascii="Times New Roman;serif" w:hAnsi="Times New Roman;serif"/>
          <w:b w:val="false"/>
          <w:color w:val="000000"/>
          <w:sz w:val="20"/>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On June 14, 2023, the Company's stockholders approved the Magnite, Inc. Amended and Restated 2014 Employee Stock Purchase Plan (the "Amended and Restated 2014 Employee Stock Purchase Plan"), which, among other things, removed the evergreen provision and extended the plan through June 2033. As of December 31, 2025, the Company has reserved 3,959,114 shares of its common stock for issuance under the Company's Amended and Restated 2014 Employee Stock Purchase Plan. </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Stock-Based Compensation Expense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recorded in the consolidated statements of operations was as follows: </w:t>
      </w:r>
    </w:p>
    <w:tbl>
      <w:tblPr>
        <w:tblW w:w="9264" w:type="dxa"/>
        <w:jc w:val="center"/>
        <w:tblInd w:w="0" w:type="dxa"/>
        <w:tblLayout w:type="fixed"/>
        <w:tblCellMar>
          <w:top w:w="28" w:type="dxa"/>
          <w:left w:w="28" w:type="dxa"/>
          <w:bottom w:w="28" w:type="dxa"/>
          <w:right w:w="28" w:type="dxa"/>
        </w:tblCellMar>
      </w:tblPr>
      <w:tblGrid>
        <w:gridCol w:w="1312"/>
        <w:gridCol w:w="1156"/>
        <w:gridCol w:w="1161"/>
        <w:gridCol w:w="109"/>
        <w:gridCol w:w="109"/>
        <w:gridCol w:w="109"/>
        <w:gridCol w:w="109"/>
        <w:gridCol w:w="304"/>
        <w:gridCol w:w="1039"/>
        <w:gridCol w:w="157"/>
        <w:gridCol w:w="109"/>
        <w:gridCol w:w="109"/>
        <w:gridCol w:w="109"/>
        <w:gridCol w:w="304"/>
        <w:gridCol w:w="1039"/>
        <w:gridCol w:w="157"/>
        <w:gridCol w:w="109"/>
        <w:gridCol w:w="109"/>
        <w:gridCol w:w="109"/>
        <w:gridCol w:w="300"/>
        <w:gridCol w:w="1026"/>
        <w:gridCol w:w="219"/>
      </w:tblGrid>
      <w:tr>
        <w:trPr/>
        <w:tc>
          <w:tcPr>
            <w:tcW w:w="1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5"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872"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72"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 Company recognized $57.3 million of income tax benefit on stock-based compensation expense related to 2025, which was reflected in the provision (benefit) for income taxes in the consolidated statements of operations. For the year ended December 31, 2025, income tax benefit realized related to awards vested or exercised during 2025 was $27.3 million. For the year ended December 31, 2024, the Company recognized $1.1 million of income tax benefit on stock-based compensation expense related to 2024, which was reflected in the provision (benefit) for income taxes in the consolidated statements of operations. For the year ended December 31, 2024, income tax benefit realized related to awards vested or exercised during 2024 was $14.5 million. For the year ended December 31, 2023, the Company recognized $5.5 million of income tax expense on stock-based compensation expense related to 2023, which was reflected in the provision (benefit) for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taxes in the consolidated statements of operations. For the year ended December 31, 2023, income tax benefit realized related to awards vested or exercised during 2023 was $12.5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17—Income Taxes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are the domestic and foreign components of the Company’s income (loss) before income taxes for the years ended December 31, 2025, 2024, and 2023:</w:t>
      </w:r>
    </w:p>
    <w:tbl>
      <w:tblPr>
        <w:tblW w:w="8063" w:type="dxa"/>
        <w:jc w:val="left"/>
        <w:tblInd w:w="0" w:type="dxa"/>
        <w:tblLayout w:type="fixed"/>
        <w:tblCellMar>
          <w:top w:w="28" w:type="dxa"/>
          <w:left w:w="28" w:type="dxa"/>
          <w:bottom w:w="28" w:type="dxa"/>
          <w:right w:w="28" w:type="dxa"/>
        </w:tblCellMar>
      </w:tblPr>
      <w:tblGrid>
        <w:gridCol w:w="1037"/>
        <w:gridCol w:w="910"/>
        <w:gridCol w:w="917"/>
        <w:gridCol w:w="304"/>
        <w:gridCol w:w="1039"/>
        <w:gridCol w:w="157"/>
        <w:gridCol w:w="109"/>
        <w:gridCol w:w="109"/>
        <w:gridCol w:w="109"/>
        <w:gridCol w:w="304"/>
        <w:gridCol w:w="1039"/>
        <w:gridCol w:w="157"/>
        <w:gridCol w:w="109"/>
        <w:gridCol w:w="109"/>
        <w:gridCol w:w="109"/>
        <w:gridCol w:w="257"/>
        <w:gridCol w:w="1100"/>
        <w:gridCol w:w="188"/>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(157,547)</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are the components of the provision (benefit) for income taxes for the years ended December 31, 2025, 2024, and 2023:</w:t>
      </w:r>
    </w:p>
    <w:tbl>
      <w:tblPr>
        <w:tblW w:w="8690" w:type="dxa"/>
        <w:jc w:val="left"/>
        <w:tblInd w:w="0" w:type="dxa"/>
        <w:tblLayout w:type="fixed"/>
        <w:tblCellMar>
          <w:top w:w="28" w:type="dxa"/>
          <w:left w:w="28" w:type="dxa"/>
          <w:bottom w:w="28" w:type="dxa"/>
          <w:right w:w="28" w:type="dxa"/>
        </w:tblCellMar>
      </w:tblPr>
      <w:tblGrid>
        <w:gridCol w:w="1260"/>
        <w:gridCol w:w="1109"/>
        <w:gridCol w:w="1125"/>
        <w:gridCol w:w="283"/>
        <w:gridCol w:w="1070"/>
        <w:gridCol w:w="146"/>
        <w:gridCol w:w="109"/>
        <w:gridCol w:w="109"/>
        <w:gridCol w:w="109"/>
        <w:gridCol w:w="338"/>
        <w:gridCol w:w="987"/>
        <w:gridCol w:w="174"/>
        <w:gridCol w:w="109"/>
        <w:gridCol w:w="109"/>
        <w:gridCol w:w="109"/>
        <w:gridCol w:w="332"/>
        <w:gridCol w:w="970"/>
        <w:gridCol w:w="242"/>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provision</w:t>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provision (benefit)</w:t>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(benefit) for income taxes</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(73,986)</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an income tax benefit of $74.0 million for the year ended December 31, 2025 compared to an income tax expense of $3.7 million and $1.6 million for the years ended December 31, 2024 and 2023, respectively. The income tax benefit for the year ended December 31, 2025 was primarily the result of the release of the majority of the domestic and certain foreign valuation allowances on the Company's deferred tax assets and the state and foreign income tax liabilities.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release was supported by sustained profitability and the Company’s cumulative three-year pre-tax income position, inclusive of the impact of permanent book-to-tax differences, as of December 31, 2025, together with forecasts of future taxable income and the expected reversal of taxable temporary differences sufficient to support realization of deferred tax assets.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expense for the year ended December 31, 2024 was primarily the result of the domestic valuation allowance on the Company's deferred tax assets and the federal, state, and foreign income tax liabilities. The income tax expense for the year ended December 31, 2023 was primarily the result of the domestic valuation allowance on the Company's deferred tax assets and the federal, state, and foreign income tax liabilities.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continues to maintain a valuation allowance against certain state and foreign deferred tax assets where it is not more likely than not that such assets will be realized.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Set forth below provides the updated requirements of ASU 2023-09 for 2025 (see Note 2). The table below is a reconciliation of the components that caused the Company’s provision (benefit) for income taxes to differ from amounts computed by applying the U.S. federal statutory rate of 21% for the year ended December 31, 2025 (in thousands except for percentages):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79"/>
        <w:gridCol w:w="1697"/>
        <w:gridCol w:w="1704"/>
        <w:gridCol w:w="401"/>
        <w:gridCol w:w="1470"/>
        <w:gridCol w:w="206"/>
        <w:gridCol w:w="206"/>
        <w:gridCol w:w="206"/>
        <w:gridCol w:w="206"/>
        <w:gridCol w:w="556"/>
        <w:gridCol w:w="562"/>
        <w:gridCol w:w="712"/>
      </w:tblGrid>
      <w:tr>
        <w:trPr/>
        <w:tc>
          <w:tcPr>
            <w:tcW w:w="227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5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5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Domestic state and local income taxes, net of federal effect</w:t>
            </w:r>
            <w:r>
              <w:rPr>
                <w:rFonts w:ascii="Times New Roman;serif" w:hAnsi="Times New Roman;serif"/>
                <w:b w:val="false"/>
                <w:color w:val="000000"/>
                <w:sz w:val="13"/>
              </w:rPr>
              <w:t>(1)</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2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2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 windfall benefit</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2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and nondeductible items:</w:t>
            </w:r>
          </w:p>
        </w:tc>
        <w:tc>
          <w:tcPr>
            <w:tcW w:w="2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5680"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 162(m) officers' compensation</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Changes in valuation allowances</w:t>
            </w:r>
            <w:r>
              <w:rPr>
                <w:rFonts w:ascii="Times New Roman;serif" w:hAnsi="Times New Roman;serif"/>
                <w:b w:val="false"/>
                <w:color w:val="000000"/>
                <w:sz w:val="13"/>
              </w:rPr>
              <w:t>(2)</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 changes in prior years unrecognized tax expenses</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tax provision (benefit) and effective income tax rate</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(73,986)</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We consistently report the effects of the state valuation allowance on the state income tax expense line-item within our effective tax rate. In 2025, we released $22.0 million of our valuation allowance on our U.S. state deferred tax assets. State taxes in California, New York, and Virginia made up the majority (greater than 50%) of the tax effect in this category. See the income taxes paid table below as required under ASU 2023-09.</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 2025, we released our entire valuation allowance of $67.0 million on our U.S. federal deferred tax assets. This is included on the change in valuation allowance line item.</w:t>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disclosed for the years ended December 31, 2024 and 2023, prior to the adoption of ASU 2023-09, the table below is a reconciliation of the components that caused the Company’s provision (benefit) for income taxes to differ from amounts computed by applying the U.S. federal statutory rate of 21%:</w:t>
      </w:r>
    </w:p>
    <w:tbl>
      <w:tblPr>
        <w:tblW w:w="7324" w:type="dxa"/>
        <w:jc w:val="left"/>
        <w:tblInd w:w="0" w:type="dxa"/>
        <w:tblLayout w:type="fixed"/>
        <w:tblCellMar>
          <w:top w:w="28" w:type="dxa"/>
          <w:left w:w="28" w:type="dxa"/>
          <w:bottom w:w="28" w:type="dxa"/>
          <w:right w:w="28" w:type="dxa"/>
        </w:tblCellMar>
      </w:tblPr>
      <w:tblGrid>
        <w:gridCol w:w="1350"/>
        <w:gridCol w:w="1190"/>
        <w:gridCol w:w="1194"/>
        <w:gridCol w:w="109"/>
        <w:gridCol w:w="109"/>
        <w:gridCol w:w="334"/>
        <w:gridCol w:w="334"/>
        <w:gridCol w:w="832"/>
        <w:gridCol w:w="109"/>
        <w:gridCol w:w="109"/>
        <w:gridCol w:w="109"/>
        <w:gridCol w:w="314"/>
        <w:gridCol w:w="314"/>
        <w:gridCol w:w="917"/>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(loss) at other than U.S.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162(m) officers'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to return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Set forth below are the tax effects of temporary differences that give rise to a significant portion of the deferred tax assets and deferred tax liabilities as of December 31, 2025 and 2024:</w:t>
      </w:r>
    </w:p>
    <w:tbl>
      <w:tblPr>
        <w:tblW w:w="7241" w:type="dxa"/>
        <w:jc w:val="left"/>
        <w:tblInd w:w="0" w:type="dxa"/>
        <w:tblLayout w:type="fixed"/>
        <w:tblCellMar>
          <w:top w:w="28" w:type="dxa"/>
          <w:left w:w="28" w:type="dxa"/>
          <w:bottom w:w="28" w:type="dxa"/>
          <w:right w:w="28" w:type="dxa"/>
        </w:tblCellMar>
      </w:tblPr>
      <w:tblGrid>
        <w:gridCol w:w="1401"/>
        <w:gridCol w:w="1230"/>
        <w:gridCol w:w="1239"/>
        <w:gridCol w:w="304"/>
        <w:gridCol w:w="1039"/>
        <w:gridCol w:w="157"/>
        <w:gridCol w:w="109"/>
        <w:gridCol w:w="109"/>
        <w:gridCol w:w="109"/>
        <w:gridCol w:w="332"/>
        <w:gridCol w:w="970"/>
        <w:gridCol w:w="242"/>
      </w:tblGrid>
      <w:tr>
        <w:trPr/>
        <w:tc>
          <w:tcPr>
            <w:tcW w:w="140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carryovers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carryovers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facilitative costs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112,202 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and original issue discount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(18,239)</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tax assets (liabilities)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net deferred tax asset of $76.3 million consists of deferred tax assets of $76.7 million and deferred tax liabilities of $0.3 million. As of December 31, 2024, the net deferred tax liabilities of $0.4 million consists of deferred tax liabilities of $0.7 million and deferred tax assets of $0.3 million. The valuation allowance was decreased by $90.1 million and $12.6 million for the years ended December 31, 2025 and 2024, respectively, and increased by $30.2 million for the year ended December 31, 2023. The net deferred tax assets balance is presented in other assets, non-current within the Company's consolidated balance sheets and the net deferred tax liabilities balance is presented in other liabilities, non-current within the Company's consolidated balance sheets.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the realizability of deferred tax assets on a jurisdictional basis at each reporting date and records a valuation allowance when it is more likely than not that some portion or all of a deferred tax asset will not be realized. In assessing realizability, the Company considers all available positive and negative evidence, including cumulative results of operations, historical and projected taxable income, reversal of taxable temporary differences, and the carryforward periods of existing tax attributes.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concluded that it is more likely than not that substantially all of its U.S. federal and certain state deferred tax assets will be realized. This conclusion was primarily driven by (i) sustained profitability and a cumulative three-year pre-tax income position as of December 31, 2025, (ii) forecasts of future taxable income, and (iii) the expected reversal of taxable temporary differences sufficient to support realization of deferred tax assets.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the Company released its U.S. federal, the majority of its state, and certain foreign valuation allowances during 2025. A valuation allowance continues to be recorded against certain New York state and city net operating losses subject to Section 382 limitations and certain foreign net operating losses where realization is not considered more likely than not.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had U.S. federal net operating loss carryforwards, or NOLs, of approximately $252.6 million. Approximately $103.5 million were generated in tax years beginning before January 1, 2018 and may offset 100% of taxable income, but begin to expire in 2037. The remaining federal net operating losses were generated in tax years beginning after December 31, 2017, have an indefinite carryforward period, and may offset up to 80% of taxable income in a given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had state NOLs of approximately $205.3 million, which will begin to expire in 2028. At December 31, 2025, the Company had foreign NOLs of approximately $17.6 million, which will begin to expire in 2026. At December 31, 2025, the Company had acquired federal research and development tax credit carryforwards of approximately $8.1 million which will begin to expire in 2036, and state research and development tax credits of approximately $10.1 million, the majority of which carry forward indefinitely.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current projections of future taxable income, the Company expects to fully utilize its federal net operating losses, federal research and development credits, and the majority of the state net operating losses prior to expiration. Certain New York state and city net operating losses are subject to Section 382 limitations and are not expected to be fully realized. Based on current foreign business operations in certain foreign jurisdictions, the Company continues to maintain valuation allowances for losses that are not likely to be realized.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unremitted earnings of the subsidiaries outside of the United States were approximately $40.7 million. The Company’s intention is to indefinitely reinvest these earnings outside the United States. Upon distribution of those earnings in the form of a dividend or otherwise, the Company would be subject to withholding taxes payable to various foreign countries and, potentially, various state taxes. The amounts of such tax liabilities that might be payable upon actual repatriation of foreign earnings, after consideration of corresponding foreign tax credits, are not material.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unrecognized tax benefits (in thousands):</w:t>
      </w:r>
    </w:p>
    <w:tbl>
      <w:tblPr>
        <w:tblW w:w="5072" w:type="dxa"/>
        <w:jc w:val="left"/>
        <w:tblInd w:w="0" w:type="dxa"/>
        <w:tblLayout w:type="fixed"/>
        <w:tblCellMar>
          <w:top w:w="28" w:type="dxa"/>
          <w:left w:w="28" w:type="dxa"/>
          <w:bottom w:w="28" w:type="dxa"/>
          <w:right w:w="28" w:type="dxa"/>
        </w:tblCellMar>
      </w:tblPr>
      <w:tblGrid>
        <w:gridCol w:w="1364"/>
        <w:gridCol w:w="1199"/>
        <w:gridCol w:w="1201"/>
        <w:gridCol w:w="109"/>
        <w:gridCol w:w="109"/>
        <w:gridCol w:w="109"/>
        <w:gridCol w:w="211"/>
        <w:gridCol w:w="61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penalties related to the Company’s unrecognized tax benefits accrued at December 31, 2025, 2024, and 2023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Set forth below provides the new requirements of ASU 2023-09 for 2025 (see Note 2). The following table summarizes the income taxes paid, net of refunds, for the year ended December 31, 2025:</w:t>
      </w:r>
    </w:p>
    <w:tbl>
      <w:tblPr>
        <w:tblW w:w="4378" w:type="dxa"/>
        <w:jc w:val="left"/>
        <w:tblInd w:w="0" w:type="dxa"/>
        <w:tblLayout w:type="fixed"/>
        <w:tblCellMar>
          <w:top w:w="28" w:type="dxa"/>
          <w:left w:w="28" w:type="dxa"/>
          <w:bottom w:w="28" w:type="dxa"/>
          <w:right w:w="28" w:type="dxa"/>
        </w:tblCellMar>
      </w:tblPr>
      <w:tblGrid>
        <w:gridCol w:w="750"/>
        <w:gridCol w:w="659"/>
        <w:gridCol w:w="661"/>
        <w:gridCol w:w="109"/>
        <w:gridCol w:w="109"/>
        <w:gridCol w:w="109"/>
        <w:gridCol w:w="338"/>
        <w:gridCol w:w="989"/>
        <w:gridCol w:w="173"/>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York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net operating loss carryforwards, the Company's United States federal and a majority of its state returns are open to examination by the Internal Revenue Service and state jurisdictions for all years since inception. For the India, Netherlands, Sweden, and the United Kingdom, all tax years remain open for examination by the local country tax authorities, for France only 2023 and forward are open for examination, for Australia and Singapore only 2022 and forward are open for examination, for Brazil, Canada, Germany, Malaysia, and New Zealand only 2021 and forward are open for examination, for Italy only 2020 and forward are open for examination, and for Japan 2019 and forward remain open for examination.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its uncertain income tax positions to have a material impact on its consolidated financial statements within the next twelve months.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President of the United States signed H.R. 1, commonly referred to as the "One Big Beautiful Bill Act" ("OBBBA")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OBBBA also includes certain changes to the U.S. taxation of foreign activity, including changes to foreign tax credits, Global Intangible Low-Taxed Income, Foreign-Derived Intangible Income, and Base Erosion and Anti-Abuse Tax amongst other changes. These changes are generally effective for tax years beginning after December 31, 2025. OBBBA changes effective for 2025 were reflected in the income tax provision for the year ended December 31, 2025. Based on current projections, the continuing impact will be a deferral of the payment of current income taxes over multiple years; however, the Company expects the net impact to its effective tax rate for 2026 to be immaterial. The Company will monitor as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18—Merger, Acquisition, and Restructuring Costs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Merger, acquisition, and restructuring costs consist primarily of professional services fees and employee termination costs, including stock-based compensation charges, associated with historical acquisitions and restructuring activities. The Company incurred $0.2 million of merger, acquisition, and restructuring costs for the year ended December 31, 2025 and did not incur any merger, acquisition, and restructuring costs for the year ended December 31, 2024. During the year ended December 31, 2023, the Company incurred $7.5 million of merger, acquisition, and restructuring costs related to the Company's reduction of its global workforce primarily associated with the elimination of duplicative roles and other costs associated with the consolidation of its legacy CTV and SpotX CTV platforms following the SpotX, Inc. ("SpotX") acquisition, including loss contracts for office facilities the Company does not plan to continue to occupy and impairment charges related to certain assets it no longer plans to utilize.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merger, acquisition, and restructuring cost activity in the year ended December 31, 2023:</w:t>
      </w:r>
    </w:p>
    <w:tbl>
      <w:tblPr>
        <w:tblW w:w="9345" w:type="dxa"/>
        <w:jc w:val="center"/>
        <w:tblInd w:w="0" w:type="dxa"/>
        <w:tblLayout w:type="fixed"/>
        <w:tblCellMar>
          <w:top w:w="28" w:type="dxa"/>
          <w:left w:w="28" w:type="dxa"/>
          <w:bottom w:w="28" w:type="dxa"/>
          <w:right w:w="28" w:type="dxa"/>
        </w:tblCellMar>
      </w:tblPr>
      <w:tblGrid>
        <w:gridCol w:w="2667"/>
        <w:gridCol w:w="2342"/>
        <w:gridCol w:w="2356"/>
        <w:gridCol w:w="109"/>
        <w:gridCol w:w="109"/>
        <w:gridCol w:w="109"/>
        <w:gridCol w:w="109"/>
        <w:gridCol w:w="332"/>
        <w:gridCol w:w="971"/>
        <w:gridCol w:w="241"/>
      </w:tblGrid>
      <w:tr>
        <w:trPr/>
        <w:tc>
          <w:tcPr>
            <w:tcW w:w="2667"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(severance and one-time termination benefit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contracts (facility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(double trigger acceleration and 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(investment banking advisory, legal and other professional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restructuring costs related to mergers, acquisition, and restructuring activities were primarily related to the SpotX acquisition and the Telaria merger. Accrued restructuring costs associated with personnel costs are included in accounts payable and accrued expenses and accruals related to assumed loss contracts are included in other current liabilities and other liabilities, non-current on the Company's consolidated balance sheets.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accrued restructuring activity in the year ended December 31, 2023:</w:t>
      </w:r>
    </w:p>
    <w:tbl>
      <w:tblPr>
        <w:tblW w:w="8160" w:type="dxa"/>
        <w:jc w:val="center"/>
        <w:tblInd w:w="0" w:type="dxa"/>
        <w:tblLayout w:type="fixed"/>
        <w:tblCellMar>
          <w:top w:w="28" w:type="dxa"/>
          <w:left w:w="28" w:type="dxa"/>
          <w:bottom w:w="28" w:type="dxa"/>
          <w:right w:w="28" w:type="dxa"/>
        </w:tblCellMar>
      </w:tblPr>
      <w:tblGrid>
        <w:gridCol w:w="2240"/>
        <w:gridCol w:w="1967"/>
        <w:gridCol w:w="1973"/>
        <w:gridCol w:w="109"/>
        <w:gridCol w:w="109"/>
        <w:gridCol w:w="109"/>
        <w:gridCol w:w="109"/>
        <w:gridCol w:w="332"/>
        <w:gridCol w:w="971"/>
        <w:gridCol w:w="241"/>
      </w:tblGrid>
      <w:tr>
        <w:trPr/>
        <w:tc>
          <w:tcPr>
            <w:tcW w:w="224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merger, acquisition, and restructuring costs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Personnel related and non-cash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contracts (facility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loss contracts (lease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merger, acquisition, and restructuring costs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restructuring activity for the years ended December 31, 2025 and 2024 relate to $0.2 million and $0.9 million of cash paid for restructuring costs, respectively. At December 31, 2025 and December 31, 2024, the accrued merger, acquisition, and restructuring costs balance was $0.2 million and $0.5 million, respectively.</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00" w:after="200"/>
        <w:jc w:val="left"/>
        <w:rPr>
          <w:rFonts w:ascii="Times New Roman;serif" w:hAnsi="Times New Roman;serif"/>
          <w:b/>
          <w:color w:val="000000"/>
          <w:sz w:val="20"/>
        </w:rPr>
      </w:pPr>
      <w:r>
        <w:rPr>
          <w:rFonts w:ascii="Times New Roman;serif" w:hAnsi="Times New Roman;serif"/>
          <w:b/>
          <w:color w:val="000000"/>
          <w:sz w:val="20"/>
        </w:rPr>
        <w:t>Note 19—Related Party Transactions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did not have material transactions with its related parties or affiliates of its related parties requiring disclosure pursuant to the applicable rules of the Financial Accounting Standards Boards or the U.S. Securities and Exchange Commission.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20—Subsequent Events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the Company granted 4.2 million restricted stock units, 0.4 million performance stock units, and 0.1 million stock options to the Company's employees. The RSUs granted will vest over four years from issuance with approximately 25% after one year, and the remainder vesting quarterly thereafter. The options granted will vest over four years from grant date, with 25% vesting after one year and the remainder vesting monthly thereafter. The PSUs will vest on the three-year anniversary of the grant date based on certain stock price performance metrics to be measured on December 31, 2026, December 31, 2027 and December 31, 2028. The award is eligible to vest as to 0% to 150% of the target number of PSUs.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23, 2026, the Board of Directors approved a new repurchase plan (the “February 2026 Repurchase Plan”), which authorized the repurchase of common stock with a value up to $200.0 million, through February 29,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December 31, 2025, our disclosure controls and procedures were effective at the reasonable assurance level.</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Changes in Internal Control over Financial Reporting</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There have been no changes in our internal control over financial reporting that occurred during the three months ended December 31, 2025 that have materially affected, or are reasonably likely to materially affect, our internal control over financial reporting. </w:t>
      </w:r>
    </w:p>
    <w:p>
      <w:pPr>
        <w:pStyle w:val="TextBody"/>
        <w:bidi w:val="0"/>
        <w:spacing w:lineRule="auto" w:line="288" w:before="0" w:after="200"/>
        <w:jc w:val="left"/>
        <w:rPr>
          <w:color w:val="000000"/>
        </w:rPr>
      </w:pPr>
      <w:r>
        <w:rPr>
          <w:color w:val="000000"/>
        </w:rPr>
        <w:t>    </w:t>
      </w:r>
      <w:r>
        <w:rPr>
          <w:rFonts w:ascii="Times New Roman;serif" w:hAnsi="Times New Roman;serif"/>
          <w:b/>
          <w:i/>
          <w:color w:val="000000"/>
          <w:sz w:val="20"/>
        </w:rPr>
        <w:t xml:space="preserve">Management's Report on Internal Control Over Financial Reporting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in Rule 13a-15(f) of the Exchange Act).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 reporting was effective as of December 31, 2025. Deloitte &amp; Touche LLP has independently assessed the effectiveness of our internal control over financial reporting and its report is included herein.</w:t>
      </w:r>
    </w:p>
    <w:p>
      <w:pPr>
        <w:pStyle w:val="TextBody"/>
        <w:bidi w:val="0"/>
        <w:spacing w:lineRule="auto" w:line="288" w:before="0" w:after="200"/>
        <w:jc w:val="left"/>
        <w:rPr/>
      </w:pPr>
      <w:r>
        <w:rPr>
          <w:color w:val="006EBF"/>
        </w:rPr>
        <w:t>    </w:t>
      </w:r>
      <w:r>
        <w:rPr>
          <w:rFonts w:ascii="Times New Roman;serif" w:hAnsi="Times New Roman;serif"/>
          <w:b/>
          <w:i/>
          <w:color w:val="000000"/>
          <w:sz w:val="20"/>
        </w:rPr>
        <w:t xml:space="preserve">Inherent Limitations on Effectiveness of Controls </w:t>
      </w:r>
      <w:r>
        <w:rPr>
          <w:color w:val="000000"/>
        </w:rPr>
        <w:t>    </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Magnite,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have audited the internal control over financial reporting of Magnite,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 xml:space="preserve">Internal Control — Integrated Framework (2013) </w:t>
      </w:r>
      <w:r>
        <w:rPr>
          <w:rFonts w:ascii="Times New Roman;serif" w:hAnsi="Times New Roman;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25, 2026, expressed an unqualified opinion on those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 Angeles, California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the following trading plans were adopted or terminated by our Section 16 officers or directors:</w:t>
      </w:r>
    </w:p>
    <w:tbl>
      <w:tblPr>
        <w:tblW w:w="10205" w:type="dxa"/>
        <w:jc w:val="left"/>
        <w:tblInd w:w="0" w:type="dxa"/>
        <w:tblLayout w:type="fixed"/>
        <w:tblCellMar>
          <w:top w:w="28" w:type="dxa"/>
          <w:left w:w="28" w:type="dxa"/>
          <w:bottom w:w="28" w:type="dxa"/>
          <w:right w:w="28" w:type="dxa"/>
        </w:tblCellMar>
      </w:tblPr>
      <w:tblGrid>
        <w:gridCol w:w="422"/>
        <w:gridCol w:w="306"/>
        <w:gridCol w:w="308"/>
        <w:gridCol w:w="109"/>
        <w:gridCol w:w="109"/>
        <w:gridCol w:w="109"/>
        <w:gridCol w:w="321"/>
        <w:gridCol w:w="278"/>
        <w:gridCol w:w="280"/>
        <w:gridCol w:w="109"/>
        <w:gridCol w:w="109"/>
        <w:gridCol w:w="109"/>
        <w:gridCol w:w="604"/>
        <w:gridCol w:w="530"/>
        <w:gridCol w:w="531"/>
        <w:gridCol w:w="109"/>
        <w:gridCol w:w="109"/>
        <w:gridCol w:w="109"/>
        <w:gridCol w:w="599"/>
        <w:gridCol w:w="483"/>
        <w:gridCol w:w="484"/>
        <w:gridCol w:w="109"/>
        <w:gridCol w:w="109"/>
        <w:gridCol w:w="109"/>
        <w:gridCol w:w="626"/>
        <w:gridCol w:w="626"/>
        <w:gridCol w:w="628"/>
        <w:gridCol w:w="109"/>
        <w:gridCol w:w="109"/>
        <w:gridCol w:w="109"/>
        <w:gridCol w:w="449"/>
        <w:gridCol w:w="449"/>
        <w:gridCol w:w="646"/>
      </w:tblGrid>
      <w:tr>
        <w:trPr/>
        <w:tc>
          <w:tcPr>
            <w:tcW w:w="42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Officer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Officer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Plan Adopted/Terminated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Intended to Satisfy Rule 10b5-1(c)?</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Douglas Knopper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 December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13, 2026 - March 15,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Sell up to 122,777, subject to certain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 10 will be included in our Proxy Statement for the 2026 Annual Meeting of Stockholders (the "2026 Proxy Statement") to be filed with the SEC within 120 days of the fiscal year ended December 31, 2025, or the 2026 Proxy Statement, under the headings "Proposal 1—Election of Directors," "Delinquent Section 16(a) Reports," (if applicable) and "Corporate Governance"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 11 will be included in the 2026 Proxy Statement under the headings "Executive Officers" and "Executive Compensation" and is incorporated herein by reference.</w:t>
      </w:r>
    </w:p>
    <w:p>
      <w:pPr>
        <w:pStyle w:val="TextBody"/>
        <w:bidi w:val="0"/>
        <w:spacing w:lineRule="auto" w:line="288" w:before="0" w:after="0"/>
        <w:ind w:left="0" w:right="0" w:firstLine="3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Item 12 will be included in the 2026 Proxy Statement under the heading "Common Stock Ownership of Certain Beneficial Owners and Management" and is incorporated herein by reference. </w:t>
      </w:r>
    </w:p>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The information required by Item 13 will be included in the 2026 Proxy Statement under the headings "Certain Relationships and Related Person Transactions" and "Director Independence" and is incorporated herein by reference. </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information required by Item 14 will be included in the 2026 Proxy Statement under the heading "Proposal 2—Ratification of the Selection of Deloitte &amp; Touche LLP as Independent Registered Public Accounting Firm"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We have filed the following documents as part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Consolidated Financial Statements</w:t>
      </w:r>
    </w:p>
    <w:p>
      <w:pPr>
        <w:pStyle w:val="TextBody"/>
        <w:bidi w:val="0"/>
        <w:spacing w:before="0" w:after="0"/>
        <w:jc w:val="left"/>
        <w:rPr/>
      </w:pPr>
      <w:r>
        <w:rPr/>
      </w:r>
    </w:p>
    <w:tbl>
      <w:tblPr>
        <w:tblW w:w="5232" w:type="dxa"/>
        <w:jc w:val="center"/>
        <w:tblInd w:w="0" w:type="dxa"/>
        <w:tblLayout w:type="fixed"/>
        <w:tblCellMar>
          <w:top w:w="28" w:type="dxa"/>
          <w:left w:w="28" w:type="dxa"/>
          <w:bottom w:w="28" w:type="dxa"/>
          <w:right w:w="28" w:type="dxa"/>
        </w:tblCellMar>
      </w:tblPr>
      <w:tblGrid>
        <w:gridCol w:w="1759"/>
        <w:gridCol w:w="1546"/>
        <w:gridCol w:w="1555"/>
        <w:gridCol w:w="109"/>
        <w:gridCol w:w="109"/>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Report of Independent Registered Public Accounting Firm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82">
              <w:r>
                <w:rPr>
                  <w:rStyle w:val="InternetLink"/>
                  <w:rFonts w:ascii="Times New Roman;serif" w:hAnsi="Times New Roman;serif"/>
                  <w:b w:val="false"/>
                  <w:color w:val="0000FF"/>
                  <w:sz w:val="20"/>
                  <w:u w:val="single"/>
                </w:rPr>
                <w:t>62</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Balance Sheets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85">
              <w:r>
                <w:rPr>
                  <w:rStyle w:val="InternetLink"/>
                  <w:rFonts w:ascii="Times New Roman;serif" w:hAnsi="Times New Roman;serif"/>
                  <w:b w:val="false"/>
                  <w:color w:val="0000FF"/>
                  <w:sz w:val="20"/>
                  <w:u w:val="single"/>
                </w:rPr>
                <w:t>65</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Operations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88">
              <w:r>
                <w:rPr>
                  <w:rStyle w:val="InternetLink"/>
                  <w:rFonts w:ascii="Times New Roman;serif" w:hAnsi="Times New Roman;serif"/>
                  <w:b w:val="false"/>
                  <w:color w:val="0000FF"/>
                  <w:sz w:val="20"/>
                  <w:u w:val="single"/>
                </w:rPr>
                <w:t>66</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Comprehensive Loss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91">
              <w:r>
                <w:rPr>
                  <w:rStyle w:val="InternetLink"/>
                  <w:rFonts w:ascii="Times New Roman;serif" w:hAnsi="Times New Roman;serif"/>
                  <w:b w:val="false"/>
                  <w:color w:val="0000FF"/>
                  <w:sz w:val="20"/>
                  <w:u w:val="single"/>
                </w:rPr>
                <w:t>67</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Stockholders' Equity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94">
              <w:r>
                <w:rPr>
                  <w:rStyle w:val="InternetLink"/>
                  <w:rFonts w:ascii="Times New Roman;serif" w:hAnsi="Times New Roman;serif"/>
                  <w:b w:val="false"/>
                  <w:color w:val="0000FF"/>
                  <w:sz w:val="20"/>
                  <w:u w:val="single"/>
                </w:rPr>
                <w:t>68</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Cash Flows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97">
              <w:r>
                <w:rPr>
                  <w:rStyle w:val="InternetLink"/>
                  <w:rFonts w:ascii="Times New Roman;serif" w:hAnsi="Times New Roman;serif"/>
                  <w:b w:val="false"/>
                  <w:color w:val="0000FF"/>
                  <w:sz w:val="20"/>
                  <w:u w:val="single"/>
                </w:rPr>
                <w:t>69</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 to Consolidated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81ef861df1481aa4bd57727cfc861b_103">
              <w:r>
                <w:rPr>
                  <w:rStyle w:val="InternetLink"/>
                  <w:rFonts w:ascii="Times New Roman;serif" w:hAnsi="Times New Roman;serif"/>
                  <w:b w:val="false"/>
                  <w:color w:val="0000FF"/>
                  <w:sz w:val="20"/>
                  <w:u w:val="single"/>
                </w:rPr>
                <w:t>71</w:t>
              </w:r>
            </w:hyperlink>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No financial statement schedules are provided because the information called for is not required or is shown in the financial statements of the notes thereto.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655"/>
        <w:gridCol w:w="2645"/>
        <w:gridCol w:w="376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Merger, dated as of December 19, 2019, by and among The Rubicon Project, Inc., Madison Merger Corp., and Telaria, Inc. (incorporated by reference to Exhibit 2.1 to the Registrant's Current Report on Form 8-K filed with the Commission on December 20, 2019).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Stock Purchase Agreement, dated as of February 4, 2021, by and between Magnite, Inc., RTL US Holdings, Inc., and solely for certain sections therein, RTL Group S.A. (incorporated by reference to Exhibit 2.1 to the Registrant's Current Report on Form 8-K filed with the Commission on February 5,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Amendment to Stock Purchase Agreement, dated as of April 30, 2021, by and among Magnite, Inc., RTL US Holding, Inc., and RTL Group S.A. (incorporated by reference to Exhibit 2.1 to the Registrant's Quarterly Report on Form 10-Q filed with the Commission on May 10,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Sixth Amended and Restated Certificate of Incorporation of the Registrant (incorporated by reference to Exhibit 3.1 to the Registrant's Quarterly Report on Form 10-Q filed with the Commission on May 15, 2014).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Amendment to the Sixth Amended and Restated Certificate of Incorporation of Magnite, Inc., dated June 30, 2020 (incorporated by reference to Exhibit 3.1 to the Registrant's Quarterly Report on Form 10-Q filed with the Commission on August 10, 2020).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Fifth Amended and Restated Bylaws of Magnite, Inc. (incorporated by reference to Exhibit 3.1 to the Registrant’s Current Report on Form 8-K filed with the Commission on March 22, 2022).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Description of Securities (incorporated by reference to Exhibit 4.1 to the Registrant's Annual Report on Form 10-K filed with the Commission on February 25,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Indenture, dated as of March 18, 2021, between Magnite, Inc., the guarantors named therein and The Bank of New York Mellon Trust Company, N.A, as trustee (incorporated by reference to Exhibit 4.1 of the Registrant’s Current Report on Form 8-K filed with the Commission on March 19,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0.25% Convertible Senior Notes due 2026 (included in Exhibit 4.2) (incorporated by reference to Exhibit 4.2 of the Registrant’s Current Report on Form 8-K filed with the Commission on March 19,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The Rubicon Project, Inc. 2014 Equity Incentive Plan, as amended and restated (incorporated by reference to Exhibit 10.1 to the Registrant's Current Report on Form 8-K filed with the Commission on April 8, 2016).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3"/>
        <w:gridCol w:w="196"/>
        <w:gridCol w:w="199"/>
        <w:gridCol w:w="109"/>
        <w:gridCol w:w="109"/>
        <w:gridCol w:w="109"/>
        <w:gridCol w:w="2812"/>
        <w:gridCol w:w="2670"/>
        <w:gridCol w:w="3778"/>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Stock Option Grant Notice and Award Agreement for Employees under The Rubicon Project, Inc. 2014 Equity Incentive Plan (incorporated by reference to Exhibit 10.2(B) to the Registrant's Annual Report on Form 10-K filed with the Commission on March 6, 2015).</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Restricted Stock Unit Grant Notice and Award Agreement for Employees under The Rubicon Project, Inc. 2014 Equity Incentive Plan (incorporated by reference to Exhibit 10.2(C) to the Registrant's Annual Report on Form 10-K filed with the Commission on March 6, 2015).</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Stock Option Grant Notice and Award Agreement for Non-Employee Directors under The Rubicon Project, Inc. 2014 Equity Incentive Plan (incorporated by reference to Exhibit 10.2(D) to the Registrant's Annual Report on Form 10-K filed with the Commission on March 6, 2015).</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Restricted Stock Unit Grant Notice and Award Agreement for Non-Employee Directors under The Rubicon Project, Inc. 2014 Equity Incentive Plan (incorporated by reference to Exhibit 10.2(E) to the Registrant's Annual Report on Form 10-K filed with the Commission on March 6, 2015).</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Performance Stock Unit Grant Notice and Award Agreement for Employees under the Magnite, Inc. 2014 Equity Incentive Plan (incorporated by reference to Exhibit 10.7 to the Registrant's Annual Report on Form 10-K filed with the Commission on February 28, 2024).</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The Rubicon Project, Inc. 2014 Inducement Grant Equity Incentive Plan, as amended and restated (incorporated by reference to Exhibit 10.2 to the Registrant's Current Report on Form 8-K filed with the Commission on April 8, 2016).</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Telaria, Inc. 2013 Equity Incentive Plan, as amended (incorporated by reference to Exhibit 99.2 to the Registrants’ Registration Statement on Form S-8, dated April 9, 2020)</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Magnite, Inc. Amended and Restated 2014 Equity Incentive Plan (incorporated by reference to Exhibit 10.1 to the Registrant's Quarterly Report on Form 10-Q filed with the Commission on August 9, 2023)</w:t>
              </w:r>
            </w:hyperlink>
            <w:r>
              <w:rPr>
                <w:rFonts w:ascii="Times New Roman;serif" w:hAnsi="Times New Roman;serif"/>
                <w:b w:val="false"/>
                <w:color w:val="000000"/>
                <w:sz w:val="20"/>
              </w:rPr>
              <w:t>.</w:t>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Stock Option Grant Notice and Award Agreement for Employees under the Magnite, Inc. Amended and Restated 2014 Equity Incentive Plan (incorporated by reference to Exhibit 10.11 to the Registrant's Annual Report on Form 10-K filed with the Commission on February 28, 2024).</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Form of Restricted Stock Unit Grant Notice and Award Agreement for Employees under the Magnite, Inc. Amended and Restated 2014 Equity Incentive Plan (incorporated by reference to Exhibit 10.12 to the Registrant's Annual Report on Form 10-K filed with the Commission on February 28, 2024).</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Performance Stock Unit Grant Notice and Award Agreement for Employees under the Magnite, Inc. Amended and Restated 2014 Equity Incentive Plan (incorporated by reference to Exhibit 10.13 to the Registrant's Annual Report on Form 10-K filed with the Commission on February 28, 2024).</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Restricted Stock Unit Grant Notice and Award Agreement for Non-Employee Directors under the Magnite, Inc. Amended and Restated 2014 Equity Incentive Plan (incorporated by reference to Exhibit 10.14 to the Registrant's Annual Report on Form 10-K filed with the Commission on February 28, 2024).</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Magnite, Inc. Amended and Restated 2014 Employee Stock Purchase Plan (incorporated by reference to Exhibit 10.2 to the Registrant's Quarterly Report on Form 10-Q filed with the Commission on August 9, 2023)</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of Indemnification Agreement between the Registrant and each of its directors and executive officers (incorporated by reference to Exhibit 10.17 to the Registrant's Registration Statement on Form S-1/A filed with the Commission on March 20, 2014).</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80"/>
                  <w:sz w:val="20"/>
                  <w:u w:val="single"/>
                </w:rPr>
                <w:t xml:space="preserve">Form of Executive Severance and Vesting Acceleration Agreement by and between the Registrant and certain of its executive officers (incorporated by reference to Exhibit 10.23 </w:t>
              </w:r>
            </w:hyperlink>
            <w:hyperlink r:id="rId28">
              <w:r>
                <w:rPr>
                  <w:rStyle w:val="InternetLink"/>
                  <w:rFonts w:ascii="Times New Roman;serif" w:hAnsi="Times New Roman;serif"/>
                  <w:b w:val="false"/>
                  <w:color w:val="000080"/>
                  <w:sz w:val="20"/>
                  <w:u w:val="single"/>
                </w:rPr>
                <w:t xml:space="preserve">to the Registrant's Form 10-K filed with the Commission on February 27, 2020). </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Executive Employment Agreement between the Registrant and Michael Barrett, dated March 16, 2017 (incorporated by reference to Exhibit 10.1 to the Registrant's Current Report on Form 8-K filed with the Commission on March 22, 2017).</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Executive Severance and Vesting Acceleration Agreement between the Registrant and Michael Barrett, dated March 16, 2017 (incorporated by reference to Exhibit 10.2 to the Registrant's Current Report on Form 8-K filed with the Commission on March 22, 2017).</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Executive Severance and Vesting Acceleration Agreement between the Registrant and Aaron Saltz, dated April 1, 2020 (incorporated by reference to Exhibit 10.3 to the Registrant's Quarterly Report on Form 10-Q filed with the Commission on August 10, 2020).</w:t>
              </w:r>
            </w:hyperlink>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Office Lease between BRE HH Property Owner LLC and Magnite, Inc., dated November 20, 2020 (incorporated by reference to Exhibit 10.16 to the Registrant’s Annual Report on Form 10-K filed with the Commission on February 25,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1"/>
        <w:gridCol w:w="203"/>
        <w:gridCol w:w="205"/>
        <w:gridCol w:w="109"/>
        <w:gridCol w:w="109"/>
        <w:gridCol w:w="109"/>
        <w:gridCol w:w="2948"/>
        <w:gridCol w:w="2601"/>
        <w:gridCol w:w="3690"/>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Sublease between Zillow Group, Inc. and Magnite, Inc., dated September 21, 2021(incorporated by reference to Exhibit 10.16 to the Registrant's Annual Report on Form 10-K filed with the Commission on February 23, 2022).</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80"/>
                  <w:sz w:val="20"/>
                  <w:u w:val="single"/>
                </w:rPr>
                <w:t>First Amendment to the Sublease between Zillow Group, Inc. and Magnite, Inc., effective August 31, 2025</w:t>
              </w:r>
            </w:hyperlink>
            <w:hyperlink r:id="rId35">
              <w:r>
                <w:rPr>
                  <w:rStyle w:val="InternetLink"/>
                  <w:rFonts w:ascii="Times New Roman;serif" w:hAnsi="Times New Roman;serif"/>
                  <w:b w:val="false"/>
                  <w:color w:val="000080"/>
                  <w:sz w:val="20"/>
                  <w:u w:val="single"/>
                </w:rPr>
                <w:t xml:space="preserve"> (incorporated by reference to Exhibit 10.1 to the R</w:t>
              </w:r>
            </w:hyperlink>
            <w:hyperlink r:id="rId36">
              <w:r>
                <w:rPr>
                  <w:rStyle w:val="InternetLink"/>
                  <w:rFonts w:ascii="Times New Roman;serif" w:hAnsi="Times New Roman;serif"/>
                  <w:b w:val="false"/>
                  <w:color w:val="000080"/>
                  <w:sz w:val="20"/>
                  <w:u w:val="single"/>
                </w:rPr>
                <w:t xml:space="preserve">egistrant's </w:t>
              </w:r>
            </w:hyperlink>
            <w:hyperlink r:id="rId37">
              <w:r>
                <w:rPr>
                  <w:rStyle w:val="InternetLink"/>
                  <w:rFonts w:ascii="Times New Roman;serif" w:hAnsi="Times New Roman;serif"/>
                  <w:b w:val="false"/>
                  <w:color w:val="000080"/>
                  <w:sz w:val="20"/>
                  <w:u w:val="single"/>
                </w:rPr>
                <w:t>Quarterly Report on Form 10-Q filed with the Commission on November 5, 202</w:t>
              </w:r>
            </w:hyperlink>
            <w:hyperlink r:id="rId38">
              <w:r>
                <w:rPr>
                  <w:rStyle w:val="InternetLink"/>
                  <w:rFonts w:ascii="Times New Roman;serif" w:hAnsi="Times New Roman;serif"/>
                  <w:b w:val="false"/>
                  <w:color w:val="000080"/>
                  <w:sz w:val="20"/>
                  <w:u w:val="single"/>
                </w:rPr>
                <w:t>5).</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3-mgnixleaseagre.htm">
              <w:r>
                <w:rPr>
                  <w:rStyle w:val="InternetLink"/>
                  <w:rFonts w:ascii="Times New Roman;serif" w:hAnsi="Times New Roman;serif"/>
                  <w:b w:val="false"/>
                  <w:color w:val="000080"/>
                  <w:sz w:val="20"/>
                  <w:u w:val="single"/>
                </w:rPr>
                <w:t>Office Lease between 1250 Broadway Associates, LLC and Magnite, Inc</w:t>
              </w:r>
            </w:hyperlink>
            <w:hyperlink w:anchor="exhibit1023-mgnixleaseagre.htm">
              <w:r>
                <w:rPr>
                  <w:rStyle w:val="InternetLink"/>
                  <w:rFonts w:ascii="Times New Roman;serif" w:hAnsi="Times New Roman;serif"/>
                  <w:b w:val="false"/>
                  <w:color w:val="000080"/>
                  <w:sz w:val="20"/>
                  <w:u w:val="single"/>
                </w:rPr>
                <w:t>., effective December 18, 2025</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Form of Capped Call Transaction Confirmation (incorporated by reference to Exhibit 10.1 of the Registrant’s Current Report on Form 8-K filed with the Commission on March 19, 2021).</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Incremental Assumption Agreement dated as of June 28, 2021, relating to the Credit Agreement dated as of April 30, 2021, among Magnite, Inc., each Issuing Bank, the Swingline Lender, the other Lenders party thereto and Goldman Sachs Bank USA, as administrative agent and as collateral agent for the Lenders (incorporated by reference to Exhibit 10.1 of the Registrant’s Current Report on Form 8-K filed with the Commission on July 2, 2021).</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Credit Agreement, dated as of February 6, 2024, by and among Magnite, Inc., Morgan Stanley Senior Funding, Inc. as term loan administrative agent and Citibank, N.A. as revolving facility administrative agent and collateral agent, and other lender parties thereto (incorporated by reference to Exhibit 10.28 of the Registrant's Annual Report on Form 10-K filed with the Commission on February 28, 2024).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Amendment No. 1, dated as of September 18, 2024 among Magnite, Inc., as the borrower, Morgan Stanley Senior Funding, Inc., as the term facility administrative agent, and Citibank, N.A., as revolving facility administrative agent, collateral agent and swingline lender and each Issuing Bank and Lender party thereto (each as defined therein), which amended that certain Credit Agreement, dated as of February 6, 2024 (incorporated by reference to Exhibit 10.1 of the Registrant's Current Report on Form 8-K filed with the Commission on September 18, 2024).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Amendment No. 2, dated as of March 18, 2025 among Magnite, Inc., as the borrower, Morgan Stanley Senior Funding, Inc., as the term facility administrative agent, and Citibank, N.A., as revolving facility administrative agent, collateral agent and swingline lender and each Issuing Bank and Lender party thereto (each as defined therein), which amended that certain Credit Agreement, dated as of February 6, 2024 (incorporated by reference to Exhibit 10.1 of the Registrant's Current Report on Form 8-K with the Commission on March 18, 2025).</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magniteinsidertr.htm">
              <w:r>
                <w:rPr>
                  <w:rStyle w:val="InternetLink"/>
                  <w:rFonts w:ascii="Times New Roman;serif" w:hAnsi="Times New Roman;serif"/>
                  <w:b w:val="false"/>
                  <w:color w:val="0000FF"/>
                  <w:sz w:val="20"/>
                  <w:u w:val="single"/>
                </w:rPr>
                <w:t>Insider Trading Policy</w:t>
              </w:r>
            </w:hyperlink>
            <w:r>
              <w:rPr>
                <w:rFonts w:ascii="Times New Roman;serif" w:hAnsi="Times New Roman;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listofsubsidiar.htm">
              <w:r>
                <w:rPr>
                  <w:rStyle w:val="InternetLink"/>
                  <w:rFonts w:ascii="Times New Roman;serif" w:hAnsi="Times New Roman;serif"/>
                  <w:b w:val="false"/>
                  <w:color w:val="0000FF"/>
                  <w:sz w:val="20"/>
                  <w:u w:val="single"/>
                </w:rPr>
                <w:t>List of Subsidiaries.</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12x31x2025conse.htm">
              <w:r>
                <w:rPr>
                  <w:rStyle w:val="InternetLink"/>
                  <w:rFonts w:ascii="Times New Roman;serif" w:hAnsi="Times New Roman;serif"/>
                  <w:b w:val="false"/>
                  <w:color w:val="0000FF"/>
                  <w:sz w:val="20"/>
                  <w:u w:val="single"/>
                </w:rPr>
                <w:t>Consent of Deloitte &amp; Touche LLP.</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2-31x2025.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 Executive Officer Pursuant to Exchange Act Rules 13a-14(a) and 15d-14(a), as adopted pursuant to Section 302 of the Sarbanes-Oxley Act of 2002.</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2-31x2025.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 Principal Financial Officer Pursuant to Exchange Act Rules 13a-14(a) and 15d-14(a), as adopted pursuant to Section 302 of the Sarbanes-Oxley Act of 2002</w:t>
              </w:r>
            </w:hyperlink>
            <w:r>
              <w:rPr>
                <w:rFonts w:ascii="Times New Roman;serif" w:hAnsi="Times New Roman;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31x2025.htm">
              <w:r>
                <w:rPr>
                  <w:rStyle w:val="InternetLink"/>
                  <w:rFonts w:ascii="Times New Roman;serif" w:hAnsi="Times New Roman;serif"/>
                  <w:b w:val="false"/>
                  <w:color w:val="0000FF"/>
                  <w:sz w:val="20"/>
                  <w:u w:val="single"/>
                </w:rPr>
                <w:t>Certification of the Principal Executive Officer and Principal Financial Officer Pursuant to 18 U.S.C. Section 1350, as adopted pursuant to Section 906 of the Sarbanes-Oxley Act of 2002. of the Principal Executive Officer and Principal Financial Officer Pursuant to 18 U.S.C. Section 1350, as adopted pursuant to Section 906 of the Sarbanes-Oxley Act of 2002.</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80"/>
                  <w:sz w:val="20"/>
                  <w:u w:val="single"/>
                </w:rPr>
                <w:t xml:space="preserve">Magnite, Inc. Compensation Recoupment (Clawback) Policy </w:t>
              </w:r>
            </w:hyperlink>
            <w:hyperlink r:id="rId45">
              <w:r>
                <w:rPr>
                  <w:rStyle w:val="InternetLink"/>
                  <w:rFonts w:ascii="Times New Roman;serif" w:hAnsi="Times New Roman;serif"/>
                  <w:b w:val="false"/>
                  <w:color w:val="000080"/>
                  <w:sz w:val="20"/>
                  <w:u w:val="single"/>
                </w:rPr>
                <w:t xml:space="preserve">(incorporated by reference to Exhibit 97 of the Registrant's </w:t>
              </w:r>
            </w:hyperlink>
            <w:hyperlink r:id="rId46">
              <w:r>
                <w:rPr>
                  <w:rStyle w:val="InternetLink"/>
                  <w:rFonts w:ascii="Times New Roman;serif" w:hAnsi="Times New Roman;serif"/>
                  <w:b w:val="false"/>
                  <w:color w:val="000080"/>
                  <w:sz w:val="20"/>
                  <w:u w:val="single"/>
                </w:rPr>
                <w:t>Annual Report on Form 10-K filed with the Commission on February 28, 2024)</w:t>
              </w:r>
            </w:hyperlink>
            <w:hyperlink r:id="rId47">
              <w:r>
                <w:rPr>
                  <w:rStyle w:val="InternetLink"/>
                  <w:rFonts w:ascii="Times New Roman;serif" w:hAnsi="Times New Roman;serif"/>
                  <w:b w:val="false"/>
                  <w:color w:val="000080"/>
                  <w:sz w:val="20"/>
                  <w:u w:val="single"/>
                </w:rPr>
                <w:t>.</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Instance Document- the instance document does not appear in the Interactive Data File because its XBRL tags are embedded within the Inline XBRL document. </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XBRL Taxonomy Schema Linkbase Document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Calculation Linkbase Document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 Linkbase Document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 or arrangement</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3"/>
        </w:rPr>
        <w:t>(1)    </w:t>
      </w:r>
      <w:r>
        <w:rPr>
          <w:rFonts w:ascii="Times New Roman;serif" w:hAnsi="Times New Roman;serif"/>
          <w:b w:val="false"/>
          <w:color w:val="000000"/>
          <w:sz w:val="20"/>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381ef861df1481aa4bd57727cfc86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Section 13 or 15(d) of the Securities Exchange Act of 1934, the registrant has duly caused this Annual Report on Form 10-K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439" w:type="dxa"/>
        <w:jc w:val="center"/>
        <w:tblInd w:w="0" w:type="dxa"/>
        <w:tblLayout w:type="fixed"/>
        <w:tblCellMar>
          <w:top w:w="28" w:type="dxa"/>
          <w:left w:w="28" w:type="dxa"/>
          <w:bottom w:w="28" w:type="dxa"/>
          <w:right w:w="28" w:type="dxa"/>
        </w:tblCellMar>
      </w:tblPr>
      <w:tblGrid>
        <w:gridCol w:w="732"/>
        <w:gridCol w:w="645"/>
        <w:gridCol w:w="648"/>
        <w:gridCol w:w="705"/>
        <w:gridCol w:w="705"/>
        <w:gridCol w:w="100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MAGNITE, INC.</w:t>
              <w:br/>
              <w:t>(Registrant)</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br/>
              <w:t>/s/  David Day</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Day</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left"/>
        <w:rPr/>
      </w:pPr>
      <w:r>
        <w:rPr/>
      </w:r>
    </w:p>
    <w:tbl>
      <w:tblPr>
        <w:tblW w:w="6538" w:type="dxa"/>
        <w:jc w:val="center"/>
        <w:tblInd w:w="0" w:type="dxa"/>
        <w:tblLayout w:type="fixed"/>
        <w:tblCellMar>
          <w:top w:w="28" w:type="dxa"/>
          <w:left w:w="28" w:type="dxa"/>
          <w:bottom w:w="28" w:type="dxa"/>
          <w:right w:w="28" w:type="dxa"/>
        </w:tblCellMar>
      </w:tblPr>
      <w:tblGrid>
        <w:gridCol w:w="660"/>
        <w:gridCol w:w="582"/>
        <w:gridCol w:w="587"/>
        <w:gridCol w:w="1020"/>
        <w:gridCol w:w="1020"/>
        <w:gridCol w:w="1034"/>
        <w:gridCol w:w="477"/>
        <w:gridCol w:w="477"/>
        <w:gridCol w:w="681"/>
      </w:tblGrid>
      <w:tr>
        <w:trPr/>
        <w:tc>
          <w:tcPr>
            <w:tcW w:w="66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Barrett</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Barrett</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Day</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Day</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Gephart</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br/>
              <w:t>(Principal Accounting Officer)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Gephart</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Caine</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Paul Caine</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Sarah P. Harden</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Sarah P. Harden</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Doug Knopper</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Doug Knopper</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Rachel Lam</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Rachel Lam</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Pearson</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Pearson</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Rossman</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Rossman</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F. Spillane</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F. Spillane</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Diane Yu</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Diane Yu</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10.23</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val="false"/>
          <w:color w:val="000000"/>
          <w:sz w:val="24"/>
        </w:rPr>
        <w:t>AGREEMENT OF LEASE</w:t>
        <w:br/>
        <w:br/>
        <w:t>between</w:t>
        <w:br/>
        <w:br/>
        <w:t>1250 BROADWAY ASSOCIATES LLC,</w:t>
        <w:br/>
        <w:br/>
        <w:t>Landlord</w:t>
        <w:br/>
        <w:br/>
        <w:br/>
        <w:t>and</w:t>
        <w:br/>
        <w:br/>
        <w:br/>
        <w:t>MAGNITE, INC.,</w:t>
        <w:br/>
        <w:br/>
        <w:t>Tenant</w:t>
        <w:br/>
        <w:br/>
        <w:br/>
        <w:t>Dated as of December 18</w:t>
      </w:r>
      <w:r>
        <w:rPr>
          <w:rFonts w:ascii="Times New Roman;serif" w:hAnsi="Times New Roman;serif"/>
          <w:b w:val="false"/>
          <w:color w:val="000000"/>
          <w:sz w:val="16"/>
        </w:rPr>
        <w:t>th</w:t>
      </w:r>
      <w:r>
        <w:rPr>
          <w:rFonts w:ascii="Times New Roman;serif" w:hAnsi="Times New Roman;serif"/>
          <w:b w:val="false"/>
          <w:color w:val="000000"/>
          <w:sz w:val="24"/>
        </w:rPr>
        <w:t>, 2025</w:t>
        <w:br/>
        <w:br/>
        <w:br/>
        <w:br/>
      </w:r>
      <w:r>
        <w:rPr>
          <w:rFonts w:ascii="Times New Roman;serif" w:hAnsi="Times New Roman;serif"/>
          <w:b w:val="false"/>
          <w:color w:val="000000"/>
          <w:sz w:val="24"/>
          <w:u w:val="single"/>
        </w:rPr>
        <w:t>Premises</w:t>
      </w:r>
      <w:r>
        <w:rPr>
          <w:rFonts w:ascii="Times New Roman;serif" w:hAnsi="Times New Roman;serif"/>
          <w:b w:val="false"/>
          <w:color w:val="000000"/>
          <w:sz w:val="24"/>
        </w:rPr>
        <w:t>:</w:t>
        <w:br/>
        <w:br/>
        <w:t>The Entire 8th &amp; 9th Floors</w:t>
        <w:br/>
        <w:t>Nomad Tower, 1250 Broadway</w:t>
        <w:br/>
        <w:t>New York, New York 10001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OF CONTENTS</w: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w:t>
      </w:r>
    </w:p>
    <w:p>
      <w:pPr>
        <w:pStyle w:val="TextBody"/>
        <w:bidi w:val="0"/>
        <w:spacing w:lineRule="auto" w:line="288" w:before="0" w:after="0"/>
        <w:jc w:val="left"/>
        <w:rPr/>
      </w:pPr>
      <w:r>
        <w:rPr>
          <w:rFonts w:ascii="Times New Roman;serif" w:hAnsi="Times New Roman;serif"/>
          <w:b w:val="false"/>
          <w:color w:val="000000"/>
          <w:sz w:val="24"/>
        </w:rPr>
        <w:t>ARTICLE 1</w:t>
      </w:r>
      <w:r>
        <w:rPr>
          <w:color w:val="000000"/>
          <w:u w:val="single"/>
        </w:rPr>
        <w:t xml:space="preserve"> </w:t>
      </w:r>
      <w:r>
        <w:rPr>
          <w:rFonts w:ascii="Times New Roman;serif" w:hAnsi="Times New Roman;serif"/>
          <w:b w:val="false"/>
          <w:color w:val="000000"/>
          <w:sz w:val="24"/>
          <w:u w:val="single"/>
        </w:rPr>
        <w:t>GLOSSARY</w:t>
      </w:r>
      <w:r>
        <w:rPr>
          <w:color w:val="000000"/>
        </w:rPr>
        <w:t>    </w:t>
      </w:r>
      <w:r>
        <w:rPr>
          <w:rFonts w:ascii="Times New Roman;serif" w:hAnsi="Times New Roman;serif"/>
          <w:b w:val="false"/>
          <w:color w:val="000000"/>
          <w:sz w:val="24"/>
        </w:rPr>
        <w:t>2</w:t>
      </w:r>
    </w:p>
    <w:p>
      <w:pPr>
        <w:pStyle w:val="TextBody"/>
        <w:bidi w:val="0"/>
        <w:spacing w:lineRule="auto" w:line="288" w:before="0" w:after="0"/>
        <w:jc w:val="left"/>
        <w:rPr/>
      </w:pPr>
      <w:r>
        <w:rPr>
          <w:rFonts w:ascii="Times New Roman;serif" w:hAnsi="Times New Roman;serif"/>
          <w:b w:val="false"/>
          <w:color w:val="000000"/>
          <w:sz w:val="24"/>
        </w:rPr>
        <w:t>ARTICLE 2</w:t>
      </w:r>
      <w:r>
        <w:rPr>
          <w:color w:val="000000"/>
          <w:u w:val="single"/>
        </w:rPr>
        <w:t xml:space="preserve"> </w:t>
      </w:r>
      <w:r>
        <w:rPr>
          <w:rFonts w:ascii="Times New Roman;serif" w:hAnsi="Times New Roman;serif"/>
          <w:b w:val="false"/>
          <w:color w:val="000000"/>
          <w:sz w:val="24"/>
          <w:u w:val="single"/>
        </w:rPr>
        <w:t>DEMISE, PREMISES, TERM, RENT</w:t>
      </w:r>
      <w:r>
        <w:rPr>
          <w:color w:val="000000"/>
        </w:rPr>
        <w:t>    </w:t>
      </w:r>
      <w:r>
        <w:rPr>
          <w:rFonts w:ascii="Times New Roman;serif" w:hAnsi="Times New Roman;serif"/>
          <w:b w:val="false"/>
          <w:color w:val="000000"/>
          <w:sz w:val="24"/>
        </w:rPr>
        <w:t>7</w:t>
      </w:r>
    </w:p>
    <w:p>
      <w:pPr>
        <w:pStyle w:val="TextBody"/>
        <w:bidi w:val="0"/>
        <w:spacing w:lineRule="auto" w:line="288" w:before="0" w:after="0"/>
        <w:jc w:val="left"/>
        <w:rPr/>
      </w:pPr>
      <w:r>
        <w:rPr>
          <w:rFonts w:ascii="Times New Roman;serif" w:hAnsi="Times New Roman;serif"/>
          <w:b w:val="false"/>
          <w:color w:val="000000"/>
          <w:sz w:val="24"/>
        </w:rPr>
        <w:t>ARTICLE 3</w:t>
      </w:r>
      <w:r>
        <w:rPr>
          <w:color w:val="000000"/>
          <w:u w:val="single"/>
        </w:rPr>
        <w:t xml:space="preserve"> </w:t>
      </w:r>
      <w:r>
        <w:rPr>
          <w:rFonts w:ascii="Times New Roman;serif" w:hAnsi="Times New Roman;serif"/>
          <w:b w:val="false"/>
          <w:color w:val="000000"/>
          <w:sz w:val="24"/>
          <w:u w:val="single"/>
        </w:rPr>
        <w:t>ESCALATION</w:t>
      </w:r>
      <w:r>
        <w:rPr>
          <w:color w:val="000000"/>
        </w:rPr>
        <w:t>    </w:t>
      </w:r>
      <w:r>
        <w:rPr>
          <w:rFonts w:ascii="Times New Roman;serif" w:hAnsi="Times New Roman;serif"/>
          <w:b w:val="false"/>
          <w:color w:val="000000"/>
          <w:sz w:val="24"/>
        </w:rPr>
        <w:t>8</w:t>
      </w:r>
    </w:p>
    <w:p>
      <w:pPr>
        <w:pStyle w:val="TextBody"/>
        <w:bidi w:val="0"/>
        <w:spacing w:lineRule="auto" w:line="288" w:before="0" w:after="0"/>
        <w:jc w:val="left"/>
        <w:rPr/>
      </w:pPr>
      <w:r>
        <w:rPr>
          <w:rFonts w:ascii="Times New Roman;serif" w:hAnsi="Times New Roman;serif"/>
          <w:b w:val="false"/>
          <w:color w:val="000000"/>
          <w:sz w:val="24"/>
        </w:rPr>
        <w:t>ARTICLE 4</w:t>
      </w:r>
      <w:r>
        <w:rPr>
          <w:color w:val="000000"/>
          <w:u w:val="single"/>
        </w:rPr>
        <w:t xml:space="preserve"> </w:t>
      </w:r>
      <w:r>
        <w:rPr>
          <w:rFonts w:ascii="Times New Roman;serif" w:hAnsi="Times New Roman;serif"/>
          <w:b w:val="false"/>
          <w:color w:val="000000"/>
          <w:sz w:val="24"/>
          <w:u w:val="single"/>
        </w:rPr>
        <w:t>ELECTRICITY</w:t>
      </w:r>
      <w:r>
        <w:rPr>
          <w:color w:val="000000"/>
        </w:rPr>
        <w:t>    </w:t>
      </w:r>
      <w:r>
        <w:rPr>
          <w:rFonts w:ascii="Times New Roman;serif" w:hAnsi="Times New Roman;serif"/>
          <w:b w:val="false"/>
          <w:color w:val="000000"/>
          <w:sz w:val="24"/>
        </w:rPr>
        <w:t>18</w:t>
      </w:r>
    </w:p>
    <w:p>
      <w:pPr>
        <w:pStyle w:val="TextBody"/>
        <w:bidi w:val="0"/>
        <w:spacing w:lineRule="auto" w:line="288" w:before="0" w:after="0"/>
        <w:jc w:val="left"/>
        <w:rPr/>
      </w:pPr>
      <w:r>
        <w:rPr>
          <w:rFonts w:ascii="Times New Roman;serif" w:hAnsi="Times New Roman;serif"/>
          <w:b w:val="false"/>
          <w:color w:val="000000"/>
          <w:sz w:val="24"/>
        </w:rPr>
        <w:t>ARTICLE 5</w:t>
      </w:r>
      <w:r>
        <w:rPr>
          <w:color w:val="000000"/>
          <w:u w:val="single"/>
        </w:rPr>
        <w:t xml:space="preserve"> </w:t>
      </w:r>
      <w:r>
        <w:rPr>
          <w:rFonts w:ascii="Times New Roman;serif" w:hAnsi="Times New Roman;serif"/>
          <w:b w:val="false"/>
          <w:color w:val="000000"/>
          <w:sz w:val="24"/>
          <w:u w:val="single"/>
        </w:rPr>
        <w:t>USE AND OCCUPANCY</w:t>
      </w:r>
      <w:r>
        <w:rPr>
          <w:color w:val="000000"/>
        </w:rPr>
        <w:t>    </w:t>
      </w:r>
      <w:r>
        <w:rPr>
          <w:rFonts w:ascii="Times New Roman;serif" w:hAnsi="Times New Roman;serif"/>
          <w:b w:val="false"/>
          <w:color w:val="000000"/>
          <w:sz w:val="24"/>
        </w:rPr>
        <w:t>19</w:t>
      </w:r>
    </w:p>
    <w:p>
      <w:pPr>
        <w:pStyle w:val="TextBody"/>
        <w:bidi w:val="0"/>
        <w:spacing w:lineRule="auto" w:line="288" w:before="0" w:after="0"/>
        <w:jc w:val="left"/>
        <w:rPr/>
      </w:pPr>
      <w:r>
        <w:rPr>
          <w:rFonts w:ascii="Times New Roman;serif" w:hAnsi="Times New Roman;serif"/>
          <w:b w:val="false"/>
          <w:color w:val="000000"/>
          <w:sz w:val="24"/>
        </w:rPr>
        <w:t>ARTICLE 6</w:t>
      </w:r>
      <w:r>
        <w:rPr>
          <w:color w:val="000000"/>
          <w:u w:val="single"/>
        </w:rPr>
        <w:t xml:space="preserve"> </w:t>
      </w:r>
      <w:r>
        <w:rPr>
          <w:rFonts w:ascii="Times New Roman;serif" w:hAnsi="Times New Roman;serif"/>
          <w:b w:val="false"/>
          <w:color w:val="000000"/>
          <w:sz w:val="24"/>
          <w:u w:val="single"/>
        </w:rPr>
        <w:t>ALTERATIONS</w:t>
      </w:r>
      <w:r>
        <w:rPr>
          <w:color w:val="000000"/>
        </w:rPr>
        <w:t>    </w:t>
      </w:r>
      <w:r>
        <w:rPr>
          <w:rFonts w:ascii="Times New Roman;serif" w:hAnsi="Times New Roman;serif"/>
          <w:b w:val="false"/>
          <w:color w:val="000000"/>
          <w:sz w:val="24"/>
        </w:rPr>
        <w:t>20</w:t>
      </w:r>
    </w:p>
    <w:p>
      <w:pPr>
        <w:pStyle w:val="TextBody"/>
        <w:bidi w:val="0"/>
        <w:spacing w:lineRule="auto" w:line="288" w:before="0" w:after="0"/>
        <w:jc w:val="left"/>
        <w:rPr/>
      </w:pPr>
      <w:r>
        <w:rPr>
          <w:rFonts w:ascii="Times New Roman;serif" w:hAnsi="Times New Roman;serif"/>
          <w:b w:val="false"/>
          <w:color w:val="000000"/>
          <w:sz w:val="24"/>
        </w:rPr>
        <w:t>ARTICLE 7</w:t>
      </w:r>
      <w:r>
        <w:rPr>
          <w:color w:val="000000"/>
          <w:u w:val="single"/>
        </w:rPr>
        <w:t xml:space="preserve"> </w:t>
      </w:r>
      <w:r>
        <w:rPr>
          <w:rFonts w:ascii="Times New Roman;serif" w:hAnsi="Times New Roman;serif"/>
          <w:b w:val="false"/>
          <w:color w:val="000000"/>
          <w:sz w:val="24"/>
          <w:u w:val="single"/>
        </w:rPr>
        <w:t>REPAIRS; FLOOR LOAD</w:t>
      </w:r>
      <w:r>
        <w:rPr>
          <w:color w:val="000000"/>
        </w:rPr>
        <w:t>    </w:t>
      </w:r>
      <w:r>
        <w:rPr>
          <w:rFonts w:ascii="Times New Roman;serif" w:hAnsi="Times New Roman;serif"/>
          <w:b w:val="false"/>
          <w:color w:val="000000"/>
          <w:sz w:val="24"/>
        </w:rPr>
        <w:t>25</w:t>
      </w:r>
    </w:p>
    <w:p>
      <w:pPr>
        <w:pStyle w:val="TextBody"/>
        <w:bidi w:val="0"/>
        <w:spacing w:lineRule="auto" w:line="288" w:before="0" w:after="0"/>
        <w:jc w:val="left"/>
        <w:rPr/>
      </w:pPr>
      <w:r>
        <w:rPr>
          <w:rFonts w:ascii="Times New Roman;serif" w:hAnsi="Times New Roman;serif"/>
          <w:b w:val="false"/>
          <w:color w:val="000000"/>
          <w:sz w:val="24"/>
        </w:rPr>
        <w:t>ARTICLE 8</w:t>
      </w:r>
      <w:r>
        <w:rPr>
          <w:color w:val="000000"/>
          <w:u w:val="single"/>
        </w:rPr>
        <w:t xml:space="preserve"> </w:t>
      </w:r>
      <w:r>
        <w:rPr>
          <w:rFonts w:ascii="Times New Roman;serif" w:hAnsi="Times New Roman;serif"/>
          <w:b w:val="false"/>
          <w:color w:val="000000"/>
          <w:sz w:val="24"/>
          <w:u w:val="single"/>
        </w:rPr>
        <w:t>WINDOW CLEANING</w:t>
      </w:r>
      <w:r>
        <w:rPr>
          <w:color w:val="000000"/>
        </w:rPr>
        <w:t>    </w:t>
      </w:r>
      <w:r>
        <w:rPr>
          <w:rFonts w:ascii="Times New Roman;serif" w:hAnsi="Times New Roman;serif"/>
          <w:b w:val="false"/>
          <w:color w:val="000000"/>
          <w:sz w:val="24"/>
        </w:rPr>
        <w:t>27</w:t>
      </w:r>
    </w:p>
    <w:p>
      <w:pPr>
        <w:pStyle w:val="TextBody"/>
        <w:bidi w:val="0"/>
        <w:spacing w:lineRule="auto" w:line="288" w:before="0" w:after="0"/>
        <w:jc w:val="left"/>
        <w:rPr/>
      </w:pPr>
      <w:r>
        <w:rPr>
          <w:rFonts w:ascii="Times New Roman;serif" w:hAnsi="Times New Roman;serif"/>
          <w:b w:val="false"/>
          <w:color w:val="000000"/>
          <w:sz w:val="24"/>
        </w:rPr>
        <w:t>ARTICLE 9</w:t>
      </w:r>
      <w:r>
        <w:rPr>
          <w:color w:val="000000"/>
          <w:u w:val="single"/>
        </w:rPr>
        <w:t xml:space="preserve"> </w:t>
      </w:r>
      <w:r>
        <w:rPr>
          <w:rFonts w:ascii="Times New Roman;serif" w:hAnsi="Times New Roman;serif"/>
          <w:b w:val="false"/>
          <w:color w:val="000000"/>
          <w:sz w:val="24"/>
          <w:u w:val="single"/>
        </w:rPr>
        <w:t>REQUIREMENTS OF LAW</w:t>
      </w:r>
      <w:r>
        <w:rPr>
          <w:color w:val="000000"/>
        </w:rPr>
        <w:t>    </w:t>
      </w:r>
      <w:r>
        <w:rPr>
          <w:rFonts w:ascii="Times New Roman;serif" w:hAnsi="Times New Roman;serif"/>
          <w:b w:val="false"/>
          <w:color w:val="000000"/>
          <w:sz w:val="24"/>
        </w:rPr>
        <w:t>27</w:t>
      </w:r>
    </w:p>
    <w:p>
      <w:pPr>
        <w:pStyle w:val="TextBody"/>
        <w:bidi w:val="0"/>
        <w:spacing w:lineRule="auto" w:line="288" w:before="0" w:after="0"/>
        <w:jc w:val="left"/>
        <w:rPr/>
      </w:pPr>
      <w:r>
        <w:rPr>
          <w:rFonts w:ascii="Times New Roman;serif" w:hAnsi="Times New Roman;serif"/>
          <w:b w:val="false"/>
          <w:color w:val="000000"/>
          <w:sz w:val="24"/>
        </w:rPr>
        <w:t>ARTICLE 10</w:t>
      </w:r>
      <w:r>
        <w:rPr>
          <w:color w:val="000000"/>
          <w:u w:val="single"/>
        </w:rPr>
        <w:t xml:space="preserve"> </w:t>
      </w:r>
      <w:r>
        <w:rPr>
          <w:rFonts w:ascii="Times New Roman;serif" w:hAnsi="Times New Roman;serif"/>
          <w:b w:val="false"/>
          <w:color w:val="000000"/>
          <w:sz w:val="24"/>
          <w:u w:val="single"/>
        </w:rPr>
        <w:t>SUBORDINATION</w:t>
      </w:r>
      <w:r>
        <w:rPr>
          <w:color w:val="000000"/>
        </w:rPr>
        <w:t>    </w:t>
      </w:r>
      <w:r>
        <w:rPr>
          <w:rFonts w:ascii="Times New Roman;serif" w:hAnsi="Times New Roman;serif"/>
          <w:b w:val="false"/>
          <w:color w:val="000000"/>
          <w:sz w:val="24"/>
        </w:rPr>
        <w:t>29</w:t>
      </w:r>
    </w:p>
    <w:p>
      <w:pPr>
        <w:pStyle w:val="TextBody"/>
        <w:bidi w:val="0"/>
        <w:spacing w:lineRule="auto" w:line="288" w:before="0" w:after="0"/>
        <w:jc w:val="left"/>
        <w:rPr/>
      </w:pPr>
      <w:r>
        <w:rPr>
          <w:rFonts w:ascii="Times New Roman;serif" w:hAnsi="Times New Roman;serif"/>
          <w:b w:val="false"/>
          <w:color w:val="000000"/>
          <w:sz w:val="24"/>
        </w:rPr>
        <w:t>ARTICLE 11</w:t>
      </w:r>
      <w:r>
        <w:rPr>
          <w:color w:val="000000"/>
          <w:u w:val="single"/>
        </w:rPr>
        <w:t xml:space="preserve"> </w:t>
      </w:r>
      <w:r>
        <w:rPr>
          <w:rFonts w:ascii="Times New Roman;serif" w:hAnsi="Times New Roman;serif"/>
          <w:b w:val="false"/>
          <w:color w:val="000000"/>
          <w:sz w:val="24"/>
          <w:u w:val="single"/>
        </w:rPr>
        <w:t>RULES AND REGULATIONS</w:t>
      </w:r>
      <w:r>
        <w:rPr>
          <w:color w:val="000000"/>
        </w:rPr>
        <w:t>    </w:t>
      </w:r>
      <w:r>
        <w:rPr>
          <w:rFonts w:ascii="Times New Roman;serif" w:hAnsi="Times New Roman;serif"/>
          <w:b w:val="false"/>
          <w:color w:val="000000"/>
          <w:sz w:val="24"/>
        </w:rPr>
        <w:t>32</w:t>
      </w:r>
    </w:p>
    <w:p>
      <w:pPr>
        <w:pStyle w:val="TextBody"/>
        <w:bidi w:val="0"/>
        <w:spacing w:lineRule="auto" w:line="288" w:before="0" w:after="0"/>
        <w:jc w:val="left"/>
        <w:rPr/>
      </w:pPr>
      <w:r>
        <w:rPr>
          <w:rFonts w:ascii="Times New Roman;serif" w:hAnsi="Times New Roman;serif"/>
          <w:b w:val="false"/>
          <w:color w:val="000000"/>
          <w:sz w:val="24"/>
        </w:rPr>
        <w:t>ARTICLE 12</w:t>
      </w:r>
      <w:r>
        <w:rPr>
          <w:color w:val="000000"/>
          <w:u w:val="single"/>
        </w:rPr>
        <w:t xml:space="preserve"> </w:t>
      </w:r>
      <w:r>
        <w:rPr>
          <w:rFonts w:ascii="Times New Roman;serif" w:hAnsi="Times New Roman;serif"/>
          <w:b w:val="false"/>
          <w:color w:val="000000"/>
          <w:sz w:val="24"/>
          <w:u w:val="single"/>
        </w:rPr>
        <w:t>INSURANCE, PROPERTY LOSS OR DAMAGE; REIMBURSEMENT</w:t>
      </w:r>
      <w:r>
        <w:rPr>
          <w:color w:val="000000"/>
        </w:rPr>
        <w:t>    </w:t>
      </w:r>
      <w:r>
        <w:rPr>
          <w:rFonts w:ascii="Times New Roman;serif" w:hAnsi="Times New Roman;serif"/>
          <w:b w:val="false"/>
          <w:color w:val="000000"/>
          <w:sz w:val="24"/>
        </w:rPr>
        <w:t>32</w:t>
      </w:r>
    </w:p>
    <w:p>
      <w:pPr>
        <w:pStyle w:val="TextBody"/>
        <w:bidi w:val="0"/>
        <w:spacing w:lineRule="auto" w:line="288" w:before="0" w:after="0"/>
        <w:jc w:val="left"/>
        <w:rPr/>
      </w:pPr>
      <w:r>
        <w:rPr>
          <w:rFonts w:ascii="Times New Roman;serif" w:hAnsi="Times New Roman;serif"/>
          <w:b w:val="false"/>
          <w:color w:val="000000"/>
          <w:sz w:val="24"/>
        </w:rPr>
        <w:t>ARTICLE 13</w:t>
      </w:r>
      <w:r>
        <w:rPr>
          <w:color w:val="000000"/>
          <w:u w:val="single"/>
        </w:rPr>
        <w:t xml:space="preserve"> </w:t>
      </w:r>
      <w:r>
        <w:rPr>
          <w:rFonts w:ascii="Times New Roman;serif" w:hAnsi="Times New Roman;serif"/>
          <w:b w:val="false"/>
          <w:color w:val="000000"/>
          <w:sz w:val="24"/>
          <w:u w:val="single"/>
        </w:rPr>
        <w:t>DESTRUCTION BY FIRE OR OTHER CAUSE</w:t>
      </w:r>
      <w:r>
        <w:rPr>
          <w:color w:val="000000"/>
        </w:rPr>
        <w:t>    </w:t>
      </w:r>
      <w:r>
        <w:rPr>
          <w:rFonts w:ascii="Times New Roman;serif" w:hAnsi="Times New Roman;serif"/>
          <w:b w:val="false"/>
          <w:color w:val="000000"/>
          <w:sz w:val="24"/>
        </w:rPr>
        <w:t>35</w:t>
      </w:r>
    </w:p>
    <w:p>
      <w:pPr>
        <w:pStyle w:val="TextBody"/>
        <w:bidi w:val="0"/>
        <w:spacing w:lineRule="auto" w:line="288" w:before="0" w:after="0"/>
        <w:jc w:val="left"/>
        <w:rPr/>
      </w:pPr>
      <w:r>
        <w:rPr>
          <w:rFonts w:ascii="Times New Roman;serif" w:hAnsi="Times New Roman;serif"/>
          <w:b w:val="false"/>
          <w:color w:val="000000"/>
          <w:sz w:val="24"/>
        </w:rPr>
        <w:t>ARTICLE 14</w:t>
      </w:r>
      <w:r>
        <w:rPr>
          <w:color w:val="000000"/>
          <w:u w:val="single"/>
        </w:rPr>
        <w:t xml:space="preserve"> </w:t>
      </w:r>
      <w:r>
        <w:rPr>
          <w:rFonts w:ascii="Times New Roman;serif" w:hAnsi="Times New Roman;serif"/>
          <w:b w:val="false"/>
          <w:color w:val="000000"/>
          <w:sz w:val="24"/>
          <w:u w:val="single"/>
        </w:rPr>
        <w:t>EMINENT DOMAIN</w:t>
      </w:r>
      <w:r>
        <w:rPr>
          <w:color w:val="000000"/>
        </w:rPr>
        <w:t>    </w:t>
      </w:r>
      <w:r>
        <w:rPr>
          <w:rFonts w:ascii="Times New Roman;serif" w:hAnsi="Times New Roman;serif"/>
          <w:b w:val="false"/>
          <w:color w:val="000000"/>
          <w:sz w:val="24"/>
        </w:rPr>
        <w:t>37</w:t>
      </w:r>
    </w:p>
    <w:p>
      <w:pPr>
        <w:pStyle w:val="TextBody"/>
        <w:bidi w:val="0"/>
        <w:spacing w:lineRule="auto" w:line="288" w:before="0" w:after="0"/>
        <w:jc w:val="left"/>
        <w:rPr/>
      </w:pPr>
      <w:r>
        <w:rPr>
          <w:rFonts w:ascii="Times New Roman;serif" w:hAnsi="Times New Roman;serif"/>
          <w:b w:val="false"/>
          <w:color w:val="000000"/>
          <w:sz w:val="24"/>
        </w:rPr>
        <w:t>ARTICLE 15</w:t>
      </w:r>
      <w:r>
        <w:rPr>
          <w:color w:val="000000"/>
          <w:u w:val="single"/>
        </w:rPr>
        <w:t xml:space="preserve"> </w:t>
      </w:r>
      <w:r>
        <w:rPr>
          <w:rFonts w:ascii="Times New Roman;serif" w:hAnsi="Times New Roman;serif"/>
          <w:b w:val="false"/>
          <w:color w:val="000000"/>
          <w:sz w:val="24"/>
          <w:u w:val="single"/>
        </w:rPr>
        <w:t>ASSIGNMENT, SUBLETTING, MORTGAGE, ETC.</w:t>
      </w:r>
      <w:r>
        <w:rPr>
          <w:color w:val="000000"/>
        </w:rPr>
        <w:t>    </w:t>
      </w:r>
      <w:r>
        <w:rPr>
          <w:rFonts w:ascii="Times New Roman;serif" w:hAnsi="Times New Roman;serif"/>
          <w:b w:val="false"/>
          <w:color w:val="000000"/>
          <w:sz w:val="24"/>
        </w:rPr>
        <w:t>39</w:t>
      </w:r>
    </w:p>
    <w:p>
      <w:pPr>
        <w:pStyle w:val="TextBody"/>
        <w:bidi w:val="0"/>
        <w:spacing w:lineRule="auto" w:line="288" w:before="0" w:after="0"/>
        <w:jc w:val="left"/>
        <w:rPr/>
      </w:pPr>
      <w:r>
        <w:rPr>
          <w:rFonts w:ascii="Times New Roman;serif" w:hAnsi="Times New Roman;serif"/>
          <w:b w:val="false"/>
          <w:color w:val="000000"/>
          <w:sz w:val="24"/>
        </w:rPr>
        <w:t>ARTICLE 16</w:t>
      </w:r>
      <w:r>
        <w:rPr>
          <w:color w:val="000000"/>
          <w:u w:val="single"/>
        </w:rPr>
        <w:t xml:space="preserve"> </w:t>
      </w:r>
      <w:r>
        <w:rPr>
          <w:rFonts w:ascii="Times New Roman;serif" w:hAnsi="Times New Roman;serif"/>
          <w:b w:val="false"/>
          <w:color w:val="000000"/>
          <w:sz w:val="24"/>
          <w:u w:val="single"/>
        </w:rPr>
        <w:t>ACCESS TO PREMISES</w:t>
      </w:r>
      <w:r>
        <w:rPr>
          <w:color w:val="000000"/>
        </w:rPr>
        <w:t>    </w:t>
      </w:r>
      <w:r>
        <w:rPr>
          <w:rFonts w:ascii="Times New Roman;serif" w:hAnsi="Times New Roman;serif"/>
          <w:b w:val="false"/>
          <w:color w:val="000000"/>
          <w:sz w:val="24"/>
        </w:rPr>
        <w:t>46</w:t>
      </w:r>
    </w:p>
    <w:p>
      <w:pPr>
        <w:pStyle w:val="TextBody"/>
        <w:bidi w:val="0"/>
        <w:spacing w:lineRule="auto" w:line="288" w:before="0" w:after="0"/>
        <w:jc w:val="left"/>
        <w:rPr/>
      </w:pPr>
      <w:r>
        <w:rPr>
          <w:rFonts w:ascii="Times New Roman;serif" w:hAnsi="Times New Roman;serif"/>
          <w:b w:val="false"/>
          <w:color w:val="000000"/>
          <w:sz w:val="24"/>
        </w:rPr>
        <w:t>ARTICLE 17</w:t>
      </w:r>
      <w:r>
        <w:rPr>
          <w:color w:val="000000"/>
          <w:u w:val="single"/>
        </w:rPr>
        <w:t xml:space="preserve"> </w:t>
      </w:r>
      <w:r>
        <w:rPr>
          <w:rFonts w:ascii="Times New Roman;serif" w:hAnsi="Times New Roman;serif"/>
          <w:b w:val="false"/>
          <w:color w:val="000000"/>
          <w:sz w:val="24"/>
          <w:u w:val="single"/>
        </w:rPr>
        <w:t>CERTIFICATE OF OCCUPANCY</w:t>
      </w:r>
      <w:r>
        <w:rPr>
          <w:color w:val="000000"/>
        </w:rPr>
        <w:t>    </w:t>
      </w:r>
      <w:r>
        <w:rPr>
          <w:rFonts w:ascii="Times New Roman;serif" w:hAnsi="Times New Roman;serif"/>
          <w:b w:val="false"/>
          <w:color w:val="000000"/>
          <w:sz w:val="24"/>
        </w:rPr>
        <w:t>47</w:t>
      </w:r>
    </w:p>
    <w:p>
      <w:pPr>
        <w:pStyle w:val="TextBody"/>
        <w:bidi w:val="0"/>
        <w:spacing w:lineRule="auto" w:line="288" w:before="0" w:after="0"/>
        <w:jc w:val="left"/>
        <w:rPr/>
      </w:pPr>
      <w:r>
        <w:rPr>
          <w:rFonts w:ascii="Times New Roman;serif" w:hAnsi="Times New Roman;serif"/>
          <w:b w:val="false"/>
          <w:color w:val="000000"/>
          <w:sz w:val="24"/>
        </w:rPr>
        <w:t>ARTICLE 18</w:t>
      </w:r>
      <w:r>
        <w:rPr>
          <w:color w:val="000000"/>
          <w:u w:val="single"/>
        </w:rPr>
        <w:t xml:space="preserve"> </w:t>
      </w:r>
      <w:r>
        <w:rPr>
          <w:rFonts w:ascii="Times New Roman;serif" w:hAnsi="Times New Roman;serif"/>
          <w:b w:val="false"/>
          <w:color w:val="000000"/>
          <w:sz w:val="24"/>
          <w:u w:val="single"/>
        </w:rPr>
        <w:t>DEFAULT</w:t>
      </w:r>
      <w:r>
        <w:rPr>
          <w:color w:val="000000"/>
        </w:rPr>
        <w:t>    </w:t>
      </w:r>
      <w:r>
        <w:rPr>
          <w:rFonts w:ascii="Times New Roman;serif" w:hAnsi="Times New Roman;serif"/>
          <w:b w:val="false"/>
          <w:color w:val="000000"/>
          <w:sz w:val="24"/>
        </w:rPr>
        <w:t>48</w:t>
      </w:r>
    </w:p>
    <w:p>
      <w:pPr>
        <w:pStyle w:val="TextBody"/>
        <w:bidi w:val="0"/>
        <w:spacing w:lineRule="auto" w:line="288" w:before="0" w:after="0"/>
        <w:jc w:val="left"/>
        <w:rPr/>
      </w:pPr>
      <w:r>
        <w:rPr>
          <w:rFonts w:ascii="Times New Roman;serif" w:hAnsi="Times New Roman;serif"/>
          <w:b w:val="false"/>
          <w:color w:val="000000"/>
          <w:sz w:val="24"/>
        </w:rPr>
        <w:t>ARTICLE 19</w:t>
      </w:r>
      <w:r>
        <w:rPr>
          <w:color w:val="000000"/>
          <w:u w:val="single"/>
        </w:rPr>
        <w:t xml:space="preserve"> </w:t>
      </w:r>
      <w:r>
        <w:rPr>
          <w:rFonts w:ascii="Times New Roman;serif" w:hAnsi="Times New Roman;serif"/>
          <w:b w:val="false"/>
          <w:color w:val="000000"/>
          <w:sz w:val="24"/>
          <w:u w:val="single"/>
        </w:rPr>
        <w:t>REMEDIES AND DAMAGES</w:t>
      </w:r>
      <w:r>
        <w:rPr>
          <w:color w:val="000000"/>
        </w:rPr>
        <w:t>    </w:t>
      </w:r>
      <w:r>
        <w:rPr>
          <w:rFonts w:ascii="Times New Roman;serif" w:hAnsi="Times New Roman;serif"/>
          <w:b w:val="false"/>
          <w:color w:val="000000"/>
          <w:sz w:val="24"/>
        </w:rPr>
        <w:t>50</w:t>
      </w:r>
    </w:p>
    <w:p>
      <w:pPr>
        <w:pStyle w:val="TextBody"/>
        <w:bidi w:val="0"/>
        <w:spacing w:lineRule="auto" w:line="288" w:before="0" w:after="0"/>
        <w:jc w:val="left"/>
        <w:rPr/>
      </w:pPr>
      <w:r>
        <w:rPr>
          <w:rFonts w:ascii="Times New Roman;serif" w:hAnsi="Times New Roman;serif"/>
          <w:b w:val="false"/>
          <w:color w:val="000000"/>
          <w:sz w:val="24"/>
        </w:rPr>
        <w:t>ARTICLE 20</w:t>
      </w:r>
      <w:r>
        <w:rPr>
          <w:color w:val="000000"/>
          <w:u w:val="single"/>
        </w:rPr>
        <w:t xml:space="preserve"> </w:t>
      </w:r>
      <w:r>
        <w:rPr>
          <w:rFonts w:ascii="Times New Roman;serif" w:hAnsi="Times New Roman;serif"/>
          <w:b w:val="false"/>
          <w:color w:val="000000"/>
          <w:sz w:val="24"/>
          <w:u w:val="single"/>
        </w:rPr>
        <w:t>FEES AND EXPENSES</w:t>
      </w:r>
      <w:r>
        <w:rPr>
          <w:color w:val="000000"/>
        </w:rPr>
        <w:t>    </w:t>
      </w:r>
      <w:r>
        <w:rPr>
          <w:rFonts w:ascii="Times New Roman;serif" w:hAnsi="Times New Roman;serif"/>
          <w:b w:val="false"/>
          <w:color w:val="000000"/>
          <w:sz w:val="24"/>
        </w:rPr>
        <w:t>52</w:t>
      </w:r>
    </w:p>
    <w:p>
      <w:pPr>
        <w:pStyle w:val="TextBody"/>
        <w:bidi w:val="0"/>
        <w:spacing w:lineRule="auto" w:line="288" w:before="0" w:after="0"/>
        <w:jc w:val="left"/>
        <w:rPr/>
      </w:pPr>
      <w:r>
        <w:rPr>
          <w:rFonts w:ascii="Times New Roman;serif" w:hAnsi="Times New Roman;serif"/>
          <w:b w:val="false"/>
          <w:color w:val="000000"/>
          <w:sz w:val="24"/>
        </w:rPr>
        <w:t>ARTICLE 21</w:t>
      </w:r>
      <w:r>
        <w:rPr>
          <w:color w:val="000000"/>
          <w:u w:val="single"/>
        </w:rPr>
        <w:t xml:space="preserve"> </w:t>
      </w:r>
      <w:r>
        <w:rPr>
          <w:rFonts w:ascii="Times New Roman;serif" w:hAnsi="Times New Roman;serif"/>
          <w:b w:val="false"/>
          <w:color w:val="000000"/>
          <w:sz w:val="24"/>
          <w:u w:val="single"/>
        </w:rPr>
        <w:t>NO REPRESENTATIONS BY LANDLORD</w:t>
      </w:r>
      <w:r>
        <w:rPr>
          <w:color w:val="000000"/>
        </w:rPr>
        <w:t>    </w:t>
      </w:r>
      <w:r>
        <w:rPr>
          <w:rFonts w:ascii="Times New Roman;serif" w:hAnsi="Times New Roman;serif"/>
          <w:b w:val="false"/>
          <w:color w:val="000000"/>
          <w:sz w:val="24"/>
        </w:rPr>
        <w:t>53</w:t>
      </w:r>
    </w:p>
    <w:p>
      <w:pPr>
        <w:pStyle w:val="TextBody"/>
        <w:bidi w:val="0"/>
        <w:spacing w:lineRule="auto" w:line="288" w:before="0" w:after="0"/>
        <w:jc w:val="left"/>
        <w:rPr/>
      </w:pPr>
      <w:r>
        <w:rPr>
          <w:rFonts w:ascii="Times New Roman;serif" w:hAnsi="Times New Roman;serif"/>
          <w:b w:val="false"/>
          <w:color w:val="000000"/>
          <w:sz w:val="24"/>
        </w:rPr>
        <w:t>ARTICLE 22</w:t>
      </w:r>
      <w:r>
        <w:rPr>
          <w:color w:val="000000"/>
          <w:u w:val="single"/>
        </w:rPr>
        <w:t xml:space="preserve"> </w:t>
      </w:r>
      <w:r>
        <w:rPr>
          <w:rFonts w:ascii="Times New Roman;serif" w:hAnsi="Times New Roman;serif"/>
          <w:b w:val="false"/>
          <w:color w:val="000000"/>
          <w:sz w:val="24"/>
          <w:u w:val="single"/>
        </w:rPr>
        <w:t>END OF TERM</w:t>
      </w:r>
      <w:r>
        <w:rPr>
          <w:color w:val="000000"/>
        </w:rPr>
        <w:t>    </w:t>
      </w:r>
      <w:r>
        <w:rPr>
          <w:rFonts w:ascii="Times New Roman;serif" w:hAnsi="Times New Roman;serif"/>
          <w:b w:val="false"/>
          <w:color w:val="000000"/>
          <w:sz w:val="24"/>
        </w:rPr>
        <w:t>53</w:t>
      </w:r>
    </w:p>
    <w:p>
      <w:pPr>
        <w:pStyle w:val="TextBody"/>
        <w:bidi w:val="0"/>
        <w:spacing w:lineRule="auto" w:line="288" w:before="0" w:after="0"/>
        <w:jc w:val="left"/>
        <w:rPr/>
      </w:pPr>
      <w:r>
        <w:rPr>
          <w:rFonts w:ascii="Times New Roman;serif" w:hAnsi="Times New Roman;serif"/>
          <w:b w:val="false"/>
          <w:color w:val="000000"/>
          <w:sz w:val="24"/>
        </w:rPr>
        <w:t>ARTICLE 23</w:t>
      </w:r>
      <w:r>
        <w:rPr>
          <w:color w:val="000000"/>
          <w:u w:val="single"/>
        </w:rPr>
        <w:t xml:space="preserve"> </w:t>
      </w:r>
      <w:r>
        <w:rPr>
          <w:rFonts w:ascii="Times New Roman;serif" w:hAnsi="Times New Roman;serif"/>
          <w:b w:val="false"/>
          <w:color w:val="000000"/>
          <w:sz w:val="24"/>
          <w:u w:val="single"/>
        </w:rPr>
        <w:t>POSSESSION</w:t>
      </w:r>
      <w:r>
        <w:rPr>
          <w:color w:val="000000"/>
        </w:rPr>
        <w:t>    </w:t>
      </w:r>
      <w:r>
        <w:rPr>
          <w:rFonts w:ascii="Times New Roman;serif" w:hAnsi="Times New Roman;serif"/>
          <w:b w:val="false"/>
          <w:color w:val="000000"/>
          <w:sz w:val="24"/>
        </w:rPr>
        <w:t>54</w:t>
      </w:r>
    </w:p>
    <w:p>
      <w:pPr>
        <w:pStyle w:val="TextBody"/>
        <w:bidi w:val="0"/>
        <w:spacing w:lineRule="auto" w:line="288" w:before="0" w:after="0"/>
        <w:jc w:val="left"/>
        <w:rPr/>
      </w:pPr>
      <w:r>
        <w:rPr>
          <w:rFonts w:ascii="Times New Roman;serif" w:hAnsi="Times New Roman;serif"/>
          <w:b w:val="false"/>
          <w:color w:val="000000"/>
          <w:sz w:val="24"/>
        </w:rPr>
        <w:t>ARTICLE 24</w:t>
      </w:r>
      <w:r>
        <w:rPr>
          <w:color w:val="000000"/>
          <w:u w:val="single"/>
        </w:rPr>
        <w:t xml:space="preserve"> </w:t>
      </w:r>
      <w:r>
        <w:rPr>
          <w:rFonts w:ascii="Times New Roman;serif" w:hAnsi="Times New Roman;serif"/>
          <w:b w:val="false"/>
          <w:color w:val="000000"/>
          <w:sz w:val="24"/>
          <w:u w:val="single"/>
        </w:rPr>
        <w:t>NO WAIVER</w:t>
      </w:r>
      <w:r>
        <w:rPr>
          <w:color w:val="000000"/>
        </w:rPr>
        <w:t>    </w:t>
      </w:r>
      <w:r>
        <w:rPr>
          <w:rFonts w:ascii="Times New Roman;serif" w:hAnsi="Times New Roman;serif"/>
          <w:b w:val="false"/>
          <w:color w:val="000000"/>
          <w:sz w:val="24"/>
        </w:rPr>
        <w:t>55</w:t>
      </w:r>
    </w:p>
    <w:p>
      <w:pPr>
        <w:pStyle w:val="TextBody"/>
        <w:bidi w:val="0"/>
        <w:spacing w:lineRule="auto" w:line="288" w:before="0" w:after="0"/>
        <w:jc w:val="left"/>
        <w:rPr/>
      </w:pPr>
      <w:r>
        <w:rPr>
          <w:rFonts w:ascii="Times New Roman;serif" w:hAnsi="Times New Roman;serif"/>
          <w:b w:val="false"/>
          <w:color w:val="000000"/>
          <w:sz w:val="24"/>
        </w:rPr>
        <w:t>ARTICLE 25</w:t>
      </w:r>
      <w:r>
        <w:rPr>
          <w:color w:val="000000"/>
          <w:u w:val="single"/>
        </w:rPr>
        <w:t xml:space="preserve"> </w:t>
      </w:r>
      <w:r>
        <w:rPr>
          <w:rFonts w:ascii="Times New Roman;serif" w:hAnsi="Times New Roman;serif"/>
          <w:b w:val="false"/>
          <w:color w:val="000000"/>
          <w:sz w:val="24"/>
          <w:u w:val="single"/>
        </w:rPr>
        <w:t>WAIVER OF TRIAL BY JURY</w:t>
      </w:r>
      <w:r>
        <w:rPr>
          <w:color w:val="000000"/>
        </w:rPr>
        <w:t>    </w:t>
      </w:r>
      <w:r>
        <w:rPr>
          <w:rFonts w:ascii="Times New Roman;serif" w:hAnsi="Times New Roman;serif"/>
          <w:b w:val="false"/>
          <w:color w:val="000000"/>
          <w:sz w:val="24"/>
        </w:rPr>
        <w:t>55</w:t>
      </w:r>
    </w:p>
    <w:p>
      <w:pPr>
        <w:pStyle w:val="TextBody"/>
        <w:bidi w:val="0"/>
        <w:spacing w:lineRule="auto" w:line="288" w:before="0" w:after="0"/>
        <w:jc w:val="left"/>
        <w:rPr/>
      </w:pPr>
      <w:r>
        <w:rPr>
          <w:rFonts w:ascii="Times New Roman;serif" w:hAnsi="Times New Roman;serif"/>
          <w:b w:val="false"/>
          <w:color w:val="000000"/>
          <w:sz w:val="24"/>
        </w:rPr>
        <w:t>ARTICLE 26</w:t>
      </w:r>
      <w:r>
        <w:rPr>
          <w:color w:val="000000"/>
          <w:u w:val="single"/>
        </w:rPr>
        <w:t xml:space="preserve"> </w:t>
      </w:r>
      <w:r>
        <w:rPr>
          <w:rFonts w:ascii="Times New Roman;serif" w:hAnsi="Times New Roman;serif"/>
          <w:b w:val="false"/>
          <w:color w:val="000000"/>
          <w:sz w:val="24"/>
          <w:u w:val="single"/>
        </w:rPr>
        <w:t>INABILITY TO PERFORM</w:t>
      </w:r>
      <w:r>
        <w:rPr>
          <w:color w:val="000000"/>
        </w:rPr>
        <w:t>    </w:t>
      </w:r>
      <w:r>
        <w:rPr>
          <w:rFonts w:ascii="Times New Roman;serif" w:hAnsi="Times New Roman;serif"/>
          <w:b w:val="false"/>
          <w:color w:val="000000"/>
          <w:sz w:val="24"/>
        </w:rPr>
        <w:t>56</w:t>
      </w:r>
    </w:p>
    <w:p>
      <w:pPr>
        <w:pStyle w:val="TextBody"/>
        <w:bidi w:val="0"/>
        <w:spacing w:lineRule="auto" w:line="288" w:before="0" w:after="0"/>
        <w:jc w:val="left"/>
        <w:rPr/>
      </w:pPr>
      <w:r>
        <w:rPr>
          <w:rFonts w:ascii="Times New Roman;serif" w:hAnsi="Times New Roman;serif"/>
          <w:b w:val="false"/>
          <w:color w:val="000000"/>
          <w:sz w:val="24"/>
        </w:rPr>
        <w:t>ARTICLE 27</w:t>
      </w:r>
      <w:r>
        <w:rPr>
          <w:color w:val="000000"/>
          <w:u w:val="single"/>
        </w:rPr>
        <w:t xml:space="preserve"> </w:t>
      </w:r>
      <w:r>
        <w:rPr>
          <w:rFonts w:ascii="Times New Roman;serif" w:hAnsi="Times New Roman;serif"/>
          <w:b w:val="false"/>
          <w:color w:val="000000"/>
          <w:sz w:val="24"/>
          <w:u w:val="single"/>
        </w:rPr>
        <w:t>BILLS AND NOTICES</w:t>
      </w:r>
      <w:r>
        <w:rPr>
          <w:color w:val="000000"/>
        </w:rPr>
        <w:t>    </w:t>
      </w:r>
      <w:r>
        <w:rPr>
          <w:rFonts w:ascii="Times New Roman;serif" w:hAnsi="Times New Roman;serif"/>
          <w:b w:val="false"/>
          <w:color w:val="000000"/>
          <w:sz w:val="24"/>
        </w:rPr>
        <w:t>56</w:t>
      </w:r>
    </w:p>
    <w:p>
      <w:pPr>
        <w:pStyle w:val="TextBody"/>
        <w:bidi w:val="0"/>
        <w:spacing w:lineRule="auto" w:line="288" w:before="0" w:after="0"/>
        <w:jc w:val="left"/>
        <w:rPr/>
      </w:pPr>
      <w:r>
        <w:rPr>
          <w:rFonts w:ascii="Times New Roman;serif" w:hAnsi="Times New Roman;serif"/>
          <w:b w:val="false"/>
          <w:color w:val="000000"/>
          <w:sz w:val="24"/>
        </w:rPr>
        <w:t>ARTICLE 28</w:t>
      </w:r>
      <w:r>
        <w:rPr>
          <w:color w:val="000000"/>
          <w:u w:val="single"/>
        </w:rPr>
        <w:t xml:space="preserve"> </w:t>
      </w:r>
      <w:r>
        <w:rPr>
          <w:rFonts w:ascii="Times New Roman;serif" w:hAnsi="Times New Roman;serif"/>
          <w:b w:val="false"/>
          <w:color w:val="000000"/>
          <w:sz w:val="24"/>
          <w:u w:val="single"/>
        </w:rPr>
        <w:t>SERVICES AND EQUIPMENT</w:t>
      </w:r>
      <w:r>
        <w:rPr>
          <w:color w:val="000000"/>
        </w:rPr>
        <w:t>    </w:t>
      </w:r>
      <w:r>
        <w:rPr>
          <w:rFonts w:ascii="Times New Roman;serif" w:hAnsi="Times New Roman;serif"/>
          <w:b w:val="false"/>
          <w:color w:val="000000"/>
          <w:sz w:val="24"/>
        </w:rPr>
        <w:t>57</w:t>
      </w:r>
    </w:p>
    <w:p>
      <w:pPr>
        <w:pStyle w:val="TextBody"/>
        <w:bidi w:val="0"/>
        <w:spacing w:lineRule="auto" w:line="288" w:before="0" w:after="0"/>
        <w:jc w:val="left"/>
        <w:rPr/>
      </w:pPr>
      <w:r>
        <w:rPr>
          <w:rFonts w:ascii="Times New Roman;serif" w:hAnsi="Times New Roman;serif"/>
          <w:b w:val="false"/>
          <w:color w:val="000000"/>
          <w:sz w:val="24"/>
        </w:rPr>
        <w:t>ARTICLE 29</w:t>
      </w:r>
      <w:r>
        <w:rPr>
          <w:color w:val="000000"/>
          <w:u w:val="single"/>
        </w:rPr>
        <w:t xml:space="preserve"> </w:t>
      </w:r>
      <w:r>
        <w:rPr>
          <w:rFonts w:ascii="Times New Roman;serif" w:hAnsi="Times New Roman;serif"/>
          <w:b w:val="false"/>
          <w:color w:val="000000"/>
          <w:sz w:val="24"/>
          <w:u w:val="single"/>
        </w:rPr>
        <w:t>PARTNERSHIP TENANT</w:t>
      </w:r>
      <w:r>
        <w:rPr>
          <w:color w:val="000000"/>
        </w:rPr>
        <w:t>    </w:t>
      </w:r>
      <w:r>
        <w:rPr>
          <w:rFonts w:ascii="Times New Roman;serif" w:hAnsi="Times New Roman;serif"/>
          <w:b w:val="false"/>
          <w:color w:val="000000"/>
          <w:sz w:val="24"/>
        </w:rPr>
        <w:t>62</w:t>
      </w:r>
    </w:p>
    <w:p>
      <w:pPr>
        <w:pStyle w:val="TextBody"/>
        <w:bidi w:val="0"/>
        <w:spacing w:lineRule="auto" w:line="288" w:before="0" w:after="0"/>
        <w:jc w:val="left"/>
        <w:rPr/>
      </w:pPr>
      <w:r>
        <w:rPr>
          <w:rFonts w:ascii="Times New Roman;serif" w:hAnsi="Times New Roman;serif"/>
          <w:b w:val="false"/>
          <w:color w:val="000000"/>
          <w:sz w:val="24"/>
        </w:rPr>
        <w:t>ARTICLE 30</w:t>
      </w:r>
      <w:r>
        <w:rPr>
          <w:color w:val="000000"/>
          <w:u w:val="single"/>
        </w:rPr>
        <w:t xml:space="preserve"> </w:t>
      </w:r>
      <w:r>
        <w:rPr>
          <w:rFonts w:ascii="Times New Roman;serif" w:hAnsi="Times New Roman;serif"/>
          <w:b w:val="false"/>
          <w:color w:val="000000"/>
          <w:sz w:val="24"/>
          <w:u w:val="single"/>
        </w:rPr>
        <w:t>VAULT SPACE</w:t>
      </w:r>
      <w:r>
        <w:rPr>
          <w:color w:val="000000"/>
        </w:rPr>
        <w:t>    </w:t>
      </w:r>
      <w:r>
        <w:rPr>
          <w:rFonts w:ascii="Times New Roman;serif" w:hAnsi="Times New Roman;serif"/>
          <w:b w:val="false"/>
          <w:color w:val="000000"/>
          <w:sz w:val="24"/>
        </w:rPr>
        <w:t>62</w:t>
      </w:r>
    </w:p>
    <w:p>
      <w:pPr>
        <w:pStyle w:val="TextBody"/>
        <w:bidi w:val="0"/>
        <w:spacing w:lineRule="auto" w:line="288" w:before="0" w:after="0"/>
        <w:jc w:val="left"/>
        <w:rPr/>
      </w:pPr>
      <w:r>
        <w:rPr>
          <w:rFonts w:ascii="Times New Roman;serif" w:hAnsi="Times New Roman;serif"/>
          <w:b w:val="false"/>
          <w:color w:val="000000"/>
          <w:sz w:val="24"/>
        </w:rPr>
        <w:t>ARTICLE 31</w:t>
      </w:r>
      <w:r>
        <w:rPr>
          <w:color w:val="000000"/>
          <w:u w:val="single"/>
        </w:rPr>
        <w:t xml:space="preserve"> </w:t>
      </w:r>
      <w:r>
        <w:rPr>
          <w:rFonts w:ascii="Times New Roman;serif" w:hAnsi="Times New Roman;serif"/>
          <w:b w:val="false"/>
          <w:color w:val="000000"/>
          <w:sz w:val="24"/>
          <w:u w:val="single"/>
        </w:rPr>
        <w:t>SIGNS</w:t>
      </w:r>
      <w:r>
        <w:rPr>
          <w:color w:val="000000"/>
        </w:rPr>
        <w:t>    </w:t>
      </w:r>
      <w:r>
        <w:rPr>
          <w:rFonts w:ascii="Times New Roman;serif" w:hAnsi="Times New Roman;serif"/>
          <w:b w:val="false"/>
          <w:color w:val="000000"/>
          <w:sz w:val="24"/>
        </w:rPr>
        <w:t>63</w:t>
      </w:r>
    </w:p>
    <w:p>
      <w:pPr>
        <w:pStyle w:val="TextBody"/>
        <w:bidi w:val="0"/>
        <w:spacing w:lineRule="auto" w:line="288" w:before="0" w:after="0"/>
        <w:jc w:val="left"/>
        <w:rPr/>
      </w:pPr>
      <w:r>
        <w:rPr>
          <w:rFonts w:ascii="Times New Roman;serif" w:hAnsi="Times New Roman;serif"/>
          <w:b w:val="false"/>
          <w:color w:val="000000"/>
          <w:sz w:val="24"/>
        </w:rPr>
        <w:t>ARTICLE 32</w:t>
      </w:r>
      <w:r>
        <w:rPr>
          <w:color w:val="000000"/>
          <w:u w:val="single"/>
        </w:rPr>
        <w:t xml:space="preserve"> </w:t>
      </w:r>
      <w:r>
        <w:rPr>
          <w:rFonts w:ascii="Times New Roman;serif" w:hAnsi="Times New Roman;serif"/>
          <w:b w:val="false"/>
          <w:color w:val="000000"/>
          <w:sz w:val="24"/>
          <w:u w:val="single"/>
        </w:rPr>
        <w:t>BROKER</w:t>
      </w:r>
      <w:r>
        <w:rPr>
          <w:color w:val="000000"/>
        </w:rPr>
        <w:t>    </w:t>
      </w:r>
      <w:r>
        <w:rPr>
          <w:rFonts w:ascii="Times New Roman;serif" w:hAnsi="Times New Roman;serif"/>
          <w:b w:val="false"/>
          <w:color w:val="000000"/>
          <w:sz w:val="24"/>
        </w:rPr>
        <w:t>64</w:t>
      </w:r>
    </w:p>
    <w:p>
      <w:pPr>
        <w:pStyle w:val="TextBody"/>
        <w:bidi w:val="0"/>
        <w:spacing w:lineRule="auto" w:line="288" w:before="0" w:after="0"/>
        <w:jc w:val="left"/>
        <w:rPr/>
      </w:pPr>
      <w:r>
        <w:rPr>
          <w:rFonts w:ascii="Times New Roman;serif" w:hAnsi="Times New Roman;serif"/>
          <w:b w:val="false"/>
          <w:color w:val="000000"/>
          <w:sz w:val="24"/>
        </w:rPr>
        <w:t>ARTICLE 33</w:t>
      </w:r>
      <w:r>
        <w:rPr>
          <w:color w:val="000000"/>
          <w:u w:val="single"/>
        </w:rPr>
        <w:t xml:space="preserve"> </w:t>
      </w:r>
      <w:r>
        <w:rPr>
          <w:rFonts w:ascii="Times New Roman;serif" w:hAnsi="Times New Roman;serif"/>
          <w:b w:val="false"/>
          <w:color w:val="000000"/>
          <w:sz w:val="24"/>
          <w:u w:val="single"/>
        </w:rPr>
        <w:t>INDEMNITY</w:t>
      </w:r>
      <w:r>
        <w:rPr>
          <w:color w:val="000000"/>
        </w:rPr>
        <w:t>    </w:t>
      </w:r>
      <w:r>
        <w:rPr>
          <w:rFonts w:ascii="Times New Roman;serif" w:hAnsi="Times New Roman;serif"/>
          <w:b w:val="false"/>
          <w:color w:val="000000"/>
          <w:sz w:val="24"/>
        </w:rPr>
        <w:t>64</w:t>
      </w:r>
    </w:p>
    <w:p>
      <w:pPr>
        <w:pStyle w:val="TextBody"/>
        <w:bidi w:val="0"/>
        <w:spacing w:lineRule="auto" w:line="288" w:before="0" w:after="0"/>
        <w:jc w:val="left"/>
        <w:rPr/>
      </w:pPr>
      <w:r>
        <w:rPr>
          <w:rFonts w:ascii="Times New Roman;serif" w:hAnsi="Times New Roman;serif"/>
          <w:b w:val="false"/>
          <w:color w:val="000000"/>
          <w:sz w:val="24"/>
        </w:rPr>
        <w:t>ARTICLE 34</w:t>
      </w:r>
      <w:r>
        <w:rPr>
          <w:color w:val="000000"/>
          <w:u w:val="single"/>
        </w:rPr>
        <w:t xml:space="preserve"> </w:t>
      </w:r>
      <w:r>
        <w:rPr>
          <w:rFonts w:ascii="Times New Roman;serif" w:hAnsi="Times New Roman;serif"/>
          <w:b w:val="false"/>
          <w:color w:val="000000"/>
          <w:sz w:val="24"/>
          <w:u w:val="single"/>
        </w:rPr>
        <w:t>ADJACENT EXCAVATION; SHORING</w:t>
      </w:r>
      <w:r>
        <w:rPr>
          <w:color w:val="000000"/>
        </w:rPr>
        <w:t>    </w:t>
      </w:r>
      <w:r>
        <w:rPr>
          <w:rFonts w:ascii="Times New Roman;serif" w:hAnsi="Times New Roman;serif"/>
          <w:b w:val="false"/>
          <w:color w:val="000000"/>
          <w:sz w:val="24"/>
        </w:rPr>
        <w:t>65</w:t>
      </w:r>
    </w:p>
    <w:p>
      <w:pPr>
        <w:pStyle w:val="TextBody"/>
        <w:bidi w:val="0"/>
        <w:spacing w:lineRule="auto" w:line="288" w:before="0" w:after="0"/>
        <w:jc w:val="left"/>
        <w:rPr/>
      </w:pPr>
      <w:r>
        <w:rPr>
          <w:rFonts w:ascii="Times New Roman;serif" w:hAnsi="Times New Roman;serif"/>
          <w:b w:val="false"/>
          <w:color w:val="000000"/>
          <w:sz w:val="24"/>
        </w:rPr>
        <w:t>ARTICLE 35</w:t>
      </w:r>
      <w:r>
        <w:rPr>
          <w:color w:val="000000"/>
          <w:u w:val="single"/>
        </w:rPr>
        <w:t xml:space="preserve"> </w:t>
      </w:r>
      <w:r>
        <w:rPr>
          <w:rFonts w:ascii="Times New Roman;serif" w:hAnsi="Times New Roman;serif"/>
          <w:b w:val="false"/>
          <w:color w:val="000000"/>
          <w:sz w:val="24"/>
          <w:u w:val="single"/>
        </w:rPr>
        <w:t>SECURITY DEPOSIT</w:t>
      </w:r>
      <w:r>
        <w:rPr>
          <w:color w:val="000000"/>
        </w:rPr>
        <w:t>    </w:t>
      </w:r>
      <w:r>
        <w:rPr>
          <w:rFonts w:ascii="Times New Roman;serif" w:hAnsi="Times New Roman;serif"/>
          <w:b w:val="false"/>
          <w:color w:val="000000"/>
          <w:sz w:val="24"/>
        </w:rPr>
        <w:t>65</w:t>
      </w:r>
    </w:p>
    <w:p>
      <w:pPr>
        <w:pStyle w:val="TextBody"/>
        <w:bidi w:val="0"/>
        <w:spacing w:lineRule="auto" w:line="288" w:before="0" w:after="0"/>
        <w:jc w:val="left"/>
        <w:rPr/>
      </w:pPr>
      <w:r>
        <w:rPr>
          <w:rFonts w:ascii="Times New Roman;serif" w:hAnsi="Times New Roman;serif"/>
          <w:b w:val="false"/>
          <w:color w:val="000000"/>
          <w:sz w:val="24"/>
        </w:rPr>
        <w:t>ARTICLE 36</w:t>
      </w:r>
      <w:r>
        <w:rPr>
          <w:color w:val="000000"/>
          <w:u w:val="single"/>
        </w:rPr>
        <w:t xml:space="preserve"> </w:t>
      </w:r>
      <w:r>
        <w:rPr>
          <w:rFonts w:ascii="Times New Roman;serif" w:hAnsi="Times New Roman;serif"/>
          <w:b w:val="false"/>
          <w:color w:val="000000"/>
          <w:sz w:val="24"/>
          <w:u w:val="single"/>
        </w:rPr>
        <w:t>RENT REGULATION</w:t>
      </w:r>
      <w:r>
        <w:rPr>
          <w:color w:val="000000"/>
        </w:rPr>
        <w:t>    </w:t>
      </w:r>
      <w:r>
        <w:rPr>
          <w:rFonts w:ascii="Times New Roman;serif" w:hAnsi="Times New Roman;serif"/>
          <w:b w:val="false"/>
          <w:color w:val="000000"/>
          <w:sz w:val="24"/>
        </w:rPr>
        <w:t>67</w:t>
      </w:r>
    </w:p>
    <w:p>
      <w:pPr>
        <w:pStyle w:val="TextBody"/>
        <w:bidi w:val="0"/>
        <w:spacing w:lineRule="auto" w:line="288" w:before="0" w:after="0"/>
        <w:jc w:val="left"/>
        <w:rPr/>
      </w:pPr>
      <w:r>
        <w:rPr>
          <w:rFonts w:ascii="Times New Roman;serif" w:hAnsi="Times New Roman;serif"/>
          <w:b w:val="false"/>
          <w:color w:val="000000"/>
          <w:sz w:val="24"/>
        </w:rPr>
        <w:t>ARTICLE 37</w:t>
      </w:r>
      <w:r>
        <w:rPr>
          <w:color w:val="000000"/>
          <w:u w:val="single"/>
        </w:rPr>
        <w:t xml:space="preserve"> </w:t>
      </w:r>
      <w:r>
        <w:rPr>
          <w:rFonts w:ascii="Times New Roman;serif" w:hAnsi="Times New Roman;serif"/>
          <w:b w:val="false"/>
          <w:color w:val="000000"/>
          <w:sz w:val="24"/>
          <w:u w:val="single"/>
        </w:rPr>
        <w:t>COVENANT OF QUIET ENJOYMENT</w:t>
      </w:r>
      <w:r>
        <w:rPr>
          <w:color w:val="000000"/>
        </w:rPr>
        <w:t>    </w:t>
      </w:r>
      <w:r>
        <w:rPr>
          <w:rFonts w:ascii="Times New Roman;serif" w:hAnsi="Times New Roman;serif"/>
          <w:b w:val="false"/>
          <w:color w:val="000000"/>
          <w:sz w:val="24"/>
        </w:rPr>
        <w:t>67</w:t>
      </w:r>
    </w:p>
    <w:p>
      <w:pPr>
        <w:pStyle w:val="TextBody"/>
        <w:bidi w:val="0"/>
        <w:spacing w:lineRule="auto" w:line="288" w:before="0" w:after="0"/>
        <w:jc w:val="left"/>
        <w:rPr/>
      </w:pPr>
      <w:r>
        <w:rPr>
          <w:rFonts w:ascii="Times New Roman;serif" w:hAnsi="Times New Roman;serif"/>
          <w:b w:val="false"/>
          <w:color w:val="000000"/>
          <w:sz w:val="24"/>
        </w:rPr>
        <w:t>ARTICLE 38</w:t>
      </w:r>
      <w:r>
        <w:rPr>
          <w:color w:val="000000"/>
          <w:u w:val="single"/>
        </w:rPr>
        <w:t xml:space="preserve"> </w:t>
      </w:r>
      <w:r>
        <w:rPr>
          <w:rFonts w:ascii="Times New Roman;serif" w:hAnsi="Times New Roman;serif"/>
          <w:b w:val="false"/>
          <w:color w:val="000000"/>
          <w:sz w:val="24"/>
          <w:u w:val="single"/>
        </w:rPr>
        <w:t>INTENTIONALLY OMITTED</w:t>
      </w:r>
      <w:r>
        <w:rPr>
          <w:color w:val="000000"/>
        </w:rPr>
        <w:t>    </w:t>
      </w:r>
      <w:r>
        <w:rPr>
          <w:rFonts w:ascii="Times New Roman;serif" w:hAnsi="Times New Roman;serif"/>
          <w:b w:val="false"/>
          <w:color w:val="000000"/>
          <w:sz w:val="24"/>
        </w:rPr>
        <w:t>68</w:t>
      </w:r>
    </w:p>
    <w:p>
      <w:pPr>
        <w:pStyle w:val="TextBody"/>
        <w:bidi w:val="0"/>
        <w:spacing w:lineRule="auto" w:line="288" w:before="0" w:after="0"/>
        <w:jc w:val="left"/>
        <w:rPr/>
      </w:pPr>
      <w:r>
        <w:rPr>
          <w:rFonts w:ascii="Times New Roman;serif" w:hAnsi="Times New Roman;serif"/>
          <w:b w:val="false"/>
          <w:color w:val="000000"/>
          <w:sz w:val="24"/>
        </w:rPr>
        <w:t>ARTICLE 39</w:t>
      </w:r>
      <w:r>
        <w:rPr>
          <w:color w:val="000000"/>
          <w:u w:val="single"/>
        </w:rPr>
        <w:t xml:space="preserve"> </w:t>
      </w:r>
      <w:r>
        <w:rPr>
          <w:rFonts w:ascii="Times New Roman;serif" w:hAnsi="Times New Roman;serif"/>
          <w:b w:val="false"/>
          <w:color w:val="000000"/>
          <w:sz w:val="24"/>
          <w:u w:val="single"/>
        </w:rPr>
        <w:t>BANKRUPTCY</w:t>
      </w:r>
      <w:r>
        <w:rPr>
          <w:color w:val="000000"/>
        </w:rPr>
        <w:t>    </w:t>
      </w:r>
      <w:r>
        <w:rPr>
          <w:rFonts w:ascii="Times New Roman;serif" w:hAnsi="Times New Roman;serif"/>
          <w:b w:val="false"/>
          <w:color w:val="000000"/>
          <w:sz w:val="24"/>
        </w:rPr>
        <w:t>68</w:t>
      </w:r>
    </w:p>
    <w:p>
      <w:pPr>
        <w:pStyle w:val="TextBody"/>
        <w:bidi w:val="0"/>
        <w:spacing w:lineRule="auto" w:line="288" w:before="0" w:after="0"/>
        <w:jc w:val="left"/>
        <w:rPr/>
      </w:pPr>
      <w:r>
        <w:rPr>
          <w:rFonts w:ascii="Times New Roman;serif" w:hAnsi="Times New Roman;serif"/>
          <w:b w:val="false"/>
          <w:color w:val="000000"/>
          <w:sz w:val="24"/>
        </w:rPr>
        <w:t>ARTICLE 40</w:t>
      </w:r>
      <w:r>
        <w:rPr>
          <w:color w:val="000000"/>
          <w:u w:val="single"/>
        </w:rPr>
        <w:t xml:space="preserve"> </w:t>
      </w:r>
      <w:r>
        <w:rPr>
          <w:rFonts w:ascii="Times New Roman;serif" w:hAnsi="Times New Roman;serif"/>
          <w:b w:val="false"/>
          <w:color w:val="000000"/>
          <w:sz w:val="24"/>
          <w:u w:val="single"/>
        </w:rPr>
        <w:t>MISCELLANEOUS</w:t>
      </w:r>
      <w:r>
        <w:rPr>
          <w:color w:val="000000"/>
        </w:rPr>
        <w:t>    </w:t>
      </w:r>
      <w:r>
        <w:rPr>
          <w:rFonts w:ascii="Times New Roman;serif" w:hAnsi="Times New Roman;serif"/>
          <w:b w:val="false"/>
          <w:color w:val="000000"/>
          <w:sz w:val="24"/>
        </w:rPr>
        <w:t>69</w:t>
      </w:r>
    </w:p>
    <w:p>
      <w:pPr>
        <w:pStyle w:val="TextBody"/>
        <w:bidi w:val="0"/>
        <w:spacing w:lineRule="auto" w:line="288" w:before="0" w:after="0"/>
        <w:jc w:val="left"/>
        <w:rPr/>
      </w:pPr>
      <w:r>
        <w:rPr>
          <w:rFonts w:ascii="Times New Roman;serif" w:hAnsi="Times New Roman;serif"/>
          <w:b w:val="false"/>
          <w:color w:val="000000"/>
          <w:sz w:val="24"/>
        </w:rPr>
        <w:t>ARTICLE 41</w:t>
      </w:r>
      <w:r>
        <w:rPr>
          <w:color w:val="000000"/>
          <w:u w:val="single"/>
        </w:rPr>
        <w:t xml:space="preserve"> </w:t>
      </w:r>
      <w:r>
        <w:rPr>
          <w:rFonts w:ascii="Times New Roman;serif" w:hAnsi="Times New Roman;serif"/>
          <w:b w:val="false"/>
          <w:color w:val="000000"/>
          <w:sz w:val="24"/>
          <w:u w:val="single"/>
        </w:rPr>
        <w:t>OPTION TO RENEW</w:t>
      </w:r>
      <w:r>
        <w:rPr>
          <w:color w:val="000000"/>
        </w:rPr>
        <w:t>    </w:t>
      </w:r>
      <w:r>
        <w:rPr>
          <w:rFonts w:ascii="Times New Roman;serif" w:hAnsi="Times New Roman;serif"/>
          <w:b w:val="false"/>
          <w:color w:val="000000"/>
          <w:sz w:val="24"/>
        </w:rPr>
        <w:t>75</w:t>
      </w:r>
    </w:p>
    <w:p>
      <w:pPr>
        <w:pStyle w:val="TextBody"/>
        <w:bidi w:val="0"/>
        <w:spacing w:lineRule="auto" w:line="288"/>
        <w:jc w:val="left"/>
        <w:rPr/>
      </w:pPr>
      <w:r>
        <w:rPr>
          <w:rFonts w:ascii="Times New Roman;serif" w:hAnsi="Times New Roman;serif"/>
          <w:b w:val="false"/>
          <w:color w:val="000000"/>
          <w:sz w:val="24"/>
        </w:rPr>
        <w:t>ARTICLE 42</w:t>
      </w:r>
      <w:r>
        <w:rPr>
          <w:color w:val="000000"/>
          <w:u w:val="single"/>
        </w:rPr>
        <w:t xml:space="preserve"> </w:t>
      </w:r>
      <w:r>
        <w:rPr>
          <w:rFonts w:ascii="Times New Roman;serif" w:hAnsi="Times New Roman;serif"/>
          <w:b w:val="false"/>
          <w:color w:val="000000"/>
          <w:sz w:val="24"/>
          <w:u w:val="single"/>
        </w:rPr>
        <w:t>RIGHT OF FIRST OFFER</w:t>
      </w:r>
      <w:r>
        <w:rPr>
          <w:color w:val="000000"/>
        </w:rPr>
        <w:t>    </w:t>
      </w:r>
      <w:r>
        <w:rPr>
          <w:rFonts w:ascii="Times New Roman;serif" w:hAnsi="Times New Roman;serif"/>
          <w:b w:val="false"/>
          <w:color w:val="000000"/>
          <w:sz w:val="24"/>
        </w:rPr>
        <w:t>77</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A-1    –    Floor Plan of the Eighth Floor Premises</w:t>
        <w:br/>
        <w:t>SCHEDULE A-2    –    Floor Plan of the Ninth Floor Premises</w:t>
        <w:br/>
        <w:t>SCHEDULE B    –    Building Alteration Rules and Regulations</w:t>
        <w:br/>
        <w:t>SCHEDULE C    –    Cleaning Specifications</w:t>
        <w:br/>
        <w:t>SCHEDULE D    –    Form of Existing Mortgagee SNDA</w:t>
        <w:br/>
        <w:t>SCHEDULE E    –    Rules and Regulations</w:t>
        <w:br/>
        <w:t>SCHEDULE F    –    HVAC Specifications</w:t>
        <w:br/>
        <w:t>SCHEDULE G    –    Overtime Rates</w:t>
        <w:br/>
        <w:t>SCHEDULE H    –    Lobby Elevator Bank Signage Specification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AGREEMENT OF LEASE, made as of the 18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December 2025 (this “</w:t>
      </w:r>
      <w:r>
        <w:rPr>
          <w:rFonts w:ascii="Times New Roman;serif" w:hAnsi="Times New Roman;serif"/>
          <w:b w:val="false"/>
          <w:color w:val="000000"/>
          <w:sz w:val="24"/>
          <w:u w:val="single"/>
        </w:rPr>
        <w:t>Lease</w:t>
      </w:r>
      <w:r>
        <w:rPr>
          <w:color w:val="000000"/>
        </w:rPr>
        <w:t>”</w:t>
      </w:r>
      <w:r>
        <w:rPr>
          <w:rFonts w:ascii="Times New Roman;serif" w:hAnsi="Times New Roman;serif"/>
          <w:b w:val="false"/>
          <w:color w:val="000000"/>
          <w:sz w:val="24"/>
        </w:rPr>
        <w:t>), by and between 1250 BROADWAY ASSOCIATES LLC, a Delaware limited liability company, having an address c/o Global Holdings Management (US) Inc., Nomad Tower, 1250 Broadway, 38th Floor, New York, New York 10001, as landlord (“</w:t>
      </w:r>
      <w:r>
        <w:rPr>
          <w:rFonts w:ascii="Times New Roman;serif" w:hAnsi="Times New Roman;serif"/>
          <w:b w:val="false"/>
          <w:color w:val="000000"/>
          <w:sz w:val="24"/>
          <w:u w:val="single"/>
        </w:rPr>
        <w:t>Landlord</w:t>
      </w:r>
      <w:r>
        <w:rPr>
          <w:color w:val="000000"/>
        </w:rPr>
        <w:t>”</w:t>
      </w:r>
      <w:r>
        <w:rPr>
          <w:rFonts w:ascii="Times New Roman;serif" w:hAnsi="Times New Roman;serif"/>
          <w:b w:val="false"/>
          <w:color w:val="000000"/>
          <w:sz w:val="24"/>
        </w:rPr>
        <w:t>), and MAGNITE, INC., a Delaware corporation, having an office at 6080 Center Drive, 4th Floor, Los Angeles, California 90045, as tenant (“</w:t>
      </w:r>
      <w:r>
        <w:rPr>
          <w:rFonts w:ascii="Times New Roman;serif" w:hAnsi="Times New Roman;serif"/>
          <w:b w:val="false"/>
          <w:color w:val="000000"/>
          <w:sz w:val="24"/>
          <w:u w:val="single"/>
        </w:rPr>
        <w:t>Tenant</w:t>
      </w:r>
      <w:r>
        <w:rPr>
          <w:color w:val="000000"/>
        </w:rPr>
        <w:t>”</w:t>
      </w:r>
      <w:r>
        <w:rPr>
          <w:rFonts w:ascii="Times New Roman;serif" w:hAnsi="Times New Roman;serif"/>
          <w:b w:val="false"/>
          <w:color w:val="000000"/>
          <w:sz w:val="24"/>
        </w:rPr>
        <w:t>).</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REFERENCE PAGE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to other terms elsewhere defined in this Lease, the following terms whenever used in this Lease shall have the meanings set forth in this Reference Page.</w:t>
      </w:r>
    </w:p>
    <w:tbl>
      <w:tblPr>
        <w:tblW w:w="10205" w:type="dxa"/>
        <w:jc w:val="left"/>
        <w:tblInd w:w="0" w:type="dxa"/>
        <w:tblLayout w:type="fixed"/>
        <w:tblCellMar>
          <w:top w:w="28" w:type="dxa"/>
          <w:left w:w="28" w:type="dxa"/>
          <w:bottom w:w="28" w:type="dxa"/>
          <w:right w:w="28" w:type="dxa"/>
        </w:tblCellMar>
      </w:tblPr>
      <w:tblGrid>
        <w:gridCol w:w="125"/>
        <w:gridCol w:w="110"/>
        <w:gridCol w:w="110"/>
        <w:gridCol w:w="586"/>
        <w:gridCol w:w="586"/>
        <w:gridCol w:w="590"/>
        <w:gridCol w:w="2491"/>
        <w:gridCol w:w="2316"/>
        <w:gridCol w:w="3291"/>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(1)</w:t>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Premises:</w:t>
            </w:r>
          </w:p>
        </w:tc>
        <w:tc>
          <w:tcPr>
            <w:tcW w:w="809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The entire</w:t>
            </w:r>
            <w:r>
              <w:rPr>
                <w:color w:val="000000"/>
              </w:rPr>
              <w:t xml:space="preserve"> </w:t>
            </w:r>
            <w:r>
              <w:rPr>
                <w:rFonts w:ascii="Times New Roman;serif" w:hAnsi="Times New Roman;serif"/>
                <w:b w:val="false"/>
                <w:color w:val="000000"/>
                <w:sz w:val="24"/>
              </w:rPr>
              <w:t xml:space="preserve">rentable area of (i) the eighth (8th) floor of the Building, as approximately shown hatched on the floor plan annexed hereto as </w:t>
            </w:r>
            <w:r>
              <w:rPr>
                <w:rFonts w:ascii="Times New Roman;serif" w:hAnsi="Times New Roman;serif"/>
                <w:b w:val="false"/>
                <w:color w:val="000000"/>
                <w:sz w:val="24"/>
                <w:u w:val="single"/>
              </w:rPr>
              <w:t>Schedule A-1</w:t>
            </w:r>
            <w:r>
              <w:rPr>
                <w:rFonts w:ascii="Times New Roman;serif" w:hAnsi="Times New Roman;serif"/>
                <w:b w:val="false"/>
                <w:color w:val="000000"/>
                <w:sz w:val="24"/>
              </w:rPr>
              <w:t>, which the parties hereby conclusively agree, without representation or warranty, contains 27,040 rentable square feet (the “</w:t>
            </w:r>
            <w:r>
              <w:rPr>
                <w:rFonts w:ascii="Times New Roman;serif" w:hAnsi="Times New Roman;serif"/>
                <w:b w:val="false"/>
                <w:color w:val="000000"/>
                <w:sz w:val="24"/>
                <w:u w:val="single"/>
              </w:rPr>
              <w:t>Eighth Floor Premises</w:t>
            </w:r>
            <w:r>
              <w:rPr>
                <w:color w:val="000000"/>
              </w:rPr>
              <w:t>”</w:t>
            </w:r>
            <w:r>
              <w:rPr>
                <w:rFonts w:ascii="Times New Roman;serif" w:hAnsi="Times New Roman;serif"/>
                <w:b w:val="false"/>
                <w:color w:val="000000"/>
                <w:sz w:val="24"/>
              </w:rPr>
              <w:t xml:space="preserve">), and (ii) the ninth (9th) floor of the Building, as approximately shown hatched on the floor plan annexed hereto as </w:t>
            </w:r>
            <w:r>
              <w:rPr>
                <w:rFonts w:ascii="Times New Roman;serif" w:hAnsi="Times New Roman;serif"/>
                <w:b w:val="false"/>
                <w:color w:val="000000"/>
                <w:sz w:val="24"/>
                <w:u w:val="single"/>
              </w:rPr>
              <w:t>Schedule A-2</w:t>
            </w:r>
            <w:r>
              <w:rPr>
                <w:rFonts w:ascii="Times New Roman;serif" w:hAnsi="Times New Roman;serif"/>
                <w:b w:val="false"/>
                <w:color w:val="000000"/>
                <w:sz w:val="24"/>
              </w:rPr>
              <w:t>, which the parties hereby conclusively agree, without representation or warranty, contains 27,040 rentable square feet (the “</w:t>
            </w:r>
            <w:r>
              <w:rPr>
                <w:rFonts w:ascii="Times New Roman;serif" w:hAnsi="Times New Roman;serif"/>
                <w:b w:val="false"/>
                <w:color w:val="000000"/>
                <w:sz w:val="24"/>
                <w:u w:val="single"/>
              </w:rPr>
              <w:t>Ninth Floor Premises</w:t>
            </w:r>
            <w:r>
              <w:rPr>
                <w:color w:val="000000"/>
              </w:rPr>
              <w:t>”</w:t>
            </w:r>
            <w:r>
              <w:rPr>
                <w:rFonts w:ascii="Times New Roman;serif" w:hAnsi="Times New Roman;serif"/>
                <w:b w:val="false"/>
                <w:color w:val="000000"/>
                <w:sz w:val="24"/>
              </w:rPr>
              <w:t>; the Eighth Floor Premises, together with the Ninth Floor Premises, collectively, the “</w:t>
            </w:r>
            <w:r>
              <w:rPr>
                <w:rFonts w:ascii="Times New Roman;serif" w:hAnsi="Times New Roman;serif"/>
                <w:b w:val="false"/>
                <w:color w:val="000000"/>
                <w:sz w:val="24"/>
                <w:u w:val="single"/>
              </w:rPr>
              <w:t>Premises</w:t>
            </w:r>
            <w:r>
              <w:rPr>
                <w:color w:val="000000"/>
              </w:rPr>
              <w:t>”</w:t>
            </w:r>
            <w:r>
              <w:rPr>
                <w:rFonts w:ascii="Times New Roman;serif" w:hAnsi="Times New Roman;serif"/>
                <w:b w:val="false"/>
                <w:color w:val="000000"/>
                <w:sz w:val="24"/>
              </w:rPr>
              <w: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(2)</w:t>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Commencement Date:</w:t>
            </w:r>
          </w:p>
        </w:tc>
        <w:tc>
          <w:tcPr>
            <w:tcW w:w="8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May 1, 2030.</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(3)</w:t>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Rent Commencement Date:</w:t>
            </w:r>
          </w:p>
        </w:tc>
        <w:tc>
          <w:tcPr>
            <w:tcW w:w="8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July 1, 2031.</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(4)</w:t>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Fixed Expiration Date:</w:t>
            </w:r>
          </w:p>
        </w:tc>
        <w:tc>
          <w:tcPr>
            <w:tcW w:w="8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June 30, 2038.</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(5)</w:t>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w:t>
            </w:r>
          </w:p>
        </w:tc>
        <w:tc>
          <w:tcPr>
            <w:tcW w:w="8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Eight (8) Years and Two (2) Months from the Commencement Date through and including the Fixed Expiration Date.</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(6)</w:t>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Fixed Rent:</w:t>
            </w:r>
          </w:p>
        </w:tc>
        <w:tc>
          <w:tcPr>
            <w:tcW w:w="809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(a)    $4,596,800.00 per annum ($383,066.67 per month) from the Rent Commencement Date through and including the day immediately preceding the fifth (5th) anniversary of the Rent Commencement Date; and</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(b)    $4,921,280.00 per annum ($410,106.67 per month) from the fifth (5th) anniversary of the Rent Commencement Date through and including the Fixed Expiration Date.</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(7)</w:t>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Tenant’s Share:</w:t>
            </w:r>
          </w:p>
        </w:tc>
        <w:tc>
          <w:tcPr>
            <w:tcW w:w="809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8.024% (</w:t>
            </w:r>
            <w:r>
              <w:rPr>
                <w:rFonts w:ascii="Times New Roman;serif" w:hAnsi="Times New Roman;serif"/>
                <w:b w:val="false"/>
                <w:i/>
                <w:color w:val="000000"/>
                <w:sz w:val="24"/>
              </w:rPr>
              <w:t>i.e.</w:t>
            </w:r>
            <w:r>
              <w:rPr>
                <w:rFonts w:ascii="Times New Roman;serif" w:hAnsi="Times New Roman;serif"/>
                <w:b w:val="false"/>
                <w:color w:val="000000"/>
                <w:sz w:val="24"/>
              </w:rPr>
              <w:t>, 4.012% applicable to the Eighth Floor Premises and 4.012% applicable to the Ninth Floor Premises).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(8)</w:t>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Base Tax Factor:</w:t>
            </w:r>
          </w:p>
        </w:tc>
        <w:tc>
          <w:tcPr>
            <w:tcW w:w="809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The Taxes payable for the Tax Year beginning July 1, 2030 and ending on June 30, 2031 (the “</w:t>
            </w:r>
            <w:r>
              <w:rPr>
                <w:rFonts w:ascii="Times New Roman;serif" w:hAnsi="Times New Roman;serif"/>
                <w:b w:val="false"/>
                <w:color w:val="000000"/>
                <w:sz w:val="24"/>
                <w:u w:val="single"/>
              </w:rPr>
              <w:t>Base Tax Year</w:t>
            </w:r>
            <w:r>
              <w:rPr>
                <w:color w:val="000000"/>
              </w:rPr>
              <w:t>”</w:t>
            </w:r>
            <w:r>
              <w:rPr>
                <w:rFonts w:ascii="Times New Roman;serif" w:hAnsi="Times New Roman;serif"/>
                <w:b w:val="false"/>
                <w:color w:val="000000"/>
                <w:sz w:val="24"/>
              </w:rPr>
              <w: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0520"/>
                <wp:effectExtent l="0" t="0" r="0" b="0"/>
                <wp:wrapNone/>
                <wp:docPr id="116"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9"/>
        <w:gridCol w:w="147"/>
        <w:gridCol w:w="149"/>
        <w:gridCol w:w="836"/>
        <w:gridCol w:w="651"/>
        <w:gridCol w:w="653"/>
        <w:gridCol w:w="2412"/>
        <w:gridCol w:w="2140"/>
        <w:gridCol w:w="3048"/>
      </w:tblGrid>
      <w:tr>
        <w:trPr/>
        <w:tc>
          <w:tcPr>
            <w:tcW w:w="1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(9)</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Base Operating Factor:</w:t>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The Operating Expenses paid or incurred with respect to the Operating Year beginning January 1, 2030 and ending on December 31, 2030 (the “</w:t>
            </w:r>
            <w:r>
              <w:rPr>
                <w:rFonts w:ascii="Times New Roman;serif" w:hAnsi="Times New Roman;serif"/>
                <w:b w:val="false"/>
                <w:color w:val="000000"/>
                <w:sz w:val="24"/>
                <w:u w:val="single"/>
              </w:rPr>
              <w:t>Base Operating Year</w:t>
            </w:r>
            <w:r>
              <w:rPr>
                <w:color w:val="000000"/>
              </w:rPr>
              <w:t>”</w:t>
            </w:r>
            <w:r>
              <w:rPr>
                <w:rFonts w:ascii="Times New Roman;serif" w:hAnsi="Times New Roman;serif"/>
                <w:b w:val="false"/>
                <w:color w:val="000000"/>
                <w:sz w:val="24"/>
              </w:rPr>
              <w:t>).</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(10)</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Permitted Use:</w:t>
            </w:r>
          </w:p>
        </w:tc>
        <w:tc>
          <w:tcPr>
            <w:tcW w:w="7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General, executive and administrative offices and all other lawful uses ancillary thereto.</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(11)</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Broker(s):</w:t>
            </w:r>
          </w:p>
        </w:tc>
        <w:tc>
          <w:tcPr>
            <w:tcW w:w="7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CBRE, Inc.</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(12)</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Security Deposit:</w:t>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$1,915,333.35, subject to reduction as set forth in </w:t>
            </w:r>
            <w:r>
              <w:rPr>
                <w:rFonts w:ascii="Times New Roman;serif" w:hAnsi="Times New Roman;serif"/>
                <w:b w:val="false"/>
                <w:color w:val="000000"/>
                <w:sz w:val="24"/>
                <w:u w:val="single"/>
              </w:rPr>
              <w:t>Article 35</w:t>
            </w:r>
            <w:r>
              <w:rPr>
                <w:color w:val="000000"/>
              </w:rPr>
              <w:t xml:space="preserve"> </w:t>
            </w:r>
            <w:r>
              <w:rPr>
                <w:rFonts w:ascii="Times New Roman;serif" w:hAnsi="Times New Roman;serif"/>
                <w:b w:val="false"/>
                <w:color w:val="000000"/>
                <w:sz w:val="24"/>
              </w:rPr>
              <w:t>hereof..</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(13)</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Tenant Improvement Allowance:</w:t>
            </w:r>
          </w:p>
        </w:tc>
        <w:tc>
          <w:tcPr>
            <w:tcW w:w="7600"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erif" w:hAnsi="Times New Roman;serif"/>
                <w:b w:val="false"/>
                <w:sz w:val="24"/>
              </w:rPr>
              <w:br/>
            </w:r>
            <w:r>
              <w:rPr>
                <w:rFonts w:ascii="Times New Roman;serif" w:hAnsi="Times New Roman;serif"/>
                <w:b w:val="false"/>
                <w:color w:val="000000"/>
                <w:sz w:val="24"/>
              </w:rPr>
              <w:t>$2,163,200.00.</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(14)</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Maximum Number of Tons:</w:t>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33 Tons, subject to increase as provided in </w:t>
            </w:r>
            <w:r>
              <w:rPr>
                <w:rFonts w:ascii="Times New Roman;serif" w:hAnsi="Times New Roman;serif"/>
                <w:b w:val="false"/>
                <w:color w:val="000000"/>
                <w:sz w:val="24"/>
                <w:u w:val="single"/>
              </w:rPr>
              <w:t>Section 28.6</w:t>
            </w:r>
            <w:r>
              <w:rPr>
                <w:color w:val="000000"/>
              </w:rPr>
              <w:t xml:space="preserve"> </w:t>
            </w:r>
            <w:r>
              <w:rPr>
                <w:rFonts w:ascii="Times New Roman;serif" w:hAnsi="Times New Roman;serif"/>
                <w:b w:val="false"/>
                <w:color w:val="000000"/>
                <w:sz w:val="24"/>
              </w:rPr>
              <w:t>in connection with the leasing of Offer Space, if applicable.</w:t>
            </w:r>
          </w:p>
        </w:tc>
      </w:tr>
    </w:tbl>
    <w:p>
      <w:pPr>
        <w:pStyle w:val="TextBody"/>
        <w:bidi w:val="0"/>
        <w:spacing w:lineRule="auto" w:line="288" w:before="0" w:after="120"/>
        <w:jc w:val="center"/>
        <w:rPr/>
      </w:pPr>
      <w:r>
        <w:rPr>
          <w:rFonts w:ascii="Times New Roman;serif" w:hAnsi="Times New Roman;serif"/>
          <w:b w:val="false"/>
          <w:color w:val="000000"/>
          <w:sz w:val="24"/>
          <w:u w:val="single"/>
        </w:rPr>
        <w:t>W</w:t>
      </w:r>
      <w:r>
        <w:rPr>
          <w:color w:val="000000"/>
        </w:rPr>
        <w:t xml:space="preserve">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u w:val="single"/>
        </w:rPr>
        <w:t>T</w:t>
      </w:r>
      <w:r>
        <w:rPr>
          <w:color w:val="000000"/>
        </w:rPr>
        <w:t xml:space="preserve"> </w:t>
      </w:r>
      <w:r>
        <w:rPr>
          <w:rFonts w:ascii="Times New Roman;serif" w:hAnsi="Times New Roman;serif"/>
          <w:b w:val="false"/>
          <w:color w:val="000000"/>
          <w:sz w:val="24"/>
          <w:u w:val="single"/>
        </w:rPr>
        <w:t>N</w:t>
      </w:r>
      <w:r>
        <w:rPr>
          <w:color w:val="000000"/>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u w:val="single"/>
        </w:rPr>
        <w:t>T</w:t>
      </w:r>
      <w:r>
        <w:rPr>
          <w:color w:val="000000"/>
        </w:rPr>
        <w:t xml:space="preserve"> </w:t>
      </w:r>
      <w:r>
        <w:rPr>
          <w:rFonts w:ascii="Times New Roman;serif" w:hAnsi="Times New Roman;serif"/>
          <w:b w:val="false"/>
          <w:color w:val="000000"/>
          <w:sz w:val="24"/>
          <w:u w:val="single"/>
        </w:rPr>
        <w:t>H</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for themselves, their legal representatives, successors and assigns, hereby agree as follows:</w:t>
      </w:r>
    </w:p>
    <w:p>
      <w:pPr>
        <w:pStyle w:val="TextBody"/>
        <w:bidi w:val="0"/>
        <w:spacing w:lineRule="auto" w:line="556" w:before="0" w:after="0"/>
        <w:jc w:val="center"/>
        <w:rPr/>
      </w:pPr>
      <w:r>
        <w:rPr>
          <w:rFonts w:ascii="Times New Roman;serif" w:hAnsi="Times New Roman;serif"/>
          <w:b w:val="false"/>
          <w:color w:val="000000"/>
          <w:sz w:val="24"/>
        </w:rPr>
        <w:t>ARTICLE 1</w:t>
        <w:br/>
      </w:r>
      <w:r>
        <w:rPr>
          <w:rFonts w:ascii="Times New Roman;serif" w:hAnsi="Times New Roman;serif"/>
          <w:b w:val="false"/>
          <w:color w:val="000000"/>
          <w:sz w:val="24"/>
          <w:u w:val="single"/>
        </w:rPr>
        <w:t>GLOSSARY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terms shall have the meanings indicated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AAA</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3.5(B)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ADA</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9.1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Additional Rent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Administrative Code</w:t>
      </w:r>
      <w:r>
        <w:rPr>
          <w:color w:val="000000"/>
        </w:rPr>
        <w:t xml:space="preserve">” </w:t>
      </w:r>
      <w:r>
        <w:rPr>
          <w:rFonts w:ascii="Times New Roman;serif" w:hAnsi="Times New Roman;serif"/>
          <w:b w:val="false"/>
          <w:color w:val="000000"/>
          <w:sz w:val="24"/>
        </w:rPr>
        <w:t>shall mean the Administrative Code of the City of New York,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Alterations</w:t>
      </w:r>
      <w:r>
        <w:rPr>
          <w:color w:val="000000"/>
        </w:rPr>
        <w:t xml:space="preserve">” </w:t>
      </w:r>
      <w:r>
        <w:rPr>
          <w:rFonts w:ascii="Times New Roman;serif" w:hAnsi="Times New Roman;serif"/>
          <w:b w:val="false"/>
          <w:color w:val="000000"/>
          <w:sz w:val="24"/>
        </w:rPr>
        <w:t>shall mean alterations, decorations, installations, repairs, improvements, additions, replacements or other physical changes in or about the Premises.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Applicable Rate</w:t>
      </w:r>
      <w:r>
        <w:rPr>
          <w:color w:val="000000"/>
        </w:rPr>
        <w:t xml:space="preserve">” </w:t>
      </w:r>
      <w:r>
        <w:rPr>
          <w:rFonts w:ascii="Times New Roman;serif" w:hAnsi="Times New Roman;serif"/>
          <w:b w:val="false"/>
          <w:color w:val="000000"/>
          <w:sz w:val="24"/>
        </w:rPr>
        <w:t>shall mean the lesser of (x) three (3) percentage points above the then current Base Rate, and (y) the maximum rate permitted by applicable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Approved Examiner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3.5(A)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ASHRAE</w:t>
      </w:r>
      <w:r>
        <w:rPr>
          <w:color w:val="000000"/>
        </w:rPr>
        <w:t xml:space="preserve">” </w:t>
      </w:r>
      <w:r>
        <w:rPr>
          <w:rFonts w:ascii="Times New Roman;serif" w:hAnsi="Times New Roman;serif"/>
          <w:b w:val="false"/>
          <w:color w:val="000000"/>
          <w:sz w:val="24"/>
        </w:rPr>
        <w:t>shall mean the American Society of Heating, Refrigeration and Air-Conditioning Engineers.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Bankruptcy Code</w:t>
      </w:r>
      <w:r>
        <w:rPr>
          <w:color w:val="000000"/>
        </w:rPr>
        <w:t xml:space="preserve">” </w:t>
      </w:r>
      <w:r>
        <w:rPr>
          <w:rFonts w:ascii="Times New Roman;serif" w:hAnsi="Times New Roman;serif"/>
          <w:b w:val="false"/>
          <w:color w:val="000000"/>
          <w:sz w:val="24"/>
        </w:rPr>
        <w:t xml:space="preserve">shall mean 11 U.S.C. Section 101 </w:t>
      </w:r>
      <w:r>
        <w:rPr>
          <w:rFonts w:ascii="Times New Roman;serif" w:hAnsi="Times New Roman;serif"/>
          <w:b w:val="false"/>
          <w:i/>
          <w:color w:val="000000"/>
          <w:sz w:val="24"/>
        </w:rPr>
        <w:t>et seq</w:t>
      </w:r>
      <w:r>
        <w:rPr>
          <w:rFonts w:ascii="Times New Roman;serif" w:hAnsi="Times New Roman;serif"/>
          <w:b w:val="false"/>
          <w:color w:val="000000"/>
          <w:sz w:val="24"/>
        </w:rPr>
        <w:t>., or any statute, federal or state, of similar nature and purpose.</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Base Rate</w:t>
      </w:r>
      <w:r>
        <w:rPr>
          <w:color w:val="000000"/>
        </w:rPr>
        <w:t xml:space="preserve">” </w:t>
      </w:r>
      <w:r>
        <w:rPr>
          <w:rFonts w:ascii="Times New Roman;serif" w:hAnsi="Times New Roman;serif"/>
          <w:b w:val="false"/>
          <w:color w:val="000000"/>
          <w:sz w:val="24"/>
        </w:rPr>
        <w:t>shall mean the rate of interest publicly announced from time to time by Citibank, N.A., or its successor, as its “base rate” (or such other term as may be used by Citibank, N.A., from time to time, for the rate presently referred to as its “base rate”).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BID Charges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3.1(C)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Building</w:t>
      </w:r>
      <w:r>
        <w:rPr>
          <w:color w:val="000000"/>
        </w:rPr>
        <w:t xml:space="preserve">” </w:t>
      </w:r>
      <w:r>
        <w:rPr>
          <w:rFonts w:ascii="Times New Roman;serif" w:hAnsi="Times New Roman;serif"/>
          <w:b w:val="false"/>
          <w:color w:val="000000"/>
          <w:sz w:val="24"/>
        </w:rPr>
        <w:t>shall mean the buildings, equipment and other improvements and appurtenances of every kind and description now located or hereafter erected, constructed or placed upon the Land and any and all alterations, renewals, and replacements thereof, additions thereto and substitutions therefor.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Building Insurance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12.2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Building Systems</w:t>
      </w:r>
      <w:r>
        <w:rPr>
          <w:color w:val="000000"/>
        </w:rPr>
        <w:t xml:space="preserve">” </w:t>
      </w:r>
      <w:r>
        <w:rPr>
          <w:rFonts w:ascii="Times New Roman;serif" w:hAnsi="Times New Roman;serif"/>
          <w:b w:val="false"/>
          <w:color w:val="000000"/>
          <w:sz w:val="24"/>
        </w:rPr>
        <w:t>shall mean the base building mechanical, electrical, sanitary, heating, air conditioning, ventilating, elevator, plumbing, life-safety and other service systems of the Building, but shall not include (i) installations made by Tenant or fixtures or appliances, or (ii) the horizontal distribution systems within and servicing the Premises and by which mechanical, electrical, plumbing, sanitary, heating, air conditioning, ventilating, plumbing, life-safety and other service systems of the Building are distributed from the base Building risers, feeders, panelboards, etc., for provision of such services to the Premises.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Days</w:t>
      </w:r>
      <w:r>
        <w:rPr>
          <w:color w:val="000000"/>
        </w:rPr>
        <w:t xml:space="preserve">” </w:t>
      </w:r>
      <w:r>
        <w:rPr>
          <w:rFonts w:ascii="Times New Roman;serif" w:hAnsi="Times New Roman;serif"/>
          <w:b w:val="false"/>
          <w:color w:val="000000"/>
          <w:sz w:val="24"/>
        </w:rPr>
        <w:t>shall mean all days, excluding Saturdays, Sundays and Holidays.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Class E Systems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15.3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Deficiency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19.2(A)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Electricity Additional Rent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Embargoed Person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40.22(A)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Escalation Rent</w:t>
      </w:r>
      <w:r>
        <w:rPr>
          <w:color w:val="000000"/>
        </w:rPr>
        <w:t xml:space="preserve">” </w:t>
      </w:r>
      <w:r>
        <w:rPr>
          <w:rFonts w:ascii="Times New Roman;serif" w:hAnsi="Times New Roman;serif"/>
          <w:b w:val="false"/>
          <w:color w:val="000000"/>
          <w:sz w:val="24"/>
        </w:rPr>
        <w:t xml:space="preserve">shall mean payments required to be made by Tenant pursuant to </w:t>
      </w:r>
      <w:r>
        <w:rPr>
          <w:rFonts w:ascii="Times New Roman;serif" w:hAnsi="Times New Roman;serif"/>
          <w:b w:val="false"/>
          <w:color w:val="000000"/>
          <w:sz w:val="24"/>
          <w:u w:val="single"/>
        </w:rPr>
        <w:t>Article 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18.1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Expiration Date</w:t>
      </w:r>
      <w:r>
        <w:rPr>
          <w:color w:val="000000"/>
        </w:rPr>
        <w:t xml:space="preserve">” </w:t>
      </w:r>
      <w:r>
        <w:rPr>
          <w:rFonts w:ascii="Times New Roman;serif" w:hAnsi="Times New Roman;serif"/>
          <w:b w:val="false"/>
          <w:color w:val="000000"/>
          <w:sz w:val="24"/>
        </w:rPr>
        <w:t>shall mean the Fixed Expiration Date or such earlier or later date on which the Term sooner or later ends pursuant to any of the terms, conditions or covenants of this Lease or pursuant to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Fair Rental Value</w:t>
      </w:r>
      <w:r>
        <w:rPr>
          <w:color w:val="000000"/>
        </w:rPr>
        <w:t xml:space="preserve">” </w:t>
      </w:r>
      <w:r>
        <w:rPr>
          <w:rFonts w:ascii="Times New Roman;serif" w:hAnsi="Times New Roman;serif"/>
          <w:b w:val="false"/>
          <w:color w:val="000000"/>
          <w:sz w:val="24"/>
        </w:rPr>
        <w:t xml:space="preserve">shall mean the rental rate per annum determined at the applicable times set forth in </w:t>
      </w:r>
      <w:r>
        <w:rPr>
          <w:rFonts w:ascii="Times New Roman;serif" w:hAnsi="Times New Roman;serif"/>
          <w:b w:val="false"/>
          <w:color w:val="000000"/>
          <w:sz w:val="24"/>
          <w:u w:val="single"/>
        </w:rPr>
        <w:t>Articles 41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42</w:t>
      </w:r>
      <w:r>
        <w:rPr>
          <w:rFonts w:ascii="Times New Roman;serif" w:hAnsi="Times New Roman;serif"/>
          <w:b w:val="false"/>
          <w:color w:val="000000"/>
          <w:sz w:val="24"/>
        </w:rPr>
        <w:t xml:space="preserve">, for vacant space in buildings of comparable quality and age to the Building and located in the immediate vicinity of the Building for tenants of comparable credit quality and stature leasing space containing rentable square footage comparable to the rentable square footage in the relevant transaction. Except as otherwise set forth in </w:t>
      </w:r>
      <w:r>
        <w:rPr>
          <w:rFonts w:ascii="Times New Roman;serif" w:hAnsi="Times New Roman;serif"/>
          <w:b w:val="false"/>
          <w:color w:val="000000"/>
          <w:sz w:val="24"/>
          <w:u w:val="single"/>
        </w:rPr>
        <w:t>Articles 41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42</w:t>
      </w:r>
      <w:r>
        <w:rPr>
          <w:rFonts w:ascii="Times New Roman;serif" w:hAnsi="Times New Roman;serif"/>
          <w:b w:val="false"/>
          <w:color w:val="000000"/>
          <w:sz w:val="24"/>
        </w:rPr>
        <w:t>, Fair Rental Value shall include all relevant factors in arriving at a so-called “net effective rental” to Landlord, whether favorable to Landlord or Tenant.</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 Authority (Authorities)</w:t>
      </w:r>
      <w:r>
        <w:rPr>
          <w:color w:val="000000"/>
        </w:rPr>
        <w:t xml:space="preserve">” </w:t>
      </w:r>
      <w:r>
        <w:rPr>
          <w:rFonts w:ascii="Times New Roman;serif" w:hAnsi="Times New Roman;serif"/>
          <w:b w:val="false"/>
          <w:color w:val="000000"/>
          <w:sz w:val="24"/>
        </w:rPr>
        <w:t>shall mean the United States of America, the State of New York, the City of New York, any political subdivision thereof and any agency, department, commission, board, bureau or instrumentality of any of the foregoing, now existing or hereafter created, having jurisdiction over the Real Property or any portion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Holidays</w:t>
      </w:r>
      <w:r>
        <w:rPr>
          <w:color w:val="000000"/>
        </w:rPr>
        <w:t xml:space="preserve">” </w:t>
      </w:r>
      <w:r>
        <w:rPr>
          <w:rFonts w:ascii="Times New Roman;serif" w:hAnsi="Times New Roman;serif"/>
          <w:b w:val="false"/>
          <w:color w:val="000000"/>
          <w:sz w:val="24"/>
        </w:rPr>
        <w:t>shall mean New Year’s Day, Martin Luther King Day, Presidents Day, Columbus Day, Memorial Day, Independence Day, Labor Day, Thanksgiving Day, the Friday immediately following Thanksgiving Day and Christmas Day, and in the case of any Building service, any days observed by the applicable labor union providing such service in the Building, provided that Landlord may designate additional Holidays that are commonly recognized.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HVAC</w:t>
      </w:r>
      <w:r>
        <w:rPr>
          <w:color w:val="000000"/>
        </w:rPr>
        <w:t xml:space="preserve">” </w:t>
      </w:r>
      <w:r>
        <w:rPr>
          <w:rFonts w:ascii="Times New Roman;serif" w:hAnsi="Times New Roman;serif"/>
          <w:b w:val="false"/>
          <w:color w:val="000000"/>
          <w:sz w:val="24"/>
        </w:rPr>
        <w:t>shall mean heat, ventilation and air conditioning.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HVAC System</w:t>
      </w:r>
      <w:r>
        <w:rPr>
          <w:color w:val="000000"/>
        </w:rPr>
        <w:t xml:space="preserve">” </w:t>
      </w:r>
      <w:r>
        <w:rPr>
          <w:rFonts w:ascii="Times New Roman;serif" w:hAnsi="Times New Roman;serif"/>
          <w:b w:val="false"/>
          <w:color w:val="000000"/>
          <w:sz w:val="24"/>
        </w:rPr>
        <w:t>shall mean the Building Systems providing HVAC.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Hazardous Materials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9.2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Indemnitees</w:t>
      </w:r>
      <w:r>
        <w:rPr>
          <w:color w:val="000000"/>
        </w:rPr>
        <w:t xml:space="preserve">” </w:t>
      </w:r>
      <w:r>
        <w:rPr>
          <w:rFonts w:ascii="Times New Roman;serif" w:hAnsi="Times New Roman;serif"/>
          <w:b w:val="false"/>
          <w:color w:val="000000"/>
          <w:sz w:val="24"/>
        </w:rPr>
        <w:t>shall mean Landlord, its trustees, partners, shareholders, officers, directors, employees, agents and contractors and the Manager (and the partners, shareholders, officers, directors and employees of Landlord’s agents and contractors and of the Manager).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Independent CPA</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3.5(B)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Issuing Bank</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35.2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Issuing Bank Criteria</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35.2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Land</w:t>
      </w:r>
      <w:r>
        <w:rPr>
          <w:color w:val="000000"/>
        </w:rPr>
        <w:t xml:space="preserve">” </w:t>
      </w:r>
      <w:r>
        <w:rPr>
          <w:rFonts w:ascii="Times New Roman;serif" w:hAnsi="Times New Roman;serif"/>
          <w:b w:val="false"/>
          <w:color w:val="000000"/>
          <w:sz w:val="24"/>
        </w:rPr>
        <w:t>shall mean the land known by the address of 1250 Broadway, New York,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Landlord</w:t>
      </w:r>
      <w:r>
        <w:rPr>
          <w:color w:val="000000"/>
        </w:rPr>
        <w:t xml:space="preserve">” </w:t>
      </w:r>
      <w:r>
        <w:rPr>
          <w:rFonts w:ascii="Times New Roman;serif" w:hAnsi="Times New Roman;serif"/>
          <w:b w:val="false"/>
          <w:color w:val="000000"/>
          <w:sz w:val="24"/>
        </w:rPr>
        <w:t>on the date as of which this Lease is made, shall mean 1250 Broadway Associates LLC, but thereafter, “Landlord” shall mean only the fee owner of the Real Property or, if there then exists a Superior Lease, the tenant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Landlord’s Operating Statement</w:t>
      </w:r>
      <w:r>
        <w:rPr>
          <w:color w:val="000000"/>
        </w:rPr>
        <w:t xml:space="preserve">” </w:t>
      </w:r>
      <w:r>
        <w:rPr>
          <w:rFonts w:ascii="Times New Roman;serif" w:hAnsi="Times New Roman;serif"/>
          <w:b w:val="false"/>
          <w:color w:val="000000"/>
          <w:sz w:val="24"/>
        </w:rPr>
        <w:t xml:space="preserve">shall mean a statement containing a computation of Escalation Rent due pursuant to the provisions of </w:t>
      </w:r>
      <w:r>
        <w:rPr>
          <w:rFonts w:ascii="Times New Roman;serif" w:hAnsi="Times New Roman;serif"/>
          <w:b w:val="false"/>
          <w:color w:val="000000"/>
          <w:sz w:val="24"/>
          <w:u w:val="single"/>
        </w:rPr>
        <w:t>Section 3.3</w:t>
      </w:r>
      <w:r>
        <w:rPr>
          <w:color w:val="000000"/>
        </w:rPr>
        <w:t xml:space="preserve"> </w:t>
      </w:r>
      <w:r>
        <w:rPr>
          <w:rFonts w:ascii="Times New Roman;serif" w:hAnsi="Times New Roman;serif"/>
          <w:b w:val="false"/>
          <w:color w:val="000000"/>
          <w:sz w:val="24"/>
        </w:rPr>
        <w:t>furnished by Landlord to Tenant.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Landlord’s Statement</w:t>
      </w:r>
      <w:r>
        <w:rPr>
          <w:color w:val="000000"/>
        </w:rPr>
        <w:t xml:space="preserve">” </w:t>
      </w:r>
      <w:r>
        <w:rPr>
          <w:rFonts w:ascii="Times New Roman;serif" w:hAnsi="Times New Roman;serif"/>
          <w:b w:val="false"/>
          <w:color w:val="000000"/>
          <w:sz w:val="24"/>
        </w:rPr>
        <w:t>shall mean either a Landlord’s Operating Statement or a Landlord’s Tax Statement.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Landlord’s Tax Statement</w:t>
      </w:r>
      <w:r>
        <w:rPr>
          <w:color w:val="000000"/>
        </w:rPr>
        <w:t xml:space="preserve">” </w:t>
      </w:r>
      <w:r>
        <w:rPr>
          <w:rFonts w:ascii="Times New Roman;serif" w:hAnsi="Times New Roman;serif"/>
          <w:b w:val="false"/>
          <w:color w:val="000000"/>
          <w:sz w:val="24"/>
        </w:rPr>
        <w:t xml:space="preserve">shall mean a statement containing a computation of Escalation Rent due pursuant to the provisions of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furnished by Landlord to Tenant.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Lessor(s)</w:t>
      </w:r>
      <w:r>
        <w:rPr>
          <w:color w:val="000000"/>
        </w:rPr>
        <w:t xml:space="preserve">” </w:t>
      </w:r>
      <w:r>
        <w:rPr>
          <w:rFonts w:ascii="Times New Roman;serif" w:hAnsi="Times New Roman;serif"/>
          <w:b w:val="false"/>
          <w:color w:val="000000"/>
          <w:sz w:val="24"/>
        </w:rPr>
        <w:t>shall mean a lessor under a Superior Lease.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Letter of Credit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35.2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List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40.22(A)</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Manager</w:t>
      </w:r>
      <w:r>
        <w:rPr>
          <w:color w:val="000000"/>
        </w:rPr>
        <w:t xml:space="preserve">” </w:t>
      </w:r>
      <w:r>
        <w:rPr>
          <w:rFonts w:ascii="Times New Roman;serif" w:hAnsi="Times New Roman;serif"/>
          <w:b w:val="false"/>
          <w:color w:val="000000"/>
          <w:sz w:val="24"/>
        </w:rPr>
        <w:t>shall mean Global Holdings Management Group (US) Inc., or any successor contractor under Landlord’s contract for the management of the Building.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Mortgage(s)</w:t>
      </w:r>
      <w:r>
        <w:rPr>
          <w:color w:val="000000"/>
        </w:rPr>
        <w:t xml:space="preserve">” </w:t>
      </w:r>
      <w:r>
        <w:rPr>
          <w:rFonts w:ascii="Times New Roman;serif" w:hAnsi="Times New Roman;serif"/>
          <w:b w:val="false"/>
          <w:color w:val="000000"/>
          <w:sz w:val="24"/>
        </w:rPr>
        <w:t>shall mean any trust indenture or mortgage which may now or hereafter affect the Real Property, the Building or any Superior Lease and the leasehold interest created thereby, and all renewals, extensions, supplements, amendments, modifications, consolidations and replacements thereof or thereto, substitutions therefor, and advances made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Mortgagee(s)</w:t>
      </w:r>
      <w:r>
        <w:rPr>
          <w:color w:val="000000"/>
        </w:rPr>
        <w:t xml:space="preserve">” </w:t>
      </w:r>
      <w:r>
        <w:rPr>
          <w:rFonts w:ascii="Times New Roman;serif" w:hAnsi="Times New Roman;serif"/>
          <w:b w:val="false"/>
          <w:color w:val="000000"/>
          <w:sz w:val="24"/>
        </w:rPr>
        <w:t>shall mean any trustee under or mortgagee or holder of a Mortgage.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Non-Renewal Notice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35.2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Notice(s)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27.1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40.22(A)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Operating Expenses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Operating Hours</w:t>
      </w:r>
      <w:r>
        <w:rPr>
          <w:color w:val="000000"/>
        </w:rPr>
        <w:t xml:space="preserve">” </w:t>
      </w:r>
      <w:r>
        <w:rPr>
          <w:rFonts w:ascii="Times New Roman;serif" w:hAnsi="Times New Roman;serif"/>
          <w:b w:val="false"/>
          <w:color w:val="000000"/>
          <w:sz w:val="24"/>
        </w:rPr>
        <w:t>shall mean 8:00 a.m. to 8:00 p.m. on Business Days.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Operating Year</w:t>
      </w:r>
      <w:r>
        <w:rPr>
          <w:color w:val="000000"/>
        </w:rPr>
        <w:t xml:space="preserve">” </w:t>
      </w:r>
      <w:r>
        <w:rPr>
          <w:rFonts w:ascii="Times New Roman;serif" w:hAnsi="Times New Roman;serif"/>
          <w:b w:val="false"/>
          <w:color w:val="000000"/>
          <w:sz w:val="24"/>
        </w:rPr>
        <w:t>shall mean each calendar year that includes any part of the Term.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Overtime Periods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28.2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Partnership Tenant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29.1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Person(s) or person(s)</w:t>
      </w:r>
      <w:r>
        <w:rPr>
          <w:color w:val="000000"/>
        </w:rPr>
        <w:t xml:space="preserve">” </w:t>
      </w:r>
      <w:r>
        <w:rPr>
          <w:rFonts w:ascii="Times New Roman;serif" w:hAnsi="Times New Roman;serif"/>
          <w:b w:val="false"/>
          <w:color w:val="000000"/>
          <w:sz w:val="24"/>
        </w:rPr>
        <w:t>shall mean any natural person or persons, a partnership, a corporation and any other form of business or legal association or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Persons Within Tenant’s Control</w:t>
      </w:r>
      <w:r>
        <w:rPr>
          <w:color w:val="000000"/>
        </w:rPr>
        <w:t xml:space="preserve">” </w:t>
      </w:r>
      <w:r>
        <w:rPr>
          <w:rFonts w:ascii="Times New Roman;serif" w:hAnsi="Times New Roman;serif"/>
          <w:b w:val="false"/>
          <w:color w:val="000000"/>
          <w:sz w:val="24"/>
        </w:rPr>
        <w:t>shall mean and include Tenant, all of Tenant’s respective principals, officers, agents, contractors, servants, employees, licensees and invitees.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Prohibited Person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40.22(B)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Real Property</w:t>
      </w:r>
      <w:r>
        <w:rPr>
          <w:color w:val="000000"/>
        </w:rPr>
        <w:t xml:space="preserve">” </w:t>
      </w:r>
      <w:r>
        <w:rPr>
          <w:rFonts w:ascii="Times New Roman;serif" w:hAnsi="Times New Roman;serif"/>
          <w:b w:val="false"/>
          <w:color w:val="000000"/>
          <w:sz w:val="24"/>
        </w:rPr>
        <w:t>shall mean the Building and the Land.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Recapture Space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15.4(B)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Recapture Sublease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15.4(C)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Recapture Subtenant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15.4(C)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Rental</w:t>
      </w:r>
      <w:r>
        <w:rPr>
          <w:color w:val="000000"/>
        </w:rPr>
        <w:t xml:space="preserve">” </w:t>
      </w:r>
      <w:r>
        <w:rPr>
          <w:rFonts w:ascii="Times New Roman;serif" w:hAnsi="Times New Roman;serif"/>
          <w:b w:val="false"/>
          <w:color w:val="000000"/>
          <w:sz w:val="24"/>
        </w:rPr>
        <w:t>shall mean and be deemed to include Fixed Rent, Additional Rent and any other sums payable by Tenant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Requirements</w:t>
      </w:r>
      <w:r>
        <w:rPr>
          <w:color w:val="000000"/>
        </w:rPr>
        <w:t xml:space="preserve">” </w:t>
      </w:r>
      <w:r>
        <w:rPr>
          <w:rFonts w:ascii="Times New Roman;serif" w:hAnsi="Times New Roman;serif"/>
          <w:b w:val="false"/>
          <w:color w:val="000000"/>
          <w:sz w:val="24"/>
        </w:rPr>
        <w:t xml:space="preserve">shall mean (i) all present and future laws, rules, ordinances, regulations, statutes, requirements, codes and executive orders, extraordinary as well as ordinary, retroactive and prospective, of all Government Authorities now existing or hereafter created, and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fire rating bureau, or other body exercising similar functions, affecting the Real Property, or any street, avenue or sidewalk comprising a part or in front thereof or any vault in or under the same, or requiring removal of any encroachment, or affecting the maintenance, use or occupation of the Real Property, (ii) all requirements, obligations and conditions of all instruments of record on the date of this Lease, and (iii) all requirements, obligations and conditions imposed by the carrier of Landlord’s hazard insurance policy for the Building.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Rules and Regulations</w:t>
      </w:r>
      <w:r>
        <w:rPr>
          <w:color w:val="000000"/>
        </w:rPr>
        <w:t xml:space="preserve">” </w:t>
      </w:r>
      <w:r>
        <w:rPr>
          <w:rFonts w:ascii="Times New Roman;serif" w:hAnsi="Times New Roman;serif"/>
          <w:b w:val="false"/>
          <w:color w:val="000000"/>
          <w:sz w:val="24"/>
        </w:rPr>
        <w:t xml:space="preserve">shall mean the rules and regulations annexed hereto as </w:t>
      </w:r>
      <w:r>
        <w:rPr>
          <w:rFonts w:ascii="Times New Roman;serif" w:hAnsi="Times New Roman;serif"/>
          <w:b w:val="false"/>
          <w:color w:val="000000"/>
          <w:sz w:val="24"/>
          <w:u w:val="single"/>
        </w:rPr>
        <w:t>Schedule E</w:t>
      </w:r>
      <w:r>
        <w:rPr>
          <w:rFonts w:ascii="Times New Roman;serif" w:hAnsi="Times New Roman;serif"/>
          <w:b w:val="false"/>
          <w:color w:val="000000"/>
          <w:sz w:val="24"/>
        </w:rPr>
        <w:t>, and such other and further reasonable rules and regulations as Landlord and Landlord’s agents may from time to time adopt, on notice to Tenant to be given in accordance with the terms of this Lease. The parties agree that rules and regulations which are designed for the safety or security of occupants of the Building, property in the Building or the Building itself shall be deemed to be reasonable, including without limitation, rules requiring tenants to cause their mail to be opened outside the Building and irradiated or otherwise cleaned before being brought into the Building.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Specialty Alterations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6.1(C)</w:t>
      </w:r>
      <w:r>
        <w:rPr>
          <w:rFonts w:ascii="Times New Roman;serif" w:hAnsi="Times New Roman;serif"/>
          <w:b w:val="false"/>
          <w:color w:val="000000"/>
          <w:sz w:val="24"/>
        </w:rPr>
        <w:t>, and without limiting anything to the contrary set forth therein, shall include, without limitation, all Alterations located outside of the Premises (if any), and any kitchens (as opposed to pantries), vaults, safes, shower facilities, fitness centers, private or executive restrooms, raised or reinforced flooring or subflooring structures, floor penetrations, stone flooring, structural reinforcements, auditoria, dumbwaiters, conveyors, main frame computer centers, copying centers for third-party commercial production, libraries, electrical and telecommunications risers, conduits and lines, supplemental HVAC equipment, back-up energy supply systems, generators, fuel tanks and UPS equipment and any internal staircases.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Sublease Additional Rent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15.5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Sublease or Assignment Statement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15.4(B)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Substantially Completed</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Substantial Completion</w:t>
      </w:r>
      <w:r>
        <w:rPr>
          <w:color w:val="000000"/>
        </w:rPr>
        <w:t xml:space="preserve">” </w:t>
      </w:r>
      <w:r>
        <w:rPr>
          <w:rFonts w:ascii="Times New Roman;serif" w:hAnsi="Times New Roman;serif"/>
          <w:b w:val="false"/>
          <w:color w:val="000000"/>
          <w:sz w:val="24"/>
        </w:rPr>
        <w:t xml:space="preserve">shall, whenever used in this Lease with respect to work to be performed by Landlord, be deemed to mean that stage of the progress of such work as shall enable Tenant to have (a) the services to be provided to Tenant pursuant to </w:t>
      </w:r>
      <w:r>
        <w:rPr>
          <w:rFonts w:ascii="Times New Roman;serif" w:hAnsi="Times New Roman;serif"/>
          <w:b w:val="false"/>
          <w:color w:val="000000"/>
          <w:sz w:val="24"/>
          <w:u w:val="single"/>
        </w:rPr>
        <w:t>Article 28</w:t>
      </w:r>
      <w:r>
        <w:rPr>
          <w:color w:val="000000"/>
        </w:rPr>
        <w:t xml:space="preserve"> </w:t>
      </w:r>
      <w:r>
        <w:rPr>
          <w:rFonts w:ascii="Times New Roman;serif" w:hAnsi="Times New Roman;serif"/>
          <w:b w:val="false"/>
          <w:color w:val="000000"/>
          <w:sz w:val="24"/>
        </w:rPr>
        <w:t>hereof, and (b) access to the Premises to permit Tenant’s use and occupancy of the Premises without material interference by reason of the completion of unfinished details of work to be performed by Landlord.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Superior Lease(s)</w:t>
      </w:r>
      <w:r>
        <w:rPr>
          <w:color w:val="000000"/>
        </w:rPr>
        <w:t xml:space="preserve">” </w:t>
      </w:r>
      <w:r>
        <w:rPr>
          <w:rFonts w:ascii="Times New Roman;serif" w:hAnsi="Times New Roman;serif"/>
          <w:b w:val="false"/>
          <w:color w:val="000000"/>
          <w:sz w:val="24"/>
        </w:rPr>
        <w:t>shall mean all ground or underlying leases of the Real Property or the Building heretofore or hereafter made by Landlord and all renewals, extensions, supplements and modifications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 Year</w:t>
      </w:r>
      <w:r>
        <w:rPr>
          <w:color w:val="000000"/>
        </w:rPr>
        <w:t xml:space="preserve">” </w:t>
      </w:r>
      <w:r>
        <w:rPr>
          <w:rFonts w:ascii="Times New Roman;serif" w:hAnsi="Times New Roman;serif"/>
          <w:b w:val="false"/>
          <w:color w:val="000000"/>
          <w:sz w:val="24"/>
        </w:rPr>
        <w:t>shall mean each period of twelve (12) months, commencing on the first day of July of each year, that includes any part of the Term, or such other period of twelve (12) months as may be duly adopted as the fiscal year for real estate tax purposes by the City of New York.</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Tenant</w:t>
      </w:r>
      <w:r>
        <w:rPr>
          <w:color w:val="000000"/>
        </w:rPr>
        <w:t>”</w:t>
      </w:r>
      <w:r>
        <w:rPr>
          <w:rFonts w:ascii="Times New Roman;serif" w:hAnsi="Times New Roman;serif"/>
          <w:b w:val="false"/>
          <w:color w:val="000000"/>
          <w:sz w:val="24"/>
        </w:rPr>
        <w:t>, on the date as of which this Lease is made, shall mean the Tenant named in this Lease, but thereafter “Tenant” shall mean only the tenant under this Lease at the time in question; provided, however, that the Tenant named in this Lease and any successor tenant hereunder shall not be released from liability hereunder in the event of any assignment of this Lease.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Tenant’s BID Payment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Tenant’s Operating Payment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Tenant’s Projected Operating Share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3.3(B)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Tenant’s Property</w:t>
      </w:r>
      <w:r>
        <w:rPr>
          <w:color w:val="000000"/>
        </w:rPr>
        <w:t xml:space="preserve">” </w:t>
      </w:r>
      <w:r>
        <w:rPr>
          <w:rFonts w:ascii="Times New Roman;serif" w:hAnsi="Times New Roman;serif"/>
          <w:b w:val="false"/>
          <w:color w:val="000000"/>
          <w:sz w:val="24"/>
        </w:rPr>
        <w:t>shall mean Tenant’s movable fixtures and movable partitions, telephone and other equipment, furniture, furnishings and other movable items of personal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Tenant’s Tax Payment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Unavoidable Delays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26.1</w:t>
      </w:r>
      <w:r>
        <w:rPr>
          <w:rFonts w:ascii="Times New Roman;serif" w:hAnsi="Times New Roman;serif"/>
          <w:b w:val="false"/>
          <w:color w:val="000000"/>
          <w:sz w:val="24"/>
        </w:rPr>
        <w:t>.</w:t>
      </w:r>
    </w:p>
    <w:p>
      <w:pPr>
        <w:pStyle w:val="TextBody"/>
        <w:bidi w:val="0"/>
        <w:spacing w:lineRule="auto" w:line="556" w:before="120" w:after="283"/>
        <w:jc w:val="center"/>
        <w:rPr/>
      </w:pPr>
      <w:r>
        <w:rPr>
          <w:rFonts w:ascii="Times New Roman;serif" w:hAnsi="Times New Roman;serif"/>
          <w:b w:val="false"/>
          <w:color w:val="000000"/>
          <w:sz w:val="24"/>
        </w:rPr>
        <w:t>ARTICLE 2</w:t>
        <w:br/>
      </w:r>
      <w:r>
        <w:rPr>
          <w:rFonts w:ascii="Times New Roman;serif" w:hAnsi="Times New Roman;serif"/>
          <w:b w:val="false"/>
          <w:color w:val="000000"/>
          <w:sz w:val="24"/>
          <w:u w:val="single"/>
        </w:rPr>
        <w:t>DEMISE, PREMISES, TERM, RENT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     (A)     Landlord hereby leases to Tenant and Tenant hereby hires from Landlord the Premises for the Term to commence, subject to </w:t>
      </w:r>
      <w:r>
        <w:rPr>
          <w:rFonts w:ascii="Times New Roman;serif" w:hAnsi="Times New Roman;serif"/>
          <w:b w:val="false"/>
          <w:color w:val="000000"/>
          <w:sz w:val="24"/>
          <w:u w:val="single"/>
        </w:rPr>
        <w:t>Article 23</w:t>
      </w:r>
      <w:r>
        <w:rPr>
          <w:rFonts w:ascii="Times New Roman;serif" w:hAnsi="Times New Roman;serif"/>
          <w:b w:val="false"/>
          <w:color w:val="000000"/>
          <w:sz w:val="24"/>
        </w:rPr>
        <w:t>, on the Commencement Date and to end on the Fixed Expiration Date, unless earlier terminated or extended as provided herein.</w:t>
      </w:r>
    </w:p>
    <w:p>
      <w:pPr>
        <w:pStyle w:val="TextBody"/>
        <w:bidi w:val="0"/>
        <w:spacing w:lineRule="auto" w:line="288" w:before="0" w:after="240"/>
        <w:ind w:left="0" w:right="0" w:firstLine="2160"/>
        <w:jc w:val="both"/>
        <w:rPr/>
      </w:pPr>
      <w:r>
        <w:rPr>
          <w:rFonts w:ascii="Times New Roman;serif" w:hAnsi="Times New Roman;serif"/>
          <w:b w:val="false"/>
          <w:color w:val="000000"/>
          <w:sz w:val="24"/>
        </w:rPr>
        <w:t>(B)     Tenant acknowledges that Tenant is in possession of and familiar with the condition of the Premises pursuant to a sublease, as amended, from Zillow Group, Inc. (“</w:t>
      </w:r>
      <w:r>
        <w:rPr>
          <w:rFonts w:ascii="Times New Roman;serif" w:hAnsi="Times New Roman;serif"/>
          <w:b w:val="false"/>
          <w:color w:val="000000"/>
          <w:sz w:val="24"/>
          <w:u w:val="single"/>
        </w:rPr>
        <w:t>Zillow</w:t>
      </w:r>
      <w:r>
        <w:rPr>
          <w:color w:val="000000"/>
        </w:rPr>
        <w:t>”</w:t>
      </w:r>
      <w:r>
        <w:rPr>
          <w:rFonts w:ascii="Times New Roman;serif" w:hAnsi="Times New Roman;serif"/>
          <w:b w:val="false"/>
          <w:color w:val="000000"/>
          <w:sz w:val="24"/>
        </w:rPr>
        <w:t>) expiring on April 29, 2030 (the “</w:t>
      </w:r>
      <w:r>
        <w:rPr>
          <w:rFonts w:ascii="Times New Roman;serif" w:hAnsi="Times New Roman;serif"/>
          <w:b w:val="false"/>
          <w:color w:val="000000"/>
          <w:sz w:val="24"/>
          <w:u w:val="single"/>
        </w:rPr>
        <w:t>Existing Sublease</w:t>
      </w:r>
      <w:r>
        <w:rPr>
          <w:color w:val="000000"/>
        </w:rPr>
        <w:t>”</w:t>
      </w:r>
      <w:r>
        <w:rPr>
          <w:rFonts w:ascii="Times New Roman;serif" w:hAnsi="Times New Roman;serif"/>
          <w:b w:val="false"/>
          <w:color w:val="000000"/>
          <w:sz w:val="24"/>
        </w:rPr>
        <w:t>). Upon the execution and delivery of this Lease by the parties hereto, the Existing Sublease shall be deemed to have been extended by one day to April 30, 2030 (the “</w:t>
      </w:r>
      <w:r>
        <w:rPr>
          <w:rFonts w:ascii="Times New Roman;serif" w:hAnsi="Times New Roman;serif"/>
          <w:b w:val="false"/>
          <w:color w:val="000000"/>
          <w:sz w:val="24"/>
          <w:u w:val="single"/>
        </w:rPr>
        <w:t>Existing Sublease Extension</w:t>
      </w:r>
      <w:r>
        <w:rPr>
          <w:color w:val="000000"/>
        </w:rPr>
        <w:t>”</w:t>
      </w:r>
      <w:r>
        <w:rPr>
          <w:rFonts w:ascii="Times New Roman;serif" w:hAnsi="Times New Roman;serif"/>
          <w:b w:val="false"/>
          <w:color w:val="000000"/>
          <w:sz w:val="24"/>
        </w:rPr>
        <w:t>), corresponding with the expiration date for the direct lease between Landlord and Zillow (the “</w:t>
      </w:r>
      <w:r>
        <w:rPr>
          <w:rFonts w:ascii="Times New Roman;serif" w:hAnsi="Times New Roman;serif"/>
          <w:b w:val="false"/>
          <w:color w:val="000000"/>
          <w:sz w:val="24"/>
          <w:u w:val="single"/>
        </w:rPr>
        <w:t>Master Lease</w:t>
      </w:r>
      <w:r>
        <w:rPr>
          <w:color w:val="000000"/>
        </w:rPr>
        <w:t>”</w:t>
      </w:r>
      <w:r>
        <w:rPr>
          <w:rFonts w:ascii="Times New Roman;serif" w:hAnsi="Times New Roman;serif"/>
          <w:b w:val="false"/>
          <w:color w:val="000000"/>
          <w:sz w:val="24"/>
        </w:rPr>
        <w:t>), such that the Existing Sublease shall expire immediately prior to the Commencement Date. For the avoidance of doubt, Tenant shall not, upon the expiration of the Existing Sublease, be required to vacate and surrender the Premises or complete any restoration of any portion of the Premises that may be required by the Existing Sublease (or the Master Lease related thereto). Landlord hereby consents to the Existing Sublease Extension and shall execute a letter agreement to be entered into by Tenant, Zillow and Landlord to memorialize and effectuate the same.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2.2.     Tenant shall pay to Landlord, in lawful money of the United States of America, without notice or demand, by ECH transfer or by good and sufficient check drawn to the Landlord’s order on a bank or trust company with an office in the Borough of Manhattan, the City of New York, State of New York, at the office of Landlord or at such other place as Landlord may designate from time to time, the following:</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     from and after the Rent Commencement Date, the Fixed Rent, at the annual fixed rental rate set forth in the Reference Page, which shall be payable in equal monthly installments of Fixed Rent in advance on the first day of each and every calendar month during the Term;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(B)     from and after the Commencement Date, additional rent (“</w:t>
      </w:r>
      <w:r>
        <w:rPr>
          <w:rFonts w:ascii="Times New Roman;serif" w:hAnsi="Times New Roman;serif"/>
          <w:b w:val="false"/>
          <w:color w:val="000000"/>
          <w:sz w:val="24"/>
          <w:u w:val="single"/>
        </w:rPr>
        <w:t>Additional Rent</w:t>
      </w:r>
      <w:r>
        <w:rPr>
          <w:color w:val="000000"/>
        </w:rPr>
        <w:t>”</w:t>
      </w:r>
      <w:r>
        <w:rPr>
          <w:rFonts w:ascii="Times New Roman;serif" w:hAnsi="Times New Roman;serif"/>
          <w:b w:val="false"/>
          <w:color w:val="000000"/>
          <w:sz w:val="24"/>
        </w:rPr>
        <w:t xml:space="preserve">) consisting of all other sums of money (including, without limitation, Escalation Rent, subject to the terms of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hereof) as shall become due from and be payable by Tenant hereunder (for default in the payment of which Landlord shall have the same remedies as for a default in the payment of Fixed Rent).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2.3.     If the Rent Commencement Date is other than the first day of a calendar month, or the Fixed Expiration Date is other than the last day of a calendar month, Fixed Rent for such month shall be prorated on a per diem basis.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2.4.     Tenant shall pay the Fixed Rent and Additional Rent when due without abatement, deduction, counterclaim, setoff or defense for any reason whatsoever, except said abatement as may be occasioned by the occurrence of any event permitting an abatement of Fixed Rent and Escalation Rent as specifically set forth in this Lease.</w:t>
      </w:r>
    </w:p>
    <w:p>
      <w:pPr>
        <w:pStyle w:val="TextBody"/>
        <w:bidi w:val="0"/>
        <w:spacing w:lineRule="auto" w:line="556" w:before="120" w:after="283"/>
        <w:jc w:val="center"/>
        <w:rPr/>
      </w:pPr>
      <w:r>
        <w:rPr>
          <w:rFonts w:ascii="Times New Roman;serif" w:hAnsi="Times New Roman;serif"/>
          <w:b w:val="false"/>
          <w:color w:val="000000"/>
          <w:sz w:val="24"/>
        </w:rPr>
        <w:t>ARTICLE 3</w:t>
        <w:br/>
      </w:r>
      <w:r>
        <w:rPr>
          <w:rFonts w:ascii="Times New Roman;serif" w:hAnsi="Times New Roman;serif"/>
          <w:b w:val="false"/>
          <w:color w:val="000000"/>
          <w:sz w:val="24"/>
          <w:u w:val="single"/>
        </w:rPr>
        <w:t>ESCALATION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3.1.     For the purposes of this </w:t>
      </w:r>
      <w:r>
        <w:rPr>
          <w:rFonts w:ascii="Times New Roman;serif" w:hAnsi="Times New Roman;serif"/>
          <w:b w:val="false"/>
          <w:color w:val="000000"/>
          <w:sz w:val="24"/>
          <w:u w:val="single"/>
        </w:rPr>
        <w:t>Article 3</w:t>
      </w:r>
      <w:r>
        <w:rPr>
          <w:rFonts w:ascii="Times New Roman;serif" w:hAnsi="Times New Roman;serif"/>
          <w:b w:val="false"/>
          <w:color w:val="000000"/>
          <w:sz w:val="24"/>
        </w:rPr>
        <w:t>, the following terms shall have the meanings set forth below:</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Operating Expenses</w:t>
      </w:r>
      <w:r>
        <w:rPr>
          <w:color w:val="000000"/>
        </w:rPr>
        <w:t xml:space="preserve">” </w:t>
      </w:r>
      <w:r>
        <w:rPr>
          <w:rFonts w:ascii="Times New Roman;serif" w:hAnsi="Times New Roman;serif"/>
          <w:b w:val="false"/>
          <w:color w:val="000000"/>
          <w:sz w:val="24"/>
        </w:rPr>
        <w:t xml:space="preserve">shall mean the aggregate of those costs and expenses (and taxes thereon, if any) paid or incurred by Landlord or on behalf of Landlord with respect to the operation, cleaning, repair, safety, replacement, management, security and maintenance of the Real Property, Building Systems, sidewalks, curbs, plazas, and other areas adjacent to the Building, and with respect to the services provided to tenants, including, without limitation: (i) salaries, wages and bonuses paid to, and the cost of any hospitalization, medical, surgical, union and general welfare benefits (including group life insurance), any pension, retirement or life insurance plans and other benefits or similar expenses relating to employees of Landlord engaged in the operation, cleaning, repair, safety, replacement, management, security or maintenance of the Real Property and the Building Systems or in providing services to tenants; (ii) social security, unemployment and other payroll taxes, the cost of providing disability and worker’s compensation coverage imposed by any Requirement, union contract or otherwise with respect to said employees; (iii) the cost of gas, oil, steam, electricity, water, sewer rental, HVAC and other utilities furnished to the Real Property and utility taxes; (iv) the expenses incurred for casualty, rent, liability, fidelity, plate glass, terrorism, bioterrorism and any other insurance; (v) the cost of repairs, maintenance and painting, including the cost of acquiring or renting all supplies, tools, materials and equipment used in operating or repairing the Building; (vi) expenditures, whether by purchase or lease, for capital improvements and capital equipment that are expensed or regarded as deferred expenses and capital expenditures, whether by purchase or lease, that are made (I) by reason of Requirements or (II) for labor-saving devices </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increase operating efficiencies, or (III) for emergency, security or property protection systems, or (IV) in lieu of a repair, in each case such capital expenditures to be included in Operating Expenses for the Operating Year in which such costs are incurred and every subsequent Operating Year (provided that no such costs shall be included in Operating Expenses for the Base Operating Year), to the extent amortized on a straight-line basis over ten (10) years, with interest calculated at an annual rate equal to three (3%) percent over the Base Rate in effect at the time of Landlord’s having made said expenditure; (vii) the cost or rental of all supplies, tools, materials and equipment; (viii) the cost of uniforms, work clothes and dry cleaning; (ix) the cost of window cleaning, janitorial, concierge, guard, watchman or other security personnel, service or system, if any; (x) management fees in an amount not to exceed three percent (3%) of the gross revenue derived from the Building for the Base Operating Year and each relevant Operating Year (which management fees shall be calculated on the same basis and with the same methodology in calculating same for both the Base Operating Factor and the Operating Expenses for each Operating Year, for which purposes “gross revenues” shall exclude security deposits and interest thereon, percentage rent and revenue generating concessions or specialty uses) and the cost of the management office; (xi) charges of independent contractors performing work included within this definition of Operating Expenses; (xii) telephone and stationery costs; (xiii) legal, accounting and other professional fees and disbursements incurred in connection with the operation and management of the Real Property; (xiv) association fees and dues; (xv) the cost of decorations; (xvi) depreciation of hand tools and other movable equipment used in the operation, cleaning, repair, safety, management, security or maintenance of the Building; and (xvii) exterior and interior landscaping;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however, that the foregoing costs and expenses shall exclude or have deducted from them, as the case may be: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executives’ salaries above the grade of building manager;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amounts received by Landlord through proceeds of insurance to the extent they are compensation for sums previously included in Operating Expenses;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(3)     cost of repairs or replacements incurred by reason of fire or other casualty or condemnation to the extent Landlord is compensated therefor;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     any additional costs incurred in performing work or furnishing services or utilities for any tenant, whether at such tenant’s or Landlord’s expense, to the extent that such work or service is in excess of any work or service or utilities that Landlord is obligated to furnish to Tenant at Landlord’s expense;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(5)     Taxes;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(6)     refinancing costs and mortgage interest and amortization payments;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(7)     leasing commissions, rental concessions and lease buy-outs;</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(8)     amortization and depreciation, except as otherwise specifically provided in </w:t>
      </w:r>
      <w:r>
        <w:rPr>
          <w:rFonts w:ascii="Times New Roman;serif" w:hAnsi="Times New Roman;serif"/>
          <w:b w:val="false"/>
          <w:color w:val="000000"/>
          <w:sz w:val="24"/>
          <w:u w:val="single"/>
        </w:rPr>
        <w:t>clauses (vi) and (xvi)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3.1(A)</w:t>
      </w:r>
      <w:r>
        <w:rPr>
          <w:color w:val="000000"/>
        </w:rPr>
        <w:t xml:space="preserve"> </w:t>
      </w:r>
      <w:r>
        <w:rPr>
          <w:rFonts w:ascii="Times New Roman;serif" w:hAnsi="Times New Roman;serif"/>
          <w:b w:val="false"/>
          <w:color w:val="000000"/>
          <w:sz w:val="24"/>
        </w:rPr>
        <w:t>above;</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(9)     rental under any ground or underlying lease;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(10)     professional fees not allocated to the operation or management of the Real Property and professional fees allocable to specific disputes with, or preparation of leases for, specific tenants and prospective tenants;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(11)     advertising and promotional expenses with respect to the Real Property.</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(12)     reserves of any kind.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(13)     costs incurred in acquiring and insuring, but not costs incurred for maintaining, works of art of the quality and nature of “fine art” (rather than decorative art typically found in comparable office buildings in the vicinity of the Building).</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(14) the wages of employees who do not devote substantially all of their time to the Building, provided that the costs of such employees may be prorated and the amount allocable to the time such employees devote to the Building may be included in Operating Expenses.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Landlord is not furnishing any particular work or service (the cost of which if performed by Landlord would constitute an Operating Expense) to a tenant who has undertaken to perform such work or service in lieu of the performance thereof by Landlord for all or any portion of an Operating Year, Operating Expenses for such Operating Year shall be deemed to be increased by an amount equal to the additional Operating Expenses which reasonably would have been incurred during such Operating Year by Landlord if it had, at its own expense, furnished such work or service to such tenant.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 xml:space="preserve">shall mean the aggregate amount of real estate taxes and any general or special assessments (exclusive of penalties and interest thereon) imposed upon the Real Property (including, without limitation, (i) assessments made upon or with respect to any “air” and “development” rights now or hereafter appurtenant to or affecting the Real Property, (ii) any fee, tax or charge imposed by any Government Authority for any vaults, vault space or other space within or outside the boundaries of the Real Property, and (iii) any assessments levied after the date of this Lease for public benefits to the Real Property or the Building, other than BID Charges (as hereinafter defined); provided that if, because of any change in the taxation of real estate, any other tax or assessment, however denominated (including, without limitation, any franchise, income, profit, sales, use, occupancy, gross receipts or rental tax) is imposed upon Landlord or the owner of the Real Property or the Building, or the occupancy, rents or income therefrom, in substitution for any of the foregoing Taxes or for an increase in any of the foregoing Taxes, such other tax or assessment shall be deemed part of Taxes computed as if Landlord’s sole asset were the Real Property. With respect to any Tax Year, all expenses, including attorneys’ fees and disbursements and experts’ and other witnesses’ fees, incurred in contesting the validity or amount of any Taxes or in obtaining a refund of Taxes shall be considered as part of the Taxes for such Tax Year. Anything contained herein to the contrary notwithstanding, Taxes shall not be deemed to include (a) any taxes on Landlord’s income, (b) franchise taxes, (c) estate or inheritance taxes, or (d) any similar taxes imposed on Landlord,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unless such taxes are levied, assessed or imposed as a substitute for the whole or any part of, or as a substitute for an increase in, the taxes, assessments, levies, fees, charges and impositions that now constitute Taxes.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BID Charges</w:t>
      </w:r>
      <w:r>
        <w:rPr>
          <w:color w:val="000000"/>
        </w:rPr>
        <w:t xml:space="preserve">” </w:t>
      </w:r>
      <w:r>
        <w:rPr>
          <w:rFonts w:ascii="Times New Roman;serif" w:hAnsi="Times New Roman;serif"/>
          <w:b w:val="false"/>
          <w:color w:val="000000"/>
          <w:sz w:val="24"/>
        </w:rPr>
        <w:t>shall mean business improvement district charges imposed on the Building and/or the Land, and any expenses incurred by Landlord in contesting the same.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3.2.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From and after July 1, 2031, Tenant shall pay as Escalation Rent for each Tax Year, (i) an amount (“</w:t>
      </w:r>
      <w:r>
        <w:rPr>
          <w:rFonts w:ascii="Times New Roman;serif" w:hAnsi="Times New Roman;serif"/>
          <w:b w:val="false"/>
          <w:color w:val="000000"/>
          <w:sz w:val="24"/>
          <w:u w:val="single"/>
        </w:rPr>
        <w:t>Tenant’s Tax Payment</w:t>
      </w:r>
      <w:r>
        <w:rPr>
          <w:color w:val="000000"/>
        </w:rPr>
        <w:t>”</w:t>
      </w:r>
      <w:r>
        <w:rPr>
          <w:rFonts w:ascii="Times New Roman;serif" w:hAnsi="Times New Roman;serif"/>
          <w:b w:val="false"/>
          <w:color w:val="000000"/>
          <w:sz w:val="24"/>
        </w:rPr>
        <w:t>) equal to Tenant’s Share of the amount by which the Taxes for such Tax Year are greater than the Base Tax Factor and (ii) an amount (“</w:t>
      </w:r>
      <w:r>
        <w:rPr>
          <w:rFonts w:ascii="Times New Roman;serif" w:hAnsi="Times New Roman;serif"/>
          <w:b w:val="false"/>
          <w:color w:val="000000"/>
          <w:sz w:val="24"/>
          <w:u w:val="single"/>
        </w:rPr>
        <w:t>Tenant’s BID Payment</w:t>
      </w:r>
      <w:r>
        <w:rPr>
          <w:color w:val="000000"/>
        </w:rPr>
        <w:t>”</w:t>
      </w:r>
      <w:r>
        <w:rPr>
          <w:rFonts w:ascii="Times New Roman;serif" w:hAnsi="Times New Roman;serif"/>
          <w:b w:val="false"/>
          <w:color w:val="000000"/>
          <w:sz w:val="24"/>
        </w:rPr>
        <w:t xml:space="preserve">) equal to Tenant’s Share of the BID Charges. Tenant’s Tax Payment and Tenant’s BID Payment shall be payable by Tenant to Landlord in twelve (12) equal monthly installments (subject to the further provisions of this </w:t>
      </w:r>
      <w:r>
        <w:rPr>
          <w:rFonts w:ascii="Times New Roman;serif" w:hAnsi="Times New Roman;serif"/>
          <w:b w:val="false"/>
          <w:color w:val="000000"/>
          <w:sz w:val="24"/>
          <w:u w:val="single"/>
        </w:rPr>
        <w:t>Section 3.2</w:t>
      </w:r>
      <w:r>
        <w:rPr>
          <w:rFonts w:ascii="Times New Roman;serif" w:hAnsi="Times New Roman;serif"/>
          <w:b w:val="false"/>
          <w:color w:val="000000"/>
          <w:sz w:val="24"/>
        </w:rPr>
        <w:t>), the first of which shall be due within ten (10) days after receipt of a Landlord’s Tax Statement, regardless of whether such Landlord’s Tax Statement is received prior to, on or after the first day of such Tax Year and the remaining installments shall be due on the first day of each month thereafter. If there is any increase in Taxes or in BID Charges for any Tax Year, whether during or after such Tax Year, or if there is any decrease in the Taxes or in BID Charges for any Tax Year during such Tax Year, Landlord may furnish a revised Landlord’s Tax Statement for any Tax Year affected, and Tenant’s Tax Payment and Tenant’s BID Payment for such Tax Year shall be adjusted and, (a) within ten (10) days after Tenant’s receipt of such revised Landlord’s Tax Statement, Tenant shall (with respect to any increase in Taxes and/or BID Charges for such Tax Year) pay the appropriate increase in Tenant’s Tax Payment and/or Tenant’s BID Payment to Landlord, or (b) (with respect to any decrease in Taxes and/or BID Charges for such Tax Year) Landlord shall, at its election, either credit such decrease in Tenant’s Tax Payment and/or Tenant’s BID Payment against the next installment of Rental payable by Tenant or refund the amount of such decrease by check to the order of Tenant or, if at the end of the Term, there shall not be any further installments of Rental remaining against which Landlord can credit any decrease in Taxes and/or BID Charges due Tenant, Landlord shall deliver to Tenant Landlord’s check in the amount of the refund due Tenant within thirty (30) days after Landlord’s receipt of any refund. If, during the Term, Taxes or BID Charges are required to be paid (either to the appropriate taxing authorities or as tax escrow payments to the Lessor or the Mortgagee), in full or in quarterly or other installments on any other date or dates than as presently required, then Tenant’s Tax Payments and Tenant’s BID Payments shall be correspondingly accelerated or revised so that Tenant’s Tax Payments and Tenant’s BID Payments are due at least thirty (30) days prior to the date payments are due to the taxing authorities, the Lessor or the Mortgagee. The benefit of any discount for any early payment or prepayment of Taxes or BID Charges shall accrue solely to the benefit of Landlord and Taxes and BID Charges shall be computed without subtracting such discount.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Only Landlord shall be eligible to institute tax reduction or other proceedings to reduce Taxes or BID Charges. If, after a Landlord’s Tax Statement has been sent to Tenant, a refund of Taxes or BID Charges is actually received by or on behalf of Landlord, then, promptly after receipt of such refund, Landlord shall send Tenant a Landlord’s Tax Statement adjusting the Taxes and BID Charges for such Tax Year (taking into account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Landlord’s expenses therefor) and setting forth Tenant’s Share of such refund, and Tenant shall be entitled to receive such amount by way of a credit against the Escalation Rent; provided, however, that Tenant’s Share of such refund shall be limited to the amount of Tenant’s Tax Payment or Tenant’s BID Payment as applicable, which Tenant had theretofore paid to Landlord attributable to increases in Taxes or BID Charges for the Tax Year to which the refund is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Tenant’s Tax Payment and Tenant’s BID Payment and any credits with respect thereto as provided in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shall be made as provided in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regardless of the fact that Tenant may be exempt, in whole or in part, from the payment of any taxes by reason of Tenant’s diplomatic or other tax exempt status or for any other reason whatsoever.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Tenant shall pay to Landlord within thirty (30) days after demand as Additional Rent any occupancy tax or rent tax now in effect or hereafter enacted, if payable by Landlord in the first instance or hereafter required to be paid by Landlord.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Each Landlord’s Tax Statement furnished by Landlord with respect to Tenant’s Tax Payment and Tenant’s BID Payment shall, at Tenant’s request, be accompanied by a copy of the real estate tax bill or bills for the Tax Year referred to therein, but Landlord shall have no obligation to deliver more than one such copy of the real estate tax bill or bills in respect of any Tax Year, and Landlord’s failure to deliver such copy shall not affect Tenant’s obligations as to amount or due date(s)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If the Base Tax Factor subsequently shall be adjusted, corrected or reduced whether as the result of protest, by means of agreement or as the result of legal proceedings, the Base Tax Factor for the purpose of computing any Additional Rent payable pursuant to this Article shall be the Base Tax Factor as so adjusted, corrected or reduced. Until the Base Tax Factor is so adjusted, corrected or reduced, if ever, Tenant shall pay Additional Rent hereunder based upon the unadjusted, uncorrected or unreduced Base Tax Factor and upon such adjustment, correction or reduction occurring, any Additional Rent payable by Tenant prior to the date of such occurrence shall be recomputed and Tenant shall pay to Landlord any Escalation Rent found due by such re-computation within thirty (30) days after being billed therefor (which bill shall set forth in reasonable detail the pertinent data causing and comprising such re-computation).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If the Commencement Date or the Expiration Date occurs on a date other than July 1 or June 30, respectively, any Tenant’s Tax Payment and Tenant’s BID Payment due under this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for the Tax Year in which such Commencement Date or Expiration Date occurs shall be apportioned in that percentage which the number of days in the period from the Commencement Date to June 30 or from July 1 to the Expiration Date, as the case may be, both inclusive, bears to the total number of days in such Tax Year. If the Commencement Date or the Expiration Date occurs on a date other than January 1 or December 31, respectively, any Tenant’s Operating Payment under this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for the Operating Year in which such Commencement Date or Expiration Date occurs shall be apportioned in that percentage which the number of days in the period from the Commencement Date to December 31 or from January 1 to the Expiration Date, as the case may be, both inclusive, bears to the total number of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days in such Operating Year. In the event of a termination of this Lease, any Escalation Rent under this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shall be paid or adjusted within thirty (30) days after submission of a Landlord’s Statement. In no event shall Fixed Rent ever be reduced by operation of this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and the rights and obligations of Landlord and Tenant under the provisions of this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with respect to any Escalation Rent shall survive the Expiration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3.3.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From and after July 1, 2031, Tenant shall pay as Escalation Rent for each Operating Year an amount (“</w:t>
      </w:r>
      <w:r>
        <w:rPr>
          <w:rFonts w:ascii="Times New Roman;serif" w:hAnsi="Times New Roman;serif"/>
          <w:b w:val="false"/>
          <w:color w:val="000000"/>
          <w:sz w:val="24"/>
          <w:u w:val="single"/>
        </w:rPr>
        <w:t>Tenant’s Operating Payment</w:t>
      </w:r>
      <w:r>
        <w:rPr>
          <w:color w:val="000000"/>
        </w:rPr>
        <w:t>”</w:t>
      </w:r>
      <w:r>
        <w:rPr>
          <w:rFonts w:ascii="Times New Roman;serif" w:hAnsi="Times New Roman;serif"/>
          <w:b w:val="false"/>
          <w:color w:val="000000"/>
          <w:sz w:val="24"/>
        </w:rPr>
        <w:t>) equal to Tenant’s Share of the amount by which Operating Expenses for such Operating Year are greater than the Base Operating Factor; provided, however, Tenant shall not be obligated to pay Escalation Rent for increases in Operating Expenses for the first fourteen (14) months following the Commencement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Landlord may furnish to Tenant, with respect to each Operating Year, a Landlord’s Operating Statement setting forth Landlord’s estimate of Tenant’s Operating Payment for such Operating Year (“</w:t>
      </w:r>
      <w:r>
        <w:rPr>
          <w:rFonts w:ascii="Times New Roman;serif" w:hAnsi="Times New Roman;serif"/>
          <w:b w:val="false"/>
          <w:color w:val="000000"/>
          <w:sz w:val="24"/>
          <w:u w:val="single"/>
        </w:rPr>
        <w:t>Tenant’s Projected Operating Share</w:t>
      </w:r>
      <w:r>
        <w:rPr>
          <w:color w:val="000000"/>
        </w:rPr>
        <w:t>”</w:t>
      </w:r>
      <w:r>
        <w:rPr>
          <w:rFonts w:ascii="Times New Roman;serif" w:hAnsi="Times New Roman;serif"/>
          <w:b w:val="false"/>
          <w:color w:val="000000"/>
          <w:sz w:val="24"/>
        </w:rPr>
        <w:t xml:space="preserve">). Tenant shall pay to Landlord on the first day of each month during such Operating Year, as Escalation Rent, an amount equal to one-twelfth of Tenant’s Projected Operating Share for such Operating Year. If, however, Landlord furnishes any such Landlord’s Operating Statement for an Operating Year subsequent to the commencement of such Operating Year, then (a) until the first day of the month following the month in which such Landlord’s Operating Statement is furnished to Tenant, Tenant shall pay to Landlord on the first day of each month an amount equal to the monthly sum payable by Tenant to Landlord under this </w:t>
      </w:r>
      <w:r>
        <w:rPr>
          <w:rFonts w:ascii="Times New Roman;serif" w:hAnsi="Times New Roman;serif"/>
          <w:b w:val="false"/>
          <w:color w:val="000000"/>
          <w:sz w:val="24"/>
          <w:u w:val="single"/>
        </w:rPr>
        <w:t>Section 3.3</w:t>
      </w:r>
      <w:r>
        <w:rPr>
          <w:color w:val="000000"/>
        </w:rPr>
        <w:t xml:space="preserve"> </w:t>
      </w:r>
      <w:r>
        <w:rPr>
          <w:rFonts w:ascii="Times New Roman;serif" w:hAnsi="Times New Roman;serif"/>
          <w:b w:val="false"/>
          <w:color w:val="000000"/>
          <w:sz w:val="24"/>
        </w:rPr>
        <w:t>in respect of the last month of the preceding Operating Year; (b) after such Landlord’s Operating Statement is furnished to Tenant or together therewith, Landlord shall give notice to Tenant stating whether the installments of Tenant’s Projected Operating Share previously made for such Operating Year were greater or less than the installments of Tenant’s Projected Operating Share to be made for such Operating Year in accordance with such estimate, and (i) if there is a deficiency, Tenant shall pay the amount thereof within thirty (30) days after demand therefor, or (ii) if there was an overpayment, Landlord shall credit the amount thereof against subsequent payments of Rental or, if at the end of the Term there shall not be any further installments of Rental remaining against which Landlord can credit any such overpayment due Tenant, Landlord shall deliver to Tenant Landlord’s check in the amount of the refund due Tenant within thirty (30) days after Tenant shall first be entitled to a credit for the overpayment of Operating Expenses; and (c) on the first day of the month following the month in which such Landlord’s Operating Statement is furnished to Tenant, and monthly thereafter throughout the remainder of such Operating Year, Tenant shall pay to Landlord an amount equal to one-twelfth of Tenant’s Projected Operating Share shown in such Landlord’s Operating Statement. Landlord may furnish to Tenant a revised Landlord’s Operating Statement with a new estimate of Tenant’s Projected Operating Share for such Operating Year and, in such case, Tenant’s Projected Operating Share for such Operating Year shall be adjusted and paid or credited, as the case may be, substantially in the same manner as provided in the preceding sentence.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After the end of each Operating Year, Landlord shall furnish to Tenant a Landlord’s Operating Statement for such Operating Year. Each such year-end Landlord’s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Operating Statement shall be accompanied by a computation of Operating Expenses for the Building prepared by the Manager or a certified public accountant designated by Landlord from which Landlord shall make the computation of Escalation Rent due in respect of Operating Expenses hereunder. In making computations of Operating Expenses, the certified public accountant or the Manager may rely on Landlord’s reasonable estimates and allocations whenever said estimates and allocations are needed for this </w:t>
      </w:r>
      <w:r>
        <w:rPr>
          <w:rFonts w:ascii="Times New Roman;serif" w:hAnsi="Times New Roman;serif"/>
          <w:b w:val="false"/>
          <w:color w:val="000000"/>
          <w:sz w:val="24"/>
          <w:u w:val="single"/>
        </w:rPr>
        <w:t>Article 3</w:t>
      </w:r>
      <w:r>
        <w:rPr>
          <w:rFonts w:ascii="Times New Roman;serif" w:hAnsi="Times New Roman;serif"/>
          <w:b w:val="false"/>
          <w:color w:val="000000"/>
          <w:sz w:val="24"/>
        </w:rPr>
        <w:t xml:space="preserve">. If the Landlord’s Operating Statement shows that the sums paid by Tenant under </w:t>
      </w:r>
      <w:r>
        <w:rPr>
          <w:rFonts w:ascii="Times New Roman;serif" w:hAnsi="Times New Roman;serif"/>
          <w:b w:val="false"/>
          <w:color w:val="000000"/>
          <w:sz w:val="24"/>
          <w:u w:val="single"/>
        </w:rPr>
        <w:t>Section 3.3(B)</w:t>
      </w:r>
      <w:r>
        <w:rPr>
          <w:color w:val="000000"/>
        </w:rPr>
        <w:t xml:space="preserve"> </w:t>
      </w:r>
      <w:r>
        <w:rPr>
          <w:rFonts w:ascii="Times New Roman;serif" w:hAnsi="Times New Roman;serif"/>
          <w:b w:val="false"/>
          <w:color w:val="000000"/>
          <w:sz w:val="24"/>
        </w:rPr>
        <w:t>exceeded Tenant’s Operating Payments required to be paid by Tenant for such Operating Year, Landlord shall credit the amount of such excess against subsequent payments of Rental or, if at the end of the Term there shall not be any further installments of Rental remaining against which Landlord can credit any such overpayments due Tenant, Landlord shall deliver to Tenant Landlord’s check in the amount of the refund due Tenant within thirty (30) days after Tenant shall first be entitled to a credit for the overpayment of Operating Expenses; and if the Landlord’s Operating Statement for such Operating Year shows that the sums so paid by Tenant were less than Tenant’s Operating Payment due for such Operating Year, Tenant shall pay the amount of such deficiency within thirty (30) days after demand therefor.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3.4.     Landlord’s failure to render any Landlord’s Statement with respect to any Tax Year or Operating Year shall not prejudice Landlord’s right thereafter to render a Landlord’s Statement with respect thereto or with respect to any subsequent Tax Year or Operating Year, as the case may be, nor shall the rendering of a Landlord’s Statement prejudice Landlord’s right thereafter to render a corrected Landlord’s Statement for that Tax Year or Operating Year. Notwithstanding anything to the contrary contained in this Lease, in the event Landlord fails to give a Landlord’s Operating Statement or a Landlord’s Tax Statement (or any corrections thereto) to Tenant for any Operating Year or Tax Year (as the case may be), on or before the date which is two (2) years following the expiration of such Operating Year (with respect to any Landlord’s Operating Statement), or two (2) years following the later of (i) the end of the Tax Year in question or (ii) the date of the final determination of the Taxes in question (with respect to any Landlord’s Tax Statement), then Landlord shall be deemed to have waived the payment of any then unpaid Escalation Rent which would have been due pursuant to said Landlord’s Operating Statement or Landlord’s Tax Statement (or correction thereto), as the case may be.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3.5.     (A)     Any Landlord’s Statement sent to Tenant shall be conclusively binding upon Tenant unless, within ninety (90) days after such Landlord’s Statement is sent, Tenant shall send a written notice to Landlord objecting to such Landlord’s Statement and specifying, to the extent reasonably practicable, the respects in which such Landlord’s Statement is disputed. If Tenant shall send such notice with respect to a Landlord’s Operating Statement, Tenant may, at its own expense, select an independent certified public accountant which is not being compensated by Tenant, in whole or in part, on a contingency or “success” basis (an “</w:t>
      </w:r>
      <w:r>
        <w:rPr>
          <w:rFonts w:ascii="Times New Roman;serif" w:hAnsi="Times New Roman;serif"/>
          <w:b w:val="false"/>
          <w:color w:val="000000"/>
          <w:sz w:val="24"/>
          <w:u w:val="single"/>
        </w:rPr>
        <w:t>Approved Examiner</w:t>
      </w:r>
      <w:r>
        <w:rPr>
          <w:color w:val="000000"/>
        </w:rPr>
        <w:t>”</w:t>
      </w:r>
      <w:r>
        <w:rPr>
          <w:rFonts w:ascii="Times New Roman;serif" w:hAnsi="Times New Roman;serif"/>
          <w:b w:val="false"/>
          <w:color w:val="000000"/>
          <w:sz w:val="24"/>
        </w:rPr>
        <w:t xml:space="preserve">), provided that such Approved Examiner is not and has not during the Term been affiliated with, a shareholder in, an officer, director, partner, or employee of, any Manager during the Term or the Manager named in this Lease, and such Approved Examiner may examine Landlord’s books and records relating solely to disputed aspects of the Operating Expenses to determine the accuracy of Landlord’s Operating Statement. Upon Landlord’s request, Tenant shall furnish Landlord with evidence that the Approved Examiner is not being compensated on a contingency or “success” basis, including a copy of Tenant’s engagement agreement with the Approved Examiner. The Approved Examiner must conclude its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examination no later than sixty (60) days after Landlord provides Tenant’s Approved Examiner with access to Landlord’s books and records. Tenant recognizes the confidential nature of Landlord’s books and records and agrees that information obtained by it or an Approved Examiner during any examination (including any compromise, settlement or adjustment relating to the results of such examination) shall be maintained in strict confidence by Tenant and such Approved Examiner. As a condition precedent to Tenant’s exercise of its right to examine Landlord’s books and records, Tenant shall deliver to Landlord a confidentiality agreement, reasonably satisfactory to Landlord, from the Approved Examiner to the same effect as Tenant’s agreement contained in the preceding sentence. If, after such examination, such Approved Examiner shall dispute such Landlord’s Operating Statement and Landlord and Tenant are unable to resolve the dispute within thirty (30) days after the completion of the examination, then either party may elect to have the dispute resolved by arbitration, as set forth in </w:t>
      </w:r>
      <w:r>
        <w:rPr>
          <w:rFonts w:ascii="Times New Roman;serif" w:hAnsi="Times New Roman;serif"/>
          <w:b w:val="false"/>
          <w:color w:val="000000"/>
          <w:sz w:val="24"/>
          <w:u w:val="single"/>
        </w:rPr>
        <w:t>Section 3.5(B)</w:t>
      </w:r>
      <w:r>
        <w:rPr>
          <w:color w:val="000000"/>
        </w:rPr>
        <w:t xml:space="preserve"> </w:t>
      </w:r>
      <w:r>
        <w:rPr>
          <w:rFonts w:ascii="Times New Roman;serif" w:hAnsi="Times New Roman;serif"/>
          <w:b w:val="false"/>
          <w:color w:val="000000"/>
          <w:sz w:val="24"/>
        </w:rPr>
        <w:t xml:space="preserve">below. The fees and expenses involved in resolving such dispute shall be borne by the unsuccessful party. Notwithstanding the giving of such notice by Tenant, as a condition of Tenant’s right to cause the Approved Examiner to inspect Landlord’s books and records, and pending the resolution of any such dispute, Tenant shall pay to Landlord when due the amount shown on any such Landlord’s Statement, as provided in this </w:t>
      </w:r>
      <w:r>
        <w:rPr>
          <w:rFonts w:ascii="Times New Roman;serif" w:hAnsi="Times New Roman;serif"/>
          <w:b w:val="false"/>
          <w:color w:val="000000"/>
          <w:sz w:val="24"/>
          <w:u w:val="single"/>
        </w:rPr>
        <w:t>Article 3</w:t>
      </w:r>
      <w:r>
        <w:rPr>
          <w:rFonts w:ascii="Times New Roman;serif" w:hAnsi="Times New Roman;serif"/>
          <w:b w:val="false"/>
          <w:color w:val="000000"/>
          <w:sz w:val="24"/>
        </w:rPr>
        <w:t xml:space="preserve">. The obligations contained in this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shall survive the Expiration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(1)    Any dispute under this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shall be resolved as follows. An independent certified public accountant (the “</w:t>
      </w:r>
      <w:r>
        <w:rPr>
          <w:rFonts w:ascii="Times New Roman;serif" w:hAnsi="Times New Roman;serif"/>
          <w:b w:val="false"/>
          <w:color w:val="000000"/>
          <w:sz w:val="24"/>
          <w:u w:val="single"/>
        </w:rPr>
        <w:t>Independent CPA</w:t>
      </w:r>
      <w:r>
        <w:rPr>
          <w:color w:val="000000"/>
        </w:rPr>
        <w:t>”</w:t>
      </w:r>
      <w:r>
        <w:rPr>
          <w:rFonts w:ascii="Times New Roman;serif" w:hAnsi="Times New Roman;serif"/>
          <w:b w:val="false"/>
          <w:color w:val="000000"/>
          <w:sz w:val="24"/>
        </w:rPr>
        <w:t>) shall be selected by Landlord, and approved by Tenant, which approval shall not be unreasonably withheld or delayed. The Independent CPA shall not have been previously employed or hired by Landlord, Tenant or any of Landlord’s affiliates or the Manager within the immediately preceding period of five (5) years. If Landlord and Tenant are unable to agree upon the Independent CPA, then he or she shall be designated by the American Arbitration 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xml:space="preserve">). The Independent CPA selected by the parties or designated by the AAA shall not have been employed by Landlord or Tenant during the previous five (5) year period and shall have at least ten (10) years’ experience in the practice of real estate accounting. Landlord and Tenant shall each submit to the Independent CPA and to the other, based upon the definition of Operating Expenses and the principles set forth in this </w:t>
      </w:r>
      <w:r>
        <w:rPr>
          <w:rFonts w:ascii="Times New Roman;serif" w:hAnsi="Times New Roman;serif"/>
          <w:b w:val="false"/>
          <w:color w:val="000000"/>
          <w:sz w:val="24"/>
          <w:u w:val="single"/>
        </w:rPr>
        <w:t>Article 3</w:t>
      </w:r>
      <w:r>
        <w:rPr>
          <w:rFonts w:ascii="Times New Roman;serif" w:hAnsi="Times New Roman;serif"/>
          <w:b w:val="false"/>
          <w:color w:val="000000"/>
          <w:sz w:val="24"/>
        </w:rPr>
        <w:t xml:space="preserve">, its determination of Operating Expenses for the applicable Operating Year. The Independent CPA shall determine which of the two (2) determinations more closely represents the proper calculation of Operating Expenses pursuant to the provisions of this </w:t>
      </w:r>
      <w:r>
        <w:rPr>
          <w:rFonts w:ascii="Times New Roman;serif" w:hAnsi="Times New Roman;serif"/>
          <w:b w:val="false"/>
          <w:color w:val="000000"/>
          <w:sz w:val="24"/>
          <w:u w:val="single"/>
        </w:rPr>
        <w:t>Article 3</w:t>
      </w:r>
      <w:r>
        <w:rPr>
          <w:rFonts w:ascii="Times New Roman;serif" w:hAnsi="Times New Roman;serif"/>
          <w:b w:val="false"/>
          <w:color w:val="000000"/>
          <w:sz w:val="24"/>
        </w:rPr>
        <w:t>. The Independent CPA may not select any other calculation of Operating Expenses other than one submitted by Landlord or Tenant. The determination of the Independent CPA shall be binding upon Landlord and Tenant and shall constitute the Operating Expenses for the applicable Operating Year.</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(2)    Landlord and Tenant hereby agree to, and hereby do: (i) waive any and all rights either of them at any time may have to revoke their agreement hereunder to submit to arbitration as set forth in this </w:t>
      </w:r>
      <w:r>
        <w:rPr>
          <w:rFonts w:ascii="Times New Roman;serif" w:hAnsi="Times New Roman;serif"/>
          <w:b w:val="false"/>
          <w:color w:val="000000"/>
          <w:sz w:val="24"/>
          <w:u w:val="single"/>
        </w:rPr>
        <w:t>Section 3.5</w:t>
      </w:r>
      <w:r>
        <w:rPr>
          <w:rFonts w:ascii="Times New Roman;serif" w:hAnsi="Times New Roman;serif"/>
          <w:b w:val="false"/>
          <w:color w:val="000000"/>
          <w:sz w:val="24"/>
        </w:rPr>
        <w:t xml:space="preserve">; (ii) consent to the entry of judgment in any court upon any award rendered in any arbitration held pursuant to this </w:t>
      </w:r>
      <w:r>
        <w:rPr>
          <w:rFonts w:ascii="Times New Roman;serif" w:hAnsi="Times New Roman;serif"/>
          <w:b w:val="false"/>
          <w:color w:val="000000"/>
          <w:sz w:val="24"/>
          <w:u w:val="single"/>
        </w:rPr>
        <w:t>Section 3.5</w:t>
      </w:r>
      <w:r>
        <w:rPr>
          <w:rFonts w:ascii="Times New Roman;serif" w:hAnsi="Times New Roman;serif"/>
          <w:b w:val="false"/>
          <w:color w:val="000000"/>
          <w:sz w:val="24"/>
        </w:rPr>
        <w:t xml:space="preserve">; and (iii) acknowledge that any award rendered in any arbitration held pursuant to this </w:t>
      </w:r>
      <w:r>
        <w:rPr>
          <w:rFonts w:ascii="Times New Roman;serif" w:hAnsi="Times New Roman;serif"/>
          <w:b w:val="false"/>
          <w:color w:val="000000"/>
          <w:sz w:val="24"/>
          <w:u w:val="single"/>
        </w:rPr>
        <w:t>Section 3.5</w:t>
      </w:r>
      <w:r>
        <w:rPr>
          <w:rFonts w:ascii="Times New Roman;serif" w:hAnsi="Times New Roman;serif"/>
          <w:b w:val="false"/>
          <w:color w:val="000000"/>
          <w:sz w:val="24"/>
        </w:rPr>
        <w:t>, whether or not such award has been entered for judgment, shall be final and binding upon Landlord and Tenant.</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3.6.     In determining the amount of the Base Operating Factor and Operating Expenses, if less than one hundred (100%) percent of the Building’s rentable area shall have been occupied by tenant(s) at any time during the Base Operating Year or any subsequent Operating Year, Operating Expenses, for the purposes of the Base Operating Factor and for any Operating Year, shall be adjusted to the amount which would normally be expected to be incurred had one hundred (100%) percent of all such areas been occupied throughout the Base Operating Year or any subsequent Operating Year. The provisions of this Section with respect to adjustments of Operating Expenses for vacancy, shall apply only to Operating Expenses which are variable and which increase in the same relationship to the increase in occupancy in the Building and shall not apply to any Operating Expenses which do not vary with the level of occupancy in the Building.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3.7.     (A)    The terms defined below shall for the purposes of this Lease have the meanings herein specified:</w:t>
      </w:r>
    </w:p>
    <w:p>
      <w:pPr>
        <w:pStyle w:val="TextBody"/>
        <w:bidi w:val="0"/>
        <w:spacing w:lineRule="auto" w:line="288" w:before="0" w:after="240"/>
        <w:ind w:left="0" w:right="0" w:firstLine="288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Carbon Emissions Law</w:t>
      </w:r>
      <w:r>
        <w:rPr>
          <w:color w:val="000000"/>
        </w:rPr>
        <w:t xml:space="preserve">” </w:t>
      </w:r>
      <w:r>
        <w:rPr>
          <w:rFonts w:ascii="Times New Roman;serif" w:hAnsi="Times New Roman;serif"/>
          <w:b w:val="false"/>
          <w:color w:val="000000"/>
          <w:sz w:val="24"/>
        </w:rPr>
        <w:t>means collectively, Local Law 97 of the Local Laws of the City of New York for the Year 2019 or any amendment, modification, supplement or replacement thereof, any rules or regulations promulgated pursuant thereto.</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CEL Charges</w:t>
      </w:r>
      <w:r>
        <w:rPr>
          <w:color w:val="000000"/>
        </w:rPr>
        <w:t xml:space="preserve">” </w:t>
      </w:r>
      <w:r>
        <w:rPr>
          <w:rFonts w:ascii="Times New Roman;serif" w:hAnsi="Times New Roman;serif"/>
          <w:b w:val="false"/>
          <w:color w:val="000000"/>
          <w:sz w:val="24"/>
        </w:rPr>
        <w:t xml:space="preserve">means (x) all costs, expenses, fines, penalties or other similar charges payable by Landlord under or to comply with the Carbon Emissions Law and attributable to the Building, and (y) amounts paid to purchase renewable energy credits and/or “greenhouse gas offsets” in order to reduce the amounts that would otherwise be payable under </w:t>
      </w:r>
      <w:r>
        <w:rPr>
          <w:rFonts w:ascii="Times New Roman;serif" w:hAnsi="Times New Roman;serif"/>
          <w:b w:val="false"/>
          <w:color w:val="000000"/>
          <w:sz w:val="24"/>
          <w:u w:val="single"/>
        </w:rPr>
        <w:t>clause (x)</w:t>
      </w:r>
      <w:r>
        <w:rPr>
          <w:rFonts w:ascii="Times New Roman;serif" w:hAnsi="Times New Roman;serif"/>
          <w:b w:val="false"/>
          <w:color w:val="000000"/>
          <w:sz w:val="24"/>
        </w:rPr>
        <w:t xml:space="preserve">; provided, that CEL Charges shall not include (A) any costs, expenses, fines, penalties or similar charges paid by Landlord (including, without limitation, in connection with any penalties or charges levied upon the Building under the Carbon Emissions Law or otherwise) directly or indirectly arising from, or attributable to, (i) any failure of Landlord to duly meet any reporting, improvements, installation and/or any other obligations under the Carbon Emissions Law applicable to the Building or (ii) Landlord’s failure to operate and maintain any Building systems in accordance with the standards from time to time prevailing with respect to comparable office buildings in midtown Manhattan, or (B) any capital expenditures incurred by Landlord in order to comply with Carbon Emissions Law (provided that the same shall be included in Operating Expenses as set forth in the last grammatical paragraph of </w:t>
      </w:r>
      <w:r>
        <w:rPr>
          <w:rFonts w:ascii="Times New Roman;serif" w:hAnsi="Times New Roman;serif"/>
          <w:b w:val="false"/>
          <w:color w:val="000000"/>
          <w:sz w:val="24"/>
          <w:u w:val="single"/>
        </w:rPr>
        <w:t>Section 3.1(A)</w:t>
      </w:r>
      <w:r>
        <w:rPr>
          <w:rFonts w:ascii="Times New Roman;serif" w:hAnsi="Times New Roman;serif"/>
          <w:b w:val="false"/>
          <w:color w:val="000000"/>
          <w:sz w:val="24"/>
        </w:rPr>
        <w:t>).</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Base Building GHG Emissions</w:t>
      </w:r>
      <w:r>
        <w:rPr>
          <w:color w:val="000000"/>
        </w:rPr>
        <w:t xml:space="preserve">” </w:t>
      </w:r>
      <w:r>
        <w:rPr>
          <w:rFonts w:ascii="Times New Roman;serif" w:hAnsi="Times New Roman;serif"/>
          <w:b w:val="false"/>
          <w:color w:val="000000"/>
          <w:sz w:val="24"/>
        </w:rPr>
        <w:t>means the amount of greenhouse gas emissions, expressed in tons of carbon dioxide equivalents (tCO</w:t>
      </w:r>
      <w:r>
        <w:rPr>
          <w:rFonts w:ascii="Times New Roman;serif" w:hAnsi="Times New Roman;serif"/>
          <w:b w:val="false"/>
          <w:color w:val="000000"/>
          <w:sz w:val="16"/>
        </w:rPr>
        <w:t>2</w:t>
      </w:r>
      <w:r>
        <w:rPr>
          <w:rFonts w:ascii="Times New Roman;serif" w:hAnsi="Times New Roman;serif"/>
          <w:b w:val="false"/>
          <w:color w:val="000000"/>
          <w:sz w:val="24"/>
        </w:rPr>
        <w:t>e), for any calendar year in which the Building is subject to the Carbon Emissions Law, calculated by a registered design professional in accordance with the requirements of the Carbon Emissions Law and attributable to the energy used at the Building (including electricity, steam, natural gas, diesel fuel and any other energy source used at the Building in the future) to operate all non-leasable portions of the Building during such calendar year, as determined by the applicable meters and/or submeters in the Building.</w:t>
      </w:r>
    </w:p>
    <w:p>
      <w:pPr>
        <w:pStyle w:val="TextBody"/>
        <w:bidi w:val="0"/>
        <w:spacing w:lineRule="auto" w:line="288" w:before="0" w:after="240"/>
        <w:ind w:left="0" w:right="0" w:firstLine="288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Total GHG Emissions</w:t>
      </w:r>
      <w:r>
        <w:rPr>
          <w:color w:val="000000"/>
        </w:rPr>
        <w:t xml:space="preserve">” </w:t>
      </w:r>
      <w:r>
        <w:rPr>
          <w:rFonts w:ascii="Times New Roman;serif" w:hAnsi="Times New Roman;serif"/>
          <w:b w:val="false"/>
          <w:color w:val="000000"/>
          <w:sz w:val="24"/>
        </w:rPr>
        <w:t>means, for any calendar year in which the Building is subject to the Carbon Emissions Law, the sum of the Base Building GHG Emissions plus the Leasable Area GHG Emissions, in each case, for such calendar year.</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288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Leasable Area GHG Emissions</w:t>
      </w:r>
      <w:r>
        <w:rPr>
          <w:color w:val="000000"/>
        </w:rPr>
        <w:t xml:space="preserve">” </w:t>
      </w:r>
      <w:r>
        <w:rPr>
          <w:rFonts w:ascii="Times New Roman;serif" w:hAnsi="Times New Roman;serif"/>
          <w:b w:val="false"/>
          <w:color w:val="000000"/>
          <w:sz w:val="24"/>
        </w:rPr>
        <w:t>means the amount of greenhouse gas emissions, expressed in tCO</w:t>
      </w:r>
      <w:r>
        <w:rPr>
          <w:rFonts w:ascii="Times New Roman;serif" w:hAnsi="Times New Roman;serif"/>
          <w:b w:val="false"/>
          <w:color w:val="000000"/>
          <w:sz w:val="16"/>
        </w:rPr>
        <w:t>2</w:t>
      </w:r>
      <w:r>
        <w:rPr>
          <w:rFonts w:ascii="Times New Roman;serif" w:hAnsi="Times New Roman;serif"/>
          <w:b w:val="false"/>
          <w:color w:val="000000"/>
          <w:sz w:val="24"/>
        </w:rPr>
        <w:t>e for any applicable calendar year in which the Building is subject to the Carbon Emissions Law, equal to all greenhouse gas emissions calculated by a registered design professional in accordance with the requirements of the Carbon Emissions Law and attributable to energy used to power the leasable portions of the Building during such calendar year, as determined by tenants’ meter or meters, connected supplemental air conditioning tonnage, documented overtime HVAC services provided, and documented usage of diesel fuel, as applicable with respect to such leasable portions.</w:t>
      </w:r>
    </w:p>
    <w:p>
      <w:pPr>
        <w:pStyle w:val="TextBody"/>
        <w:bidi w:val="0"/>
        <w:spacing w:lineRule="auto" w:line="288" w:before="0" w:after="240"/>
        <w:ind w:left="0" w:right="0" w:firstLine="288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Tenant’s GHG Emissions</w:t>
      </w:r>
      <w:r>
        <w:rPr>
          <w:color w:val="000000"/>
        </w:rPr>
        <w:t xml:space="preserve">” </w:t>
      </w:r>
      <w:r>
        <w:rPr>
          <w:rFonts w:ascii="Times New Roman;serif" w:hAnsi="Times New Roman;serif"/>
          <w:b w:val="false"/>
          <w:color w:val="000000"/>
          <w:sz w:val="24"/>
        </w:rPr>
        <w:t>means the amount of greenhouse emissions, expressed in tCO2e for any applicable calendar year in which the Building is subject to the Carbon Emissions Law, equal to all greenhouse gas emissions calculated by a registered design professional in accordance with the requirements of the Carbon Emissions Law and attributable to all energy used in the Premises (x) by Tenant and anyone claiming by, through or under Tenant and (y) to provide overtime HVAC service and any other non-building standard service requested by Tenant to the Premises, in each case, during such calendar year as determined by Tenant’s submeters or direct meters for electricity, steam and natural gas, connected supplemental air conditioning tonnage, documented overtime HVAC services provided, or documented usage of diesel fuel.</w:t>
      </w:r>
    </w:p>
    <w:p>
      <w:pPr>
        <w:pStyle w:val="TextBody"/>
        <w:bidi w:val="0"/>
        <w:spacing w:lineRule="auto" w:line="288" w:before="0" w:after="240"/>
        <w:ind w:left="0" w:right="0" w:firstLine="2880"/>
        <w:jc w:val="both"/>
        <w:rPr/>
      </w:pPr>
      <w:r>
        <w:rPr>
          <w:rFonts w:ascii="Times New Roman;serif" w:hAnsi="Times New Roman;serif"/>
          <w:b w:val="false"/>
          <w:color w:val="000000"/>
          <w:sz w:val="24"/>
        </w:rPr>
        <w:t>(vii)    “</w:t>
      </w:r>
      <w:r>
        <w:rPr>
          <w:rFonts w:ascii="Times New Roman;serif" w:hAnsi="Times New Roman;serif"/>
          <w:b w:val="false"/>
          <w:color w:val="000000"/>
          <w:sz w:val="24"/>
          <w:u w:val="single"/>
        </w:rPr>
        <w:t>Tenant’s GHG Emissions Limit</w:t>
      </w:r>
      <w:r>
        <w:rPr>
          <w:color w:val="000000"/>
        </w:rPr>
        <w:t xml:space="preserve">” </w:t>
      </w:r>
      <w:r>
        <w:rPr>
          <w:rFonts w:ascii="Times New Roman;serif" w:hAnsi="Times New Roman;serif"/>
          <w:b w:val="false"/>
          <w:color w:val="000000"/>
          <w:sz w:val="24"/>
        </w:rPr>
        <w:t xml:space="preserve">means the amount of greenhouse gas emission, expressed in tCO2e, allocated to the Premises by Landlord for any calendar year in which the Building is subject to the Carbon Emissions Law based upon the square footage of the leased Premises and the category of Tenant’s use therein as provided for by the Carbon Emissions Law. </w:t>
      </w:r>
    </w:p>
    <w:p>
      <w:pPr>
        <w:pStyle w:val="TextBody"/>
        <w:bidi w:val="0"/>
        <w:spacing w:lineRule="auto" w:line="288" w:before="0" w:after="240"/>
        <w:ind w:left="0" w:right="0" w:firstLine="2160"/>
        <w:jc w:val="both"/>
        <w:rPr/>
      </w:pPr>
      <w:r>
        <w:rPr>
          <w:rFonts w:ascii="Times New Roman;serif" w:hAnsi="Times New Roman;serif"/>
          <w:b w:val="false"/>
          <w:color w:val="000000"/>
          <w:sz w:val="24"/>
        </w:rPr>
        <w:t>(B)     In addition to Tenant’s obligation to pay the charges for utilities and services set forth in invoices for utilities and services, whether from Landlord or directly from the provider, if the Total GHG Emissions for the Building exceed the allocation of greenhouse gas emissions, expressed in tCO</w:t>
      </w:r>
      <w:r>
        <w:rPr>
          <w:rFonts w:ascii="Times New Roman;serif" w:hAnsi="Times New Roman;serif"/>
          <w:b w:val="false"/>
          <w:color w:val="000000"/>
          <w:sz w:val="16"/>
        </w:rPr>
        <w:t>2</w:t>
      </w:r>
      <w:r>
        <w:rPr>
          <w:rFonts w:ascii="Times New Roman;serif" w:hAnsi="Times New Roman;serif"/>
          <w:b w:val="false"/>
          <w:color w:val="000000"/>
          <w:sz w:val="24"/>
        </w:rPr>
        <w:t>e, applicable to the Building under the Carbon Emissions Law for any calendar year, then Tenant shall also pay to Landlord an amount (such amount, “</w:t>
      </w:r>
      <w:r>
        <w:rPr>
          <w:rFonts w:ascii="Times New Roman;serif" w:hAnsi="Times New Roman;serif"/>
          <w:b w:val="false"/>
          <w:color w:val="000000"/>
          <w:sz w:val="24"/>
          <w:u w:val="single"/>
        </w:rPr>
        <w:t>Tenant’s CEL Payment</w:t>
      </w:r>
      <w:r>
        <w:rPr>
          <w:color w:val="000000"/>
        </w:rPr>
        <w:t>”</w:t>
      </w:r>
      <w:r>
        <w:rPr>
          <w:rFonts w:ascii="Times New Roman;serif" w:hAnsi="Times New Roman;serif"/>
          <w:b w:val="false"/>
          <w:color w:val="000000"/>
          <w:sz w:val="24"/>
        </w:rPr>
        <w:t xml:space="preserve">) equal to (i) the amount of the CEL Charges payable by Landlord as a result of Tenant’s GHG Emissions exceeding Tenant’s GHG Emissions Limit for the applicable calendar year, plus (y) Tenant’s Share of any Carbon Emissions Law penalty attributable to Base Building GHG Emissions for the applicable calendar year, provided that the portion of Tenant’s CEL Payment payable in accordance with </w:t>
      </w:r>
      <w:r>
        <w:rPr>
          <w:rFonts w:ascii="Times New Roman;serif" w:hAnsi="Times New Roman;serif"/>
          <w:b w:val="false"/>
          <w:color w:val="000000"/>
          <w:sz w:val="24"/>
          <w:u w:val="single"/>
        </w:rPr>
        <w:t>clause (y)</w:t>
      </w:r>
      <w:r>
        <w:rPr>
          <w:color w:val="000000"/>
        </w:rPr>
        <w:t xml:space="preserve"> </w:t>
      </w:r>
      <w:r>
        <w:rPr>
          <w:rFonts w:ascii="Times New Roman;serif" w:hAnsi="Times New Roman;serif"/>
          <w:b w:val="false"/>
          <w:color w:val="000000"/>
          <w:sz w:val="24"/>
        </w:rPr>
        <w:t>hereof shall not exceed $1.50 per rentable square foot of the Premises during any calendar year.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     Upon reasonable request by Landlord, Tenant shall provide to Landlord reasonable statements of information in Tenant’s possession related to Tenant’s GHG Emissions in the Premises. Landlord, at Landlord’s sole cost and expense, shall have the right to audit Tenant’s GHG Emissions and Tenant’s books and records directly related thereto for any calendar year or portion thereof (but not more frequently than once per calendar year), in each case upon at least twenty-one (21) days’ written notice to Tenant.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(D)     Within one hundred eighty (180) days following the assessment or imposition of any CEL Charges, Landlord shall submit to Tenant a statement (each a “</w:t>
      </w:r>
      <w:r>
        <w:rPr>
          <w:rFonts w:ascii="Times New Roman;serif" w:hAnsi="Times New Roman;serif"/>
          <w:b w:val="false"/>
          <w:color w:val="000000"/>
          <w:sz w:val="24"/>
          <w:u w:val="single"/>
        </w:rPr>
        <w:t xml:space="preserve">CEL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Statement</w:t>
      </w:r>
      <w:r>
        <w:rPr>
          <w:color w:val="000000"/>
        </w:rPr>
        <w:t>”</w:t>
      </w:r>
      <w:r>
        <w:rPr>
          <w:rFonts w:ascii="Times New Roman;serif" w:hAnsi="Times New Roman;serif"/>
          <w:b w:val="false"/>
          <w:color w:val="000000"/>
          <w:sz w:val="24"/>
        </w:rPr>
        <w:t xml:space="preserve">) prepared by Landlord or Manager and certified as true and correct by an officer of Landlord or Manager, setting forth in reasonable line item detail the greenhouse gas emissions produced by the Building and the Premises for the calendar year in question, and a calculation of Tenant’s CEL Payment for such calendar year, if any, calculated in accordance with </w:t>
      </w:r>
      <w:r>
        <w:rPr>
          <w:rFonts w:ascii="Times New Roman;serif" w:hAnsi="Times New Roman;serif"/>
          <w:b w:val="false"/>
          <w:color w:val="000000"/>
          <w:sz w:val="24"/>
          <w:u w:val="single"/>
        </w:rPr>
        <w:t>Section 3.7(B)</w:t>
      </w:r>
      <w:r>
        <w:rPr>
          <w:color w:val="000000"/>
        </w:rPr>
        <w:t xml:space="preserve"> </w:t>
      </w:r>
      <w:r>
        <w:rPr>
          <w:rFonts w:ascii="Times New Roman;serif" w:hAnsi="Times New Roman;serif"/>
          <w:b w:val="false"/>
          <w:color w:val="000000"/>
          <w:sz w:val="24"/>
        </w:rPr>
        <w:t xml:space="preserve">above. Within thirty (30) days after receipt of a CEL Statement prepared in accordance with this </w:t>
      </w:r>
      <w:r>
        <w:rPr>
          <w:rFonts w:ascii="Times New Roman;serif" w:hAnsi="Times New Roman;serif"/>
          <w:b w:val="false"/>
          <w:color w:val="000000"/>
          <w:sz w:val="24"/>
          <w:u w:val="single"/>
        </w:rPr>
        <w:t>Section 3.7(D)</w:t>
      </w:r>
      <w:r>
        <w:rPr>
          <w:rFonts w:ascii="Times New Roman;serif" w:hAnsi="Times New Roman;serif"/>
          <w:b w:val="false"/>
          <w:color w:val="000000"/>
          <w:sz w:val="24"/>
        </w:rPr>
        <w:t xml:space="preserve">, Tenant shall make payment of the Tenant’s CEL Payment. Tenant shall have the right to audit the CEL Statement in the same manner as Tenant’s audit of Operating Expenses pursuant to the provisions of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of this Lease.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(E)     In no event shall the Fixed Rent under the Lease be reduced by virtue of this </w:t>
      </w:r>
      <w:r>
        <w:rPr>
          <w:rFonts w:ascii="Times New Roman;serif" w:hAnsi="Times New Roman;serif"/>
          <w:b w:val="false"/>
          <w:color w:val="000000"/>
          <w:sz w:val="24"/>
          <w:u w:val="single"/>
        </w:rPr>
        <w:t>Section 3.7</w:t>
      </w:r>
      <w:r>
        <w:rPr>
          <w:rFonts w:ascii="Times New Roman;serif" w:hAnsi="Times New Roman;serif"/>
          <w:b w:val="false"/>
          <w:color w:val="000000"/>
          <w:sz w:val="24"/>
        </w:rPr>
        <w:t>.</w:t>
      </w:r>
    </w:p>
    <w:p>
      <w:pPr>
        <w:pStyle w:val="TextBody"/>
        <w:bidi w:val="0"/>
        <w:spacing w:lineRule="auto" w:line="556" w:before="120" w:after="283"/>
        <w:jc w:val="center"/>
        <w:rPr/>
      </w:pPr>
      <w:r>
        <w:rPr>
          <w:rFonts w:ascii="Times New Roman;serif" w:hAnsi="Times New Roman;serif"/>
          <w:b w:val="false"/>
          <w:color w:val="000000"/>
          <w:sz w:val="24"/>
        </w:rPr>
        <w:t>ARTICLE 4</w:t>
        <w:br/>
      </w:r>
      <w:r>
        <w:rPr>
          <w:rFonts w:ascii="Times New Roman;serif" w:hAnsi="Times New Roman;serif"/>
          <w:b w:val="false"/>
          <w:color w:val="000000"/>
          <w:sz w:val="24"/>
          <w:u w:val="single"/>
        </w:rPr>
        <w:t>ELECTRICITY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4.1.     Subject to the provisions of this Article, Landlord shall provide electricity to the Premises through the existing electrical system of the Building for the operation of Tenant’s electrical systems and equipment at the Premises. Landlord, at Tenant’s expense, shall maintain one or more submeters measuring Tenant’s consumption and demand of electricity in the Premises, including any electricity to operate any supplemental air conditioning system now or hereafter located in the Premises. To the extent not included in Operating Expenses, Tenant shall pay to Landlord for Tenant’s electrical usage, as Additional Rent, within fifteen (15) days following Tenant’s receipt of Landlord’s Statement, at such charges, terms and rates, as are applied to the monthly readings on each such meters or submeters, as set from time to time during the Term by the public utility serving the Building under the service classification in effect pursuant to which Landlord purchases electricity, plus an amount equal to five (5%) percent thereof to reimburse Landlord for administrative services in connection with supplying and billing such electricity (the “</w:t>
      </w:r>
      <w:r>
        <w:rPr>
          <w:rFonts w:ascii="Times New Roman;serif" w:hAnsi="Times New Roman;serif"/>
          <w:b w:val="false"/>
          <w:color w:val="000000"/>
          <w:sz w:val="24"/>
          <w:u w:val="single"/>
        </w:rPr>
        <w:t>Electricity Additional Rent</w:t>
      </w:r>
      <w:r>
        <w:rPr>
          <w:color w:val="000000"/>
        </w:rPr>
        <w:t>”</w:t>
      </w:r>
      <w:r>
        <w:rPr>
          <w:rFonts w:ascii="Times New Roman;serif" w:hAnsi="Times New Roman;serif"/>
          <w:b w:val="false"/>
          <w:color w:val="000000"/>
          <w:sz w:val="24"/>
        </w:rPr>
        <w:t>). If more than one meter or submeter measures Tenant’s electricity, the electricity rendered through each submeter may be computed and billed separately in accordance with this Section.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4.2.     Tenant shall be responsible for all installations and wiring necessary to distribute electrical energy in the Premises, including the tie-in of electrical service to the Premises from the meters or submeters measuring Tenant’s electrical consumption. Landlord shall, during the Term of this Lease, ensure that the Premises has a capacity to handle an aggregate of up to nine (9) watts demand load per usable square foot of the Premises (exclusive of the HVAC System), to the extent Tenant demonstrates to Landlord’s reasonable satisfaction that Tenant needs such capacity in connection with its operations in the Premises. Such electric energy shall be furnished to Tenant by means of the existing Building system feeders, risers and wiring to the extent that the same are available, suitable and safe for such purpose. Tenant’s use of electric current in the Premises shall not at any time exceed the capacity of any of the electrical conductors, feeders, risers, wiring installation and equipment in the Building or otherwise serving the Premises. Tenant may not use any electrical equipment, which, in Landlord’s judgment, will overload such installations or interfere with the use thereof by other tenants of the Building. In order to ensure that such capacity is not exceeded and to avert possible adverse effect upon the Building electric service, Tenant shall not, without Landlord’s </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prior written consent in each instance, connect any additional fixtures, appliances or equipment (other than personal computers, word processors, facsimile machines, photocopiers, lamps, typewriters and similar office machines) to the Building electric distribution system or make any alteration or addition to the electric system of the Premises existing on the Commencement Date. Should Landlord grant such consent, all additional risers, or other equipment required therefor shall be installed by Landlord and the cost thereof shall be paid by Tenant upon Landlord’s demand. Unless caused by the negligence or willful misconduct of Landlord, Landlord shall not be liable in any way to Tenant for any failure or defect in the supply or character of electric current furnished to the Premises or for any loss or damage or expense which Tenant may sustain or incur if either the said supply or character of electric current either fails or changes or is no longer available for Tenant's requirements. At all times during the Term of this Lease, Tenant shall comply with all Requirements and the public utility applicable to service, equipment, wiring and changes in Requirements.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4.3.     At Landlord’s option, Tenant shall purchase from Landlord all lighting tubes, lamps, bulbs and ballasts used in the Premises and Tenant shall pay Landlord’s reasonable charges for providing and installing the same, on demand, as Additional Rent.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4.4.     Landlord shall have the right, in its sole discretion, to select any entity or entities which it desires to have as the electrical service provider to the Building (including the Premises), and Tenant shall not have the right to select the same or participate in the selection of the same, except and to the extent that any Requirement mandates that Tenant have any such right(s).</w:t>
      </w:r>
    </w:p>
    <w:p>
      <w:pPr>
        <w:pStyle w:val="TextBody"/>
        <w:bidi w:val="0"/>
        <w:spacing w:lineRule="auto" w:line="556" w:before="120" w:after="283"/>
        <w:jc w:val="center"/>
        <w:rPr/>
      </w:pPr>
      <w:r>
        <w:rPr>
          <w:rFonts w:ascii="Times New Roman;serif" w:hAnsi="Times New Roman;serif"/>
          <w:b w:val="false"/>
          <w:color w:val="000000"/>
          <w:sz w:val="24"/>
        </w:rPr>
        <w:t>ARTICLE 5</w:t>
        <w:br/>
      </w:r>
      <w:r>
        <w:rPr>
          <w:rFonts w:ascii="Times New Roman;serif" w:hAnsi="Times New Roman;serif"/>
          <w:b w:val="false"/>
          <w:color w:val="000000"/>
          <w:sz w:val="24"/>
          <w:u w:val="single"/>
        </w:rPr>
        <w:t>USE AND OCCUPANCY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5.1.     Tenant shall use and occupy the Premises for the Permitted Use and for no other purpose.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5.2.     Tenant shall not use the Premises or any part thereof, or permit the Premises or any part thereof to be used, (1) for the business of photographic, multilith or multigraph reproductions or offset printing (other than those which are ancillary to an otherwise Permitted Use), (2) for an off-the-street retail commercial banking, thrift institution, loan company, trust company, depository or safe deposit business accepting deposits from the general public, (3) for the off-the-street retail sale of travelers checks, money orders, drafts, foreign exchange or letters of credit or for the receipt of money for transmission, (4) by the United States government, the City or State of New York, any foreign government, the United Nations or any agency or department of any of the foregoing having or asserting sovereign immunity, (5) for the preparation, dispensing or consumption of food or beverages in any manner whatsoever, except for the preparation, dispensing and consumption of food by Tenant’s employees who work in the Premises and not for the sale of food to any Persons other than such employees, (6) as an employment agency, day-care facility, labor union, school, or vocational training center (except for the training of employees of Tenant intended to be employed at the Premises), (7) as a barber shop, beauty salon or manicure shop, (8) for product display activities (such as those of a manufacturer’s representative), (9) as offices of any public utility company, (10) for data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processing activities (other than those which are ancillary to an otherwise Permitted Use), (11) for health care activities, (12) for clerical support services or offices of public stenographers or typists (other than those which are ancillary to an otherwise Permitted Use), (13) as reservation centers for airlines or travel agencies, (14) for retail or manufacturing use (including off the street retail sales of securities), (15) as studios for radio, television or other media, (16) for offices for a real estate brokerage firm or (17) for any obscene or pornographic purpose or any sort of commercial sex establishment or for exhibition to the public of any obscene or pornographic materials. For purposes of the preceding </w:t>
      </w:r>
      <w:r>
        <w:rPr>
          <w:rFonts w:ascii="Times New Roman;serif" w:hAnsi="Times New Roman;serif"/>
          <w:b w:val="false"/>
          <w:color w:val="000000"/>
          <w:sz w:val="24"/>
          <w:u w:val="single"/>
        </w:rPr>
        <w:t>clause (17)</w:t>
      </w:r>
      <w:r>
        <w:rPr>
          <w:rFonts w:ascii="Times New Roman;serif" w:hAnsi="Times New Roman;serif"/>
          <w:b w:val="false"/>
          <w:color w:val="000000"/>
          <w:sz w:val="24"/>
        </w:rPr>
        <w:t>, “pornographic” shall mean that the material or purpose has prurient appeal or relates, directly or indirectly, to lewd or prurient sexual activity and “obscene” shall have the meaning ascribed thereto in New York Penal Law Section 235.00. Furthermore, the Premises shall not be used for any purpose that would, in Landlord’s reasonable judgment, tend to lower the first-class character of the Building, create unreasonable or excessive elevator or floor loads, violate the certificate of occupancy of the Building, impair or interfere with any of the Building operations or the proper and economic heating, air-conditioning, cleaning or any other services of the Building, interfere with the use of the other areas of the Building by any other tenants, or impair the appearance of the Building.</w:t>
      </w:r>
    </w:p>
    <w:p>
      <w:pPr>
        <w:pStyle w:val="TextBody"/>
        <w:bidi w:val="0"/>
        <w:spacing w:lineRule="auto" w:line="556" w:before="120" w:after="283"/>
        <w:jc w:val="center"/>
        <w:rPr/>
      </w:pPr>
      <w:r>
        <w:rPr>
          <w:rFonts w:ascii="Times New Roman;serif" w:hAnsi="Times New Roman;serif"/>
          <w:b w:val="false"/>
          <w:color w:val="000000"/>
          <w:sz w:val="24"/>
        </w:rPr>
        <w:t>ARTICLE 6</w:t>
        <w:br/>
      </w:r>
      <w:r>
        <w:rPr>
          <w:rFonts w:ascii="Times New Roman;serif" w:hAnsi="Times New Roman;serif"/>
          <w:b w:val="false"/>
          <w:color w:val="000000"/>
          <w:sz w:val="24"/>
          <w:u w:val="single"/>
        </w:rPr>
        <w:t>ALTERATIONS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6.1.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Except as otherwise provided in this paragraph, Tenant shall not make or permit to be made any Alterations without Landlord’s prior written consent, which consent shall not be unreasonably withheld or delayed, provided that: (i) the outside appearance of the Building shall not be affected; (ii) the strength of the Building shall not be affected; (iii) the structural parts of the Building shall not be affected; (iv) no part of the Building outside of the Premises shall be affected; (v) the Building Systems shall not be affected and the use of such systems by Tenant shall not be increased beyond Tenant’s allocable portion of the reserve capacity thereof, if any and (vi) the cost of such Alterations do not exceed Two Hundred Fifty Thousand and 00/100 Dollars ($250,000.00). Reference is made to </w:t>
      </w:r>
      <w:r>
        <w:rPr>
          <w:rFonts w:ascii="Times New Roman;serif" w:hAnsi="Times New Roman;serif"/>
          <w:b w:val="false"/>
          <w:color w:val="000000"/>
          <w:sz w:val="24"/>
          <w:u w:val="single"/>
        </w:rPr>
        <w:t>Schedule B</w:t>
      </w:r>
      <w:r>
        <w:rPr>
          <w:color w:val="000000"/>
        </w:rPr>
        <w:t xml:space="preserve"> </w:t>
      </w:r>
      <w:r>
        <w:rPr>
          <w:rFonts w:ascii="Times New Roman;serif" w:hAnsi="Times New Roman;serif"/>
          <w:b w:val="false"/>
          <w:color w:val="000000"/>
          <w:sz w:val="24"/>
        </w:rPr>
        <w:t>hereto, which contains the Building Alteration Rules and Regulations applicable to the Building, which is incorporated by reference in this Lease. Landlord reserves the right to make reasonable changes and additions thereto. Notwithstanding anything to the contrary provided in this Lease, the consent of Landlord and the engagement of an architect shall not be required for (x) mere painting, wall-covering, carpeting or other similar-type cosmetic improvements in or to the Premises (“</w:t>
      </w:r>
      <w:r>
        <w:rPr>
          <w:rFonts w:ascii="Times New Roman;serif" w:hAnsi="Times New Roman;serif"/>
          <w:b w:val="false"/>
          <w:color w:val="000000"/>
          <w:sz w:val="24"/>
          <w:u w:val="single"/>
        </w:rPr>
        <w:t>Decorative Alterations</w:t>
      </w:r>
      <w:r>
        <w:rPr>
          <w:color w:val="000000"/>
        </w:rPr>
        <w:t>”</w:t>
      </w:r>
      <w:r>
        <w:rPr>
          <w:rFonts w:ascii="Times New Roman;serif" w:hAnsi="Times New Roman;serif"/>
          <w:b w:val="false"/>
          <w:color w:val="000000"/>
          <w:sz w:val="24"/>
        </w:rPr>
        <w:t xml:space="preserve">) or (y) any Alterations in the Premises that satisfy the conditions set forth in </w:t>
      </w:r>
      <w:r>
        <w:rPr>
          <w:rFonts w:ascii="Times New Roman;serif" w:hAnsi="Times New Roman;serif"/>
          <w:b w:val="false"/>
          <w:color w:val="000000"/>
          <w:sz w:val="24"/>
          <w:u w:val="single"/>
        </w:rPr>
        <w:t>clauses (i) through (iv)</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6.1(A)</w:t>
      </w:r>
      <w:r>
        <w:rPr>
          <w:rFonts w:ascii="Times New Roman;serif" w:hAnsi="Times New Roman;serif"/>
          <w:b w:val="false"/>
          <w:color w:val="000000"/>
          <w:sz w:val="24"/>
        </w:rPr>
        <w:t>, and cost no more than One Hundred Fifty Thousand and 00/100 Dollars ($150,000.00) (</w:t>
      </w:r>
      <w:r>
        <w:rPr>
          <w:rFonts w:ascii="Times New Roman;serif" w:hAnsi="Times New Roman;serif"/>
          <w:b w:val="false"/>
          <w:color w:val="000000"/>
          <w:sz w:val="24"/>
          <w:u w:val="single"/>
        </w:rPr>
        <w:t>clauses (x) and (y)</w:t>
      </w:r>
      <w:r>
        <w:rPr>
          <w:color w:val="000000"/>
        </w:rPr>
        <w:t xml:space="preserve"> </w:t>
      </w:r>
      <w:r>
        <w:rPr>
          <w:rFonts w:ascii="Times New Roman;serif" w:hAnsi="Times New Roman;serif"/>
          <w:b w:val="false"/>
          <w:color w:val="000000"/>
          <w:sz w:val="24"/>
        </w:rPr>
        <w:t>being referred to herein as “</w:t>
      </w:r>
      <w:r>
        <w:rPr>
          <w:rFonts w:ascii="Times New Roman;serif" w:hAnsi="Times New Roman;serif"/>
          <w:b w:val="false"/>
          <w:color w:val="000000"/>
          <w:sz w:val="24"/>
          <w:u w:val="single"/>
        </w:rPr>
        <w:t>Minor Alterations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each case governed by </w:t>
      </w:r>
      <w:r>
        <w:rPr>
          <w:rFonts w:ascii="Times New Roman;serif" w:hAnsi="Times New Roman;serif"/>
          <w:b w:val="false"/>
          <w:color w:val="000000"/>
          <w:sz w:val="24"/>
          <w:u w:val="single"/>
        </w:rPr>
        <w:t>clauses (x) and (y)</w:t>
      </w:r>
      <w:r>
        <w:rPr>
          <w:color w:val="000000"/>
        </w:rPr>
        <w:t xml:space="preserve"> </w:t>
      </w:r>
      <w:r>
        <w:rPr>
          <w:rFonts w:ascii="Times New Roman;serif" w:hAnsi="Times New Roman;serif"/>
          <w:b w:val="false"/>
          <w:color w:val="000000"/>
          <w:sz w:val="24"/>
        </w:rPr>
        <w:t>of this sentence, (I) no governmental permit is required in connection therewith, and (II) Tenant shall give Landlord at least two (2) weeks prior notice of Tenant’s performance of any such Decorative Alterations and/or other Minor Alterations and shall schedule the performance of the same with Landlord.</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(1)     Prior to making any Alterations, Tenant shall, at Tenant’s expense, (i) except with respect to Decorative Alterations and Minor Alterations, submit to Landlord six (6) sets of blue lines of final, stamped and detailed plans and specifications (including layout, architectural, electrical, mechanical and structural drawings) that comply with all Requirements for each proposed Alteration, and Tenant shall not commence any such Alteration without first obtaining Landlord’s approval of such plans and specifications, (ii) at Tenant’s expense, obtain all permits, approvals and certificates required by any Government Authorities, and (iii) furnish to Landlord duplicate original policies of worker’s compensation insurance (covering all persons to be employed by Tenant, and Tenant’s contractors and subcontractors, in connection with such Alteration) and commercial general liability insurance (including premises operation, bodily injury, personal injury, death, independent contractors, products and completed operations, broad form contractual liability and broad form property damage coverages), in such form, with such companies, for such periods and in such amounts as Landlord may reasonably approve, naming Landlord and its agents, any Lessor and any Mortgagee, as additional insureds. Upon completion of such Alteration, Tenant, at Tenant’s expense, shall obtain certificates of final approval of such Alterations required by any Government Authority and shall furnish Landlord with copies thereof, together with the “as-built” plans and specifications for such Alterations, in such format as shall from time to time be reasonably designated by Landlord. All Alterations shall be made and performed in accordance with the plans and specifications therefor as approved by Landlord, all Requirements and the Rules and Regulations. All materials and equipment to be incorporated in the Premises as a result of any Alterations shall be first quality and no such materials or equipment shall be subject to any lien, encumbrance, chattel mortgage, title retention or security agreement. In addition, no such Alteration for which the cost of labor and materials (as estimated by Landlord’s architect, engineer or contractor) is in excess of One Hundred Fifty Thousand and 00/100 Dollars ($150,000.00), either individually or in the aggregate with any other Alteration constructed in any twelve (12) month period, shall be undertaken prior to Tenant’s delivering to Landlord such security for timely lien-free completion thereof as is reasonably satisfactory to Landlord, and such Alteration shall be performed only under the supervision of a licensed architect satisfactory to Landlord.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(2)     Landlord shall endeavor to respond to the proposed plans and specifications referred to in </w:t>
      </w:r>
      <w:r>
        <w:rPr>
          <w:rFonts w:ascii="Times New Roman;serif" w:hAnsi="Times New Roman;serif"/>
          <w:b w:val="false"/>
          <w:color w:val="000000"/>
          <w:sz w:val="24"/>
          <w:u w:val="single"/>
        </w:rPr>
        <w:t>Section 6.1(B)(1)(i)</w:t>
      </w:r>
      <w:r>
        <w:rPr>
          <w:color w:val="000000"/>
        </w:rPr>
        <w:t xml:space="preserve"> </w:t>
      </w:r>
      <w:r>
        <w:rPr>
          <w:rFonts w:ascii="Times New Roman;serif" w:hAnsi="Times New Roman;serif"/>
          <w:b w:val="false"/>
          <w:color w:val="000000"/>
          <w:sz w:val="24"/>
        </w:rPr>
        <w:t>within twelve (12) Business Days after submission, but Landlord shall have no liability to Tenant by reason of Landlord’s failure to respond within such time period. Landlord reserves the right to disapprove any plans and specifications in part, to reserve approval of items shown thereon pending its review and approval of other plans and specifications, and to condition its approval upon Tenant making revisions to the plans and specifications or supplying additional information. Tenant agrees that any review or approval by Landlord of any plans and/or specifications with respect to any Alteration is solely for Landlord’s benefit, and without any representation, warranty or liability whatsoever to Tenant or any other Person with respect to the adequacy, correctness or sufficiency thereof or with respect to Requirements or otherwise.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Except as otherwise provided in the Building Rules and Building Standards for Alterations, Tenant shall be permitted to perform Alterations during Operating Hours, provided that such work does not interfere with or interrupt the operation and maintenance of the Building or unreasonably interfere with or interrupt the use and occupancy of the Building by other tenants in the Building. Otherwise, Alterations shall be performed at </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Tenant’s expense and at such times and in such manner as Landlord may from time to time reasonably designate. All Alterations shall become a part of the Building and shall be Landlord’s property from and after the installation thereof and may not be removed or changed without Landlord’s consent. Notwithstanding the foregoing, however, Landlord, at Tenant’s request, on or before the date Landlord approves Tenant’s plans and specifications for such Alterations, shall notify Tenant whether Landlord will at the end of the Term require Tenant to remove those Alterations designated by Landlord as specialty Alterations (“</w:t>
      </w:r>
      <w:r>
        <w:rPr>
          <w:rFonts w:ascii="Times New Roman;serif" w:hAnsi="Times New Roman;serif"/>
          <w:b w:val="false"/>
          <w:color w:val="000000"/>
          <w:sz w:val="24"/>
          <w:u w:val="single"/>
        </w:rPr>
        <w:t>Specialty Alterations</w:t>
      </w:r>
      <w:r>
        <w:rPr>
          <w:color w:val="000000"/>
        </w:rPr>
        <w:t>”</w:t>
      </w:r>
      <w:r>
        <w:rPr>
          <w:rFonts w:ascii="Times New Roman;serif" w:hAnsi="Times New Roman;serif"/>
          <w:b w:val="false"/>
          <w:color w:val="000000"/>
          <w:sz w:val="24"/>
        </w:rPr>
        <w:t xml:space="preserve">), which shall only be structural Alterations or those Alterations that exceed the customary, standard types of Alterations for general, executive and administrative business offices in Manhattan and which would be materially more expensive to demolish or remove than such customary, standard types of Alterations, and to repair and restore in a good and workmanlike manner to Building standard condition (reasonable wear and tear excepted) any damage to the Premises or the Building caused by such removal. If Tenant fails to make such request Landlord may require Tenant to remove any Specialty Alterations made in connection therewith and so to repair and restore any resulting damage, by giving Tenant a notice in writing not later than ninety (90) days prior to the Fixed Expiration Date or within fifteen (15) days after any earlier termination of this Lease. For the avoidance of doubt, Tenant shall have no obligation to remove any Decorative Alterations, Minor Alterations, or any Alterations to which Landlord has consented other than Specialty Alterations (provided that Tenant shall not be required to remove any Alterations installed in the Premises as of the date of this Lease). Without limiting the foregoing provisions, and notwithstanding anything to the contrary contained therein, upon the Expiration Date or the earlier termination of the Term, Tenant shall remove all wiring and cabling installed by Tenant from the raceways and conduits located in the Premises. All Tenant’s Property shall remain the property of Tenant and, on or before the Expiration Date or earlier end of the Term, may be removed from the Premises by Tenant at Tenant’s option, provided, however, that Tenant shall repair and restore in a good and workmanlike manner to Building standard condition (reasonable wear and tear excepted) any damage to the Premises or the Building caused by such removal. The provisions of this </w:t>
      </w:r>
      <w:r>
        <w:rPr>
          <w:rFonts w:ascii="Times New Roman;serif" w:hAnsi="Times New Roman;serif"/>
          <w:b w:val="false"/>
          <w:color w:val="000000"/>
          <w:sz w:val="24"/>
          <w:u w:val="single"/>
        </w:rPr>
        <w:t>Section 6.1(C)</w:t>
      </w:r>
      <w:r>
        <w:rPr>
          <w:color w:val="000000"/>
        </w:rPr>
        <w:t xml:space="preserve"> </w:t>
      </w:r>
      <w:r>
        <w:rPr>
          <w:rFonts w:ascii="Times New Roman;serif" w:hAnsi="Times New Roman;serif"/>
          <w:b w:val="false"/>
          <w:color w:val="000000"/>
          <w:sz w:val="24"/>
        </w:rPr>
        <w:t>shall survive the expiration or earlier termination of this 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(1)     All Alterations shall be performed, at Tenant’s sole cost and expense, by contractors, subcontractors or mechanics approved by Landlord.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Notwithstanding the foregoing, with respect to any Alteration affecting any Building Systems, (i) Tenant shall employ Landlord’s or the Manager’s designated contractor, and (ii) the Alteration shall, at Tenant’s expense, be designed and supervised by either Landlord’s or the Manager’s engineer. In addition, Tenant shall employ Landlord’s or the Manager’s designated expediter with respect to any filings with, or other submissions to, applicable Government Authorities in connection with any of Tenant’s Alterations.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(1)     Any mechanic’s lien filed against the Premises or the Real Property for work claimed to have been done for, or materials claimed to have been furnished to, Tenant shall be cancelled or discharged by Tenant, by payment or filing of the bond required by law, within twenty (20) days after such lien shall be filed, and Tenant shall indemnify and hold Landlord harmless from and against any and all costs, expenses, claims, losses or damages resulting therefrom by reason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If Tenant shall fail to discharge such mechanic’s lien within the aforesaid period, then, in addition to any other right or remedy of Landlord, Landlord may, but shall not be obligated to, discharge the same either by paying the amount claimed to be due or by procuring the discharge of such lien by deposit in court or bonding, and in any such event, Landlord shall be entitled, if Landlord so elects, to compel the prosecution of an action for the foreclosure of such mechanic’s lien by the lienor and to pay the amount of the judgment, if any, in favor of the lienor, with interest, costs and allowances.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(3)     Any amount paid by Landlord for any of the aforesaid charges and for all expenses of Landlord (including, but not limited to, attorneys’ fees and disbursements) incurred in defending any such action, discharging said lien or in procuring the discharge of said lien, with interest on all such amounts at the maximum legal rate of interest then chargeable to Tenant from the date of payment, shall be repaid by Tenant within ten (10) days after written demand therefor, and all amounts so repayable, together with such interest, shall be considered Additional Rent.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6.2.     Tenant shall reimburse Landlord, within ten (10) Business Days after demand therefor, for any actual out-of-pocket third party expense incurred by Landlord for reviewing the plans and specifications for any Alterations.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6.3.     Landlord, at Tenant’s expense, and upon the request of Tenant, shall join in any applications for any permits, approvals or certificates required to be obtained by Tenant in connection with any permitted Alteration (provided that the provisions of the applicable Requirements shall require that Landlord join in such application) and shall otherwise cooperate with Tenant in connection therewith, provided that Landlord shall not be obligated to incur any cost or expense or liability in connection therewith and, provided further, that in no event shall Tenant, its architect, engineer or other construction consultant be permitted to utilize any so-called “self-certification” procedure to obtain building permits with respect to any proposed Alterations.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6.4.     Tenant shall furnish to Landlord copies of records of all Alterations and of the cost thereof within fifteen (15) days after the completion of such Alterations.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6.5.     (A)    Provided that no Event of Default is then continuing under this Lease, from and after May 1, 2028, Landlord, subject to the conditions set forth below, shall pay to Tenant (or any Permitted Transferee) up to the amount of the Tenant Improvement Allowance (i) in connection with the Alterations to be made by Tenant for Tenant’s continued occupancy of the Premises during the Term (the “</w:t>
      </w:r>
      <w:r>
        <w:rPr>
          <w:rFonts w:ascii="Times New Roman;serif" w:hAnsi="Times New Roman;serif"/>
          <w:b w:val="false"/>
          <w:color w:val="000000"/>
          <w:sz w:val="24"/>
          <w:u w:val="single"/>
        </w:rPr>
        <w:t>Initial Alterations</w:t>
      </w:r>
      <w:r>
        <w:rPr>
          <w:color w:val="000000"/>
        </w:rPr>
        <w:t>”</w:t>
      </w:r>
      <w:r>
        <w:rPr>
          <w:rFonts w:ascii="Times New Roman;serif" w:hAnsi="Times New Roman;serif"/>
          <w:b w:val="false"/>
          <w:color w:val="000000"/>
          <w:sz w:val="24"/>
        </w:rPr>
        <w:t xml:space="preserve">), for those costs and expenses directly incurred by Tenant in connection with the actual hard costs of construction of the Initial Alterations, as shown on the approved plans and specifications referred to in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for such Initial Alterations (which Initial Alterations may include Decorative Alterations and/or Minor Alterations); and (ii) for so-called “soft costs” for Tenant’s architectural, engineering and design fees, construction management fees and expediting and filing fees;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Landlord shall not be obligated to fund more than twenty (20%) percent of the Tenant Improvement Allowance for such “soft costs”. Tenant shall submit to Landlord a line item budget setting forth estimated construction costs in detail prior to commencement of the Initial Alterations.</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(B)    Provided that no Event of Default is then continuing, Landlord shall pay for such costs by reimbursing Tenant up to the amount of the Tenant Improvement Allowance from time to time, but not more frequently than in monthly installments, with respect to each such installment within thirty (30) days after: (i) Landlord receives from Tenant proper invoices marked “paid” and lien waivers for that portion of the Initial Alterations then completed; (ii) with respect to hard costs of Alterations for which Tenant is required to engage an architect as set forth in this Lease, Landlord receives from Tenant an original executed certificate from Tenant's independent licensed architect stating (x) that, in his or her opinion, the portion of the Initial Alterations completed and for which the disbursement is requested was performed in a good and workmanlike manner and substantially in accordance with Tenant's plans and specifications, and (y) the percentage of the Initial Alterations completed as of the date of such certificate; (iii) with respect to hard costs, all Governmental Authorities having or asserting jurisdiction (including the Department of Buildings or similar agency) shall have issued final approvals of that portion of the Initial Alterations then completed (to the extent approvals are issued for such portions of work and to the extent required in compliance with Requirements), and true copies of such approvals shall have been delivered to Landlord; and (iv) Landlord receives from Tenant a written signed statement or request from an authorized officer of Tenant outlining in reasonable detail the amount of the Tenant Improvement Allowance then being requested in such installment, along with a certified statement by Tenant that the amount claimed is for reimbursement to Tenant following Tenant’s payment of the listed parties. Landlord may retain ten percent (10%) of each installment of the Tenant Improvement Allowance and hold the same as retainage (the “</w:t>
      </w:r>
      <w:r>
        <w:rPr>
          <w:rFonts w:ascii="Times New Roman;serif" w:hAnsi="Times New Roman;serif"/>
          <w:b w:val="false"/>
          <w:color w:val="000000"/>
          <w:sz w:val="24"/>
          <w:u w:val="single"/>
        </w:rPr>
        <w:t>Retainage</w:t>
      </w:r>
      <w:r>
        <w:rPr>
          <w:color w:val="000000"/>
        </w:rPr>
        <w:t>”</w:t>
      </w:r>
      <w:r>
        <w:rPr>
          <w:rFonts w:ascii="Times New Roman;serif" w:hAnsi="Times New Roman;serif"/>
          <w:b w:val="false"/>
          <w:color w:val="000000"/>
          <w:sz w:val="24"/>
        </w:rPr>
        <w:t xml:space="preserve">) until the Initial Alterations are completed and approved by Landlord (and all documentation for this final installment are timely submitted and requirements met, as set forth herein). Each such request with respect to such installment of the Tenant Improvement Allowance must be made by Tenant and received by Landlord (along with all required documentation and information set forth in this </w:t>
      </w:r>
      <w:r>
        <w:rPr>
          <w:rFonts w:ascii="Times New Roman;serif" w:hAnsi="Times New Roman;serif"/>
          <w:b w:val="false"/>
          <w:color w:val="000000"/>
          <w:sz w:val="24"/>
          <w:u w:val="single"/>
        </w:rPr>
        <w:t>Section 6.5(B)</w:t>
      </w:r>
      <w:r>
        <w:rPr>
          <w:rFonts w:ascii="Times New Roman;serif" w:hAnsi="Times New Roman;serif"/>
          <w:b w:val="false"/>
          <w:color w:val="000000"/>
          <w:sz w:val="24"/>
        </w:rPr>
        <w:t>) no later than two (2) years after the Commencement Date (the “</w:t>
      </w:r>
      <w:r>
        <w:rPr>
          <w:rFonts w:ascii="Times New Roman;serif" w:hAnsi="Times New Roman;serif"/>
          <w:b w:val="false"/>
          <w:color w:val="000000"/>
          <w:sz w:val="24"/>
          <w:u w:val="single"/>
        </w:rPr>
        <w:t>TIA Requisition Deadline</w:t>
      </w:r>
      <w:r>
        <w:rPr>
          <w:color w:val="000000"/>
        </w:rPr>
        <w:t>”</w:t>
      </w:r>
      <w:r>
        <w:rPr>
          <w:rFonts w:ascii="Times New Roman;serif" w:hAnsi="Times New Roman;serif"/>
          <w:b w:val="false"/>
          <w:color w:val="000000"/>
          <w:sz w:val="24"/>
        </w:rPr>
        <w:t>). In the event the cost of the Initial Alterations exceeds the Tenant Improvement Allowance, Tenant shall be responsible to pay all of such excess costs and expenses. It is expressly understood and agreed that Tenant shall complete the Initial Alterations, whether or not the Tenant Improvement Allowance is sufficient to fund such completion. Notwithstanding the foregoing, except for the Retainage, Tenant shall have the right to convert any unused portions of the Tenant Improvement Allowance to a credit against the Fixed Rent due hereunder by notice given to Landlord, which notice may be given at any time from the TIA Requisition Deadline through and including the first (1st) anniversary of the TIA Requisition Deadline (it being agreed that any such credit shall be applied against the installment(s) of Fixed Rent commencing on the first day of the first month immediately following the month in which such notice is given, until the credit shall be fully applied).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(C)    Notwithstanding anything to the contrary contained in this </w:t>
      </w:r>
      <w:r>
        <w:rPr>
          <w:rFonts w:ascii="Times New Roman;serif" w:hAnsi="Times New Roman;serif"/>
          <w:b w:val="false"/>
          <w:color w:val="000000"/>
          <w:sz w:val="24"/>
          <w:u w:val="single"/>
        </w:rPr>
        <w:t>Section 6.5</w:t>
      </w:r>
      <w:r>
        <w:rPr>
          <w:rFonts w:ascii="Times New Roman;serif" w:hAnsi="Times New Roman;serif"/>
          <w:b w:val="false"/>
          <w:color w:val="000000"/>
          <w:sz w:val="24"/>
        </w:rPr>
        <w:t>, if, at the time any installment of the Tenant Improvement Allowance is required to be made, Tenant is in arrears in the payment of Fixed Rent or Additional Rent beyond any applicable periods of notice and cure, then Landlord may offset the amount of such arrearages against the installment due from Landlord under this</w:t>
      </w:r>
      <w:r>
        <w:rPr>
          <w:color w:val="000000"/>
        </w:rPr>
        <w:t xml:space="preserve"> </w:t>
      </w:r>
      <w:r>
        <w:rPr>
          <w:rFonts w:ascii="Times New Roman;serif" w:hAnsi="Times New Roman;serif"/>
          <w:b w:val="false"/>
          <w:color w:val="000000"/>
          <w:sz w:val="24"/>
          <w:u w:val="single"/>
        </w:rPr>
        <w:t>Section 6.5</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(D)    Subject to the terms and conditions set forth in this </w:t>
      </w:r>
      <w:r>
        <w:rPr>
          <w:rFonts w:ascii="Times New Roman;serif" w:hAnsi="Times New Roman;serif"/>
          <w:b w:val="false"/>
          <w:color w:val="000000"/>
          <w:sz w:val="24"/>
          <w:u w:val="single"/>
        </w:rPr>
        <w:t>Section 6.5</w:t>
      </w:r>
      <w:r>
        <w:rPr>
          <w:rFonts w:ascii="Times New Roman;serif" w:hAnsi="Times New Roman;serif"/>
          <w:b w:val="false"/>
          <w:color w:val="000000"/>
          <w:sz w:val="24"/>
        </w:rPr>
        <w:t xml:space="preserve">, within thirty (30) days after the last to occur of (i) Tenant’s request for the final installment of </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Tenant Improvement Allowance, (ii) substantial completion of the Initial Alterations in accordance with the terms hereof, (iii) delivery to Landlord of general releases and waivers of lien from all contractors, subcontractors and materialmen involved in the performance of the Initial Alterations and the supply of materials used in connection with the Initial Alterations, (iv) unless the Initial Alterations consist entirely of Decorative Alterations and/or Minor Alterations not requiring the preparation of plans and specifications by an architect, delivery to Landlord of a certificate from Tenant’s independent licensed architect certifying that (x) in his or her opinion the Initial Alterations has been performed in a good and workmanlike manner and completed substantially in accordance with Tenant’s plans and specifications for the Initial Alterations, and (y) to his or her knowledge all contractors, subcontractors and materialmen have been paid for the Initial Alterations, and materials furnished through such date, and (v) satisfaction in all material respects of all of the conditions set forth above in this </w:t>
      </w:r>
      <w:r>
        <w:rPr>
          <w:rFonts w:ascii="Times New Roman;serif" w:hAnsi="Times New Roman;serif"/>
          <w:b w:val="false"/>
          <w:color w:val="000000"/>
          <w:sz w:val="24"/>
          <w:u w:val="single"/>
        </w:rPr>
        <w:t>Section 6.5</w:t>
      </w:r>
      <w:r>
        <w:rPr>
          <w:rFonts w:ascii="Times New Roman;serif" w:hAnsi="Times New Roman;serif"/>
          <w:b w:val="false"/>
          <w:color w:val="000000"/>
          <w:sz w:val="24"/>
        </w:rPr>
        <w:t xml:space="preserve">, Landlord shall pay the Retainage to Tenant. Tenant expressly agrees that Landlord’s obligation to pay the Retainage shall also be conditioned upon Tenant’s compliance with the requirements set forth in </w:t>
      </w:r>
      <w:r>
        <w:rPr>
          <w:rFonts w:ascii="Times New Roman;serif" w:hAnsi="Times New Roman;serif"/>
          <w:b w:val="false"/>
          <w:color w:val="000000"/>
          <w:sz w:val="24"/>
          <w:u w:val="single"/>
        </w:rPr>
        <w:t>Section 6.5(B)</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(E)    In no event shall the aggregate amount paid by Landlord to Tenant under this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ever exceed the amount of the Tenant Improvement Allowance set forth on the Reference Page.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(F)    For the avoidance of doubt, Tenant may use the Tenant Improvement Allowance for Alterations, Decorative Alterations or Minor Alterations made as part of the Initial Alterations in accordance with this </w:t>
      </w:r>
      <w:r>
        <w:rPr>
          <w:rFonts w:ascii="Times New Roman;serif" w:hAnsi="Times New Roman;serif"/>
          <w:b w:val="false"/>
          <w:color w:val="000000"/>
          <w:sz w:val="24"/>
          <w:u w:val="single"/>
        </w:rPr>
        <w:t>Article 6</w:t>
      </w:r>
      <w:r>
        <w:rPr>
          <w:rFonts w:ascii="Times New Roman;serif" w:hAnsi="Times New Roman;serif"/>
          <w:b w:val="false"/>
          <w:color w:val="000000"/>
          <w:sz w:val="24"/>
        </w:rPr>
        <w:t xml:space="preserve">. References in this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to Tenant shall include any Permitted Transferee.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6.6. </w:t>
      </w:r>
      <w:r>
        <w:rPr>
          <w:color w:val="000000"/>
        </w:rPr>
        <w:t>    </w:t>
      </w:r>
      <w:r>
        <w:rPr>
          <w:rFonts w:ascii="Times New Roman;serif" w:hAnsi="Times New Roman;serif"/>
          <w:b w:val="false"/>
          <w:color w:val="000000"/>
          <w:sz w:val="24"/>
        </w:rPr>
        <w:t>Tenant shall not, at any time prior to or during the Term, directly or indirectly employ, or permit the employment of, any contractor, mechanic or laborer in the Premises, whether in connection with any Alteration or otherwise, if such employment would interfere or cause any conflict with other contractors, mechanics or laborers engaged in the construction, maintenance or operation of the Building by Landlord, Tenant or others, or of any other property owned by Landlord. In the event of any such interference or conflict, Tenant, upon demand of Landlord, shall cause all contractors, mechanics or laborers causing such interference or conflict to leave the Building immediately.</w:t>
      </w:r>
    </w:p>
    <w:p>
      <w:pPr>
        <w:pStyle w:val="TextBody"/>
        <w:bidi w:val="0"/>
        <w:spacing w:lineRule="auto" w:line="556" w:before="120" w:after="283"/>
        <w:jc w:val="center"/>
        <w:rPr/>
      </w:pPr>
      <w:r>
        <w:rPr>
          <w:rFonts w:ascii="Times New Roman;serif" w:hAnsi="Times New Roman;serif"/>
          <w:b w:val="false"/>
          <w:color w:val="000000"/>
          <w:sz w:val="24"/>
        </w:rPr>
        <w:t>ARTICLE 7</w:t>
        <w:br/>
      </w:r>
      <w:r>
        <w:rPr>
          <w:rFonts w:ascii="Times New Roman;serif" w:hAnsi="Times New Roman;serif"/>
          <w:b w:val="false"/>
          <w:color w:val="000000"/>
          <w:sz w:val="24"/>
          <w:u w:val="single"/>
        </w:rPr>
        <w:t>REPAIRS; FLOOR LOAD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7.1.     Tenant, at Tenant’s sole cost and expense, shall take good care of the Premises and the fixtures, equipment and appurtenances therein (and any supplemental air-conditioning equipment and any other equipment installed by Tenant, wherever located) and make all repairs thereto as and when needed to preserve them in good working order and condition, except for (a) reasonable wear and tear, (b) obsolescence and (c) damage for which Tenant is not responsible pursuant to the provisions of </w:t>
      </w:r>
      <w:r>
        <w:rPr>
          <w:rFonts w:ascii="Times New Roman;serif" w:hAnsi="Times New Roman;serif"/>
          <w:b w:val="false"/>
          <w:color w:val="000000"/>
          <w:sz w:val="24"/>
          <w:u w:val="single"/>
        </w:rPr>
        <w:t>Article 13</w:t>
      </w:r>
      <w:r>
        <w:rPr>
          <w:rFonts w:ascii="Times New Roman;serif" w:hAnsi="Times New Roman;serif"/>
          <w:b w:val="false"/>
          <w:color w:val="000000"/>
          <w:sz w:val="24"/>
        </w:rPr>
        <w:t xml:space="preserve">. Except as otherwise provided in this </w:t>
      </w:r>
      <w:r>
        <w:rPr>
          <w:rFonts w:ascii="Times New Roman;serif" w:hAnsi="Times New Roman;serif"/>
          <w:b w:val="false"/>
          <w:color w:val="000000"/>
          <w:sz w:val="24"/>
          <w:u w:val="single"/>
        </w:rPr>
        <w:t>Section 7.1</w:t>
      </w:r>
      <w:r>
        <w:rPr>
          <w:rFonts w:ascii="Times New Roman;serif" w:hAnsi="Times New Roman;serif"/>
          <w:b w:val="false"/>
          <w:color w:val="000000"/>
          <w:sz w:val="24"/>
        </w:rPr>
        <w:t>, Tenant shall not be obligated to repair any Building Systems, except that Tenant shall (i) maintain the fire and life safety system and its components (“</w:t>
      </w:r>
      <w:r>
        <w:rPr>
          <w:rFonts w:ascii="Times New Roman;serif" w:hAnsi="Times New Roman;serif"/>
          <w:b w:val="false"/>
          <w:color w:val="000000"/>
          <w:sz w:val="24"/>
          <w:u w:val="single"/>
        </w:rPr>
        <w:t>Class E Systems</w:t>
      </w:r>
      <w:r>
        <w:rPr>
          <w:color w:val="000000"/>
        </w:rPr>
        <w:t>”</w:t>
      </w:r>
      <w:r>
        <w:rPr>
          <w:rFonts w:ascii="Times New Roman;serif" w:hAnsi="Times New Roman;serif"/>
          <w:b w:val="false"/>
          <w:color w:val="000000"/>
          <w:sz w:val="24"/>
        </w:rPr>
        <w:t xml:space="preserve">) within the Premises by entering into a maintenance contract with the Building’s Class E System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contractor and (ii) at its cost hire the Building’s Class E Systems contractor to re-connect the Class E Systems within the Premises to the Building’s Class E Systems (if Tenant causes the same to be disconnected). The design and decoration of the elevator areas of each floor of the Premises and the public corridors of any floor of the Premises occupied by more than one (1) occupant shall be under the sole control of Landlord. Notwithstanding any provision contained in this Lease to the contrary, all damage or injury to the Premises, and all damage or injury to any other part of the Building, or to its fixtures, equipment and appurtenances (including Building Systems), whether requiring structural or non-structural repairs, caused by the moving of Tenant’s Property or caused by or resulting from any act or omission of, or Alterations made by, Tenant or Persons Within Tenant’s Control, shall be repaired by Tenant, at Tenant’s sole cost and expense, to the reasonable satisfaction of Landlord (if the required repairs are non-structural in nature and do not affect any Building Systems), or by Landlord at Tenant’s sole cost and expense (if the required repairs are structural in nature or affect any Building Systems). All of the aforesaid repairs shall be performed in a manner and with materials and design of first class and quality consistent with first-class office buildings in Manhattan and shall be made in accordance with the provisions of </w:t>
      </w:r>
      <w:r>
        <w:rPr>
          <w:rFonts w:ascii="Times New Roman;serif" w:hAnsi="Times New Roman;serif"/>
          <w:b w:val="false"/>
          <w:color w:val="000000"/>
          <w:sz w:val="24"/>
          <w:u w:val="single"/>
        </w:rPr>
        <w:t>Article 6</w:t>
      </w:r>
      <w:r>
        <w:rPr>
          <w:rFonts w:ascii="Times New Roman;serif" w:hAnsi="Times New Roman;serif"/>
          <w:b w:val="false"/>
          <w:color w:val="000000"/>
          <w:sz w:val="24"/>
        </w:rPr>
        <w:t>. If Tenant shall fail, after five (5) days’ notice (or such shorter period as may be required because of an emergency), to proceed with due diligence to make repairs required to be made by Tenant, the same may be made by Landlord, at the expense of Tenant, and the expenses thereof incurred by Landlord, with interest thereon at the Applicable Rate, shall be paid to Landlord, as Additional Rent, within ten (10) days after rendition of a bill or statement therefor. Tenant shall give Landlord prompt notice of any defective condition in any Building Systems located in, servicing or passing through the Premises.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7.2.     Tenant shall not place a load upon any floor of the Premises which exceeds fifty (50) pounds per square foot “live load”. Tenant shall not locate or move any safe, heavy machinery, heavy equipment, business machines, freight, bulky matter or fixtures into or out of the Building without Landlord’s prior consent, which consent shall not be unreasonably withheld, and Tenant shall make payment to Landlord of Landlord’s costs in connection therewith. If such safe, machinery, equipment, freight, bulky matter or fixture requires special handling (as determined by Landlord), Tenant shall employ only persons holding a Master Rigger’s license to do said work. All work in connection therewith shall comply with the Requirements, and shall be done during such hours as Landlord may designate. Business machines and mechanical equipment shall be placed and maintained by Tenant, at Tenant’s expense, in settings sufficient, in Landlord’s reasonable judgment, to absorb and prevent vibration, noise and annoyance.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7.3.     Landlord shall operate, maintain and make all necessary repairs (both structural and non-structural) to the Building Systems (including, without limitation, the HVAC System) and the public portions of the Building, both exterior and interior, in conformance with standards applicable to comparable office buildings in Manhattan, except for those repairs for which Tenant is responsible pursuant to any other provision of this Lease. Landlord shall use reasonable efforts to minimize interference with Tenant’s use and occupancy of the Premises in making any repairs, alterations, additions or improvements; provided, however, that Landlord shall have no obligation to employ contractors or labor at so-called overtime or other premium pay rates or to incur any other overtime costs in connection with such repairs, alterations, additions or improvements. Notwithstanding the foregoing, if Tenant shall so request, Landlord </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employ contractors or labor at so-called overtime or other premium pay rates or incur other overtime costs in making such repairs, alterations, additions or improvements, provided Tenant shall pay to Landlord, as Additional Rent, within ten (10) days after demand therefor, an amount equal to the excess costs incurred by Landlord by reason of compliance with Tenant’s request. Except as expressly provided in this Lease, there shall be no allowance to Tenant for a diminution of rental value and no liability on the part of Landlord by reason of inconvenience, annoyance or injury to business arising from Landlord, Tenant or others making, or failing to make, any repairs, alterations, additions or improvements in or to any portion of the Building or the Premises, or its fixtures, appurtenances or equipment.</w:t>
      </w:r>
    </w:p>
    <w:p>
      <w:pPr>
        <w:pStyle w:val="TextBody"/>
        <w:bidi w:val="0"/>
        <w:spacing w:lineRule="auto" w:line="556" w:before="120" w:after="283"/>
        <w:jc w:val="center"/>
        <w:rPr/>
      </w:pPr>
      <w:r>
        <w:rPr>
          <w:rFonts w:ascii="Times New Roman;serif" w:hAnsi="Times New Roman;serif"/>
          <w:b w:val="false"/>
          <w:color w:val="000000"/>
          <w:sz w:val="24"/>
        </w:rPr>
        <w:t>ARTICLE 8</w:t>
        <w:br/>
      </w:r>
      <w:r>
        <w:rPr>
          <w:rFonts w:ascii="Times New Roman;serif" w:hAnsi="Times New Roman;serif"/>
          <w:b w:val="false"/>
          <w:color w:val="000000"/>
          <w:sz w:val="24"/>
          <w:u w:val="single"/>
        </w:rPr>
        <w:t>WINDOW CLEANING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8.1.     Tenant shall not clean, nor require, permit, suffer or allow any window in the Premises to be cleaned, from the outside in violation of Section 202 of the Labor Law, or any other applicable law, or of the rules of the Board of Standards and Appeals, or of any other board or body having or asserting jurisdiction.</w:t>
      </w:r>
    </w:p>
    <w:p>
      <w:pPr>
        <w:pStyle w:val="TextBody"/>
        <w:bidi w:val="0"/>
        <w:spacing w:lineRule="auto" w:line="556" w:before="120" w:after="283"/>
        <w:jc w:val="center"/>
        <w:rPr/>
      </w:pPr>
      <w:r>
        <w:rPr>
          <w:rFonts w:ascii="Times New Roman;serif" w:hAnsi="Times New Roman;serif"/>
          <w:b w:val="false"/>
          <w:color w:val="000000"/>
          <w:sz w:val="24"/>
        </w:rPr>
        <w:t>ARTICLE 9</w:t>
        <w:br/>
      </w:r>
      <w:r>
        <w:rPr>
          <w:rFonts w:ascii="Times New Roman;serif" w:hAnsi="Times New Roman;serif"/>
          <w:b w:val="false"/>
          <w:color w:val="000000"/>
          <w:sz w:val="24"/>
          <w:u w:val="single"/>
        </w:rPr>
        <w:t>REQUIREMENTS OF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9.1.     Tenant shall not do, and shall not permit Persons Within Tenant’s Control to do, any act or thing in or upon the Premises or the Building which will invalidate or be in conflict with the certificate of occupancy for the Premises or the Building or violate any Requirements. Tenant shall, at Tenant’s sole cost and expense, take all action, including making any required Alterations necessary to comply with all Requirements (including, but not limited to, applicable terms of Local Laws No. 5 of 1973, No. 16 of 1984, No. 76 of 1985, No. 58 of 1987 and the Americans With Disabilities Act of 1990 (the “</w:t>
      </w:r>
      <w:r>
        <w:rPr>
          <w:rFonts w:ascii="Times New Roman;serif" w:hAnsi="Times New Roman;serif"/>
          <w:b w:val="false"/>
          <w:color w:val="000000"/>
          <w:sz w:val="24"/>
          <w:u w:val="single"/>
        </w:rPr>
        <w:t>ADA</w:t>
      </w:r>
      <w:r>
        <w:rPr>
          <w:color w:val="000000"/>
        </w:rPr>
        <w:t>”</w:t>
      </w:r>
      <w:r>
        <w:rPr>
          <w:rFonts w:ascii="Times New Roman;serif" w:hAnsi="Times New Roman;serif"/>
          <w:b w:val="false"/>
          <w:color w:val="000000"/>
          <w:sz w:val="24"/>
        </w:rPr>
        <w:t xml:space="preserve">), each as modified and supplemented from time to time) which shall impose any violation, order or duty upon Landlord or Tenant arising from, or in connection with, the Premises, Tenant’s occupancy, use or manner of use of the Premises (including, without limitation, any occupancy, use or manner of use that constitutes a “place of public accommodation” under the ADA), or any installations in the Premises, or required by reason of a breach of any of Tenant’s covenants or agreements under this Lease, whether or not such Requirements shall now be in effect or hereafter enacted or issued, and whether or not any work required shall be ordinary or extraordinary or foreseen or unforeseen at the date hereof. Notwithstanding the preceding sentence, Tenant shall not be obligated to perform any structural Alterations necessary to comply with any Requirements, unless compliance shall be required by reason of (i) any cause or condition arising out of any Alterations or installations in the Premises (whether made by Tenant or by Landlord on behalf of Tenant), or (ii) Tenant’s particular use, manner of use or occupancy on behalf of Tenant of the Premises (as opposed to mere office use), or (iii) any breach of any of Tenant’s covenants or agreements under this Lease, or (iv) any wrongful act or omission by Tenant or Persons Within Tenant’s Control, or (v) Tenant’s use or manner of use or occupancy of the Premises as a “place of public accommodation” within the meaning of the ADA, in which event Tenant’s obligation to perform any Alteration by reason of this </w:t>
      </w:r>
      <w:r>
        <w:rPr>
          <w:rFonts w:ascii="Times New Roman;serif" w:hAnsi="Times New Roman;serif"/>
          <w:b w:val="false"/>
          <w:color w:val="000000"/>
          <w:sz w:val="24"/>
          <w:u w:val="single"/>
        </w:rPr>
        <w:t>clause (v)</w:t>
      </w:r>
      <w:r>
        <w:rPr>
          <w:color w:val="000000"/>
        </w:rPr>
        <w:t xml:space="preserve"> </w:t>
      </w:r>
      <w:r>
        <w:rPr>
          <w:rFonts w:ascii="Times New Roman;serif" w:hAnsi="Times New Roman;serif"/>
          <w:b w:val="false"/>
          <w:color w:val="000000"/>
          <w:sz w:val="24"/>
        </w:rPr>
        <w:t>shall apply only to the Premises.</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9.2.     Tenant covenants and agrees that Tenant shall, at Tenant’s sole cost and expense, comply at all times with all Requirements governing the use, generation, storage, treatment and/or disposal of any Hazardous Materials (as defined below), the presence of which results from or in connection with the act or omission of Tenant or Persons Within Tenant’s Control or the breach of this Lease by Tenant or Persons Within Tenant’s Control. The term “</w:t>
      </w:r>
      <w:r>
        <w:rPr>
          <w:rFonts w:ascii="Times New Roman;serif" w:hAnsi="Times New Roman;serif"/>
          <w:b w:val="false"/>
          <w:color w:val="000000"/>
          <w:sz w:val="24"/>
          <w:u w:val="single"/>
        </w:rPr>
        <w:t>Hazardous Materials</w:t>
      </w:r>
      <w:r>
        <w:rPr>
          <w:color w:val="000000"/>
        </w:rPr>
        <w:t xml:space="preserve">” </w:t>
      </w:r>
      <w:r>
        <w:rPr>
          <w:rFonts w:ascii="Times New Roman;serif" w:hAnsi="Times New Roman;serif"/>
          <w:b w:val="false"/>
          <w:color w:val="000000"/>
          <w:sz w:val="24"/>
        </w:rPr>
        <w:t xml:space="preserve">shall mean any biologically or chemically active or other toxic or hazardous wastes, pollutants or substances, including, without limitation, asbestos, PCBs, petroleum products and by-products, substances defined or listed as “hazardous substances” or “toxic substances” or similarly identified in or pursuant to the Comprehensive Environmental Response, Compensation and Liability Act, 42 U.S.C. § 9601 </w:t>
      </w:r>
      <w:r>
        <w:rPr>
          <w:rFonts w:ascii="Times New Roman;serif" w:hAnsi="Times New Roman;serif"/>
          <w:b w:val="false"/>
          <w:color w:val="000000"/>
          <w:sz w:val="24"/>
          <w:u w:val="single"/>
        </w:rPr>
        <w:t>et seq</w:t>
      </w:r>
      <w:r>
        <w:rPr>
          <w:rFonts w:ascii="Times New Roman;serif" w:hAnsi="Times New Roman;serif"/>
          <w:b w:val="false"/>
          <w:color w:val="000000"/>
          <w:sz w:val="24"/>
        </w:rPr>
        <w:t xml:space="preserve">., and as hazardous wastes under the Resource Conservation and Recovery Act, 42 U.S.C. § 6010, </w:t>
      </w:r>
      <w:r>
        <w:rPr>
          <w:rFonts w:ascii="Times New Roman;serif" w:hAnsi="Times New Roman;serif"/>
          <w:b w:val="false"/>
          <w:color w:val="000000"/>
          <w:sz w:val="24"/>
          <w:u w:val="single"/>
        </w:rPr>
        <w:t>et seq</w:t>
      </w:r>
      <w:r>
        <w:rPr>
          <w:rFonts w:ascii="Times New Roman;serif" w:hAnsi="Times New Roman;serif"/>
          <w:b w:val="false"/>
          <w:color w:val="000000"/>
          <w:sz w:val="24"/>
        </w:rPr>
        <w:t xml:space="preserve">., any chemical substance or mixture regulated under the Toxic Substance Control Act of 1976, as amended, 15 U.S.C. § 2601, </w:t>
      </w:r>
      <w:r>
        <w:rPr>
          <w:rFonts w:ascii="Times New Roman;serif" w:hAnsi="Times New Roman;serif"/>
          <w:b w:val="false"/>
          <w:color w:val="000000"/>
          <w:sz w:val="24"/>
          <w:u w:val="single"/>
        </w:rPr>
        <w:t>et seq</w:t>
      </w:r>
      <w:r>
        <w:rPr>
          <w:rFonts w:ascii="Times New Roman;serif" w:hAnsi="Times New Roman;serif"/>
          <w:b w:val="false"/>
          <w:color w:val="000000"/>
          <w:sz w:val="24"/>
        </w:rPr>
        <w:t xml:space="preserve">., any “toxic pollutant” under the Clean Water Act, 33 U.S.C. § 466 </w:t>
      </w:r>
      <w:r>
        <w:rPr>
          <w:rFonts w:ascii="Times New Roman;serif" w:hAnsi="Times New Roman;serif"/>
          <w:b w:val="false"/>
          <w:color w:val="000000"/>
          <w:sz w:val="24"/>
          <w:u w:val="single"/>
        </w:rPr>
        <w:t>et seq</w:t>
      </w:r>
      <w:r>
        <w:rPr>
          <w:rFonts w:ascii="Times New Roman;serif" w:hAnsi="Times New Roman;serif"/>
          <w:b w:val="false"/>
          <w:color w:val="000000"/>
          <w:sz w:val="24"/>
        </w:rPr>
        <w:t xml:space="preserve">., as amended, any hazardous air pollutant under the Clean Air Act, 42 U.S.C. § 7401 </w:t>
      </w:r>
      <w:r>
        <w:rPr>
          <w:rFonts w:ascii="Times New Roman;serif" w:hAnsi="Times New Roman;serif"/>
          <w:b w:val="false"/>
          <w:color w:val="000000"/>
          <w:sz w:val="24"/>
          <w:u w:val="single"/>
        </w:rPr>
        <w:t>et seq</w:t>
      </w:r>
      <w:r>
        <w:rPr>
          <w:rFonts w:ascii="Times New Roman;serif" w:hAnsi="Times New Roman;serif"/>
          <w:b w:val="false"/>
          <w:color w:val="000000"/>
          <w:sz w:val="24"/>
        </w:rPr>
        <w:t xml:space="preserve">., hazardous materials identified in or pursuant to the Hazardous Materials Transportation Act, 49 U.S.C. § 1802, </w:t>
      </w:r>
      <w:r>
        <w:rPr>
          <w:rFonts w:ascii="Times New Roman;serif" w:hAnsi="Times New Roman;serif"/>
          <w:b w:val="false"/>
          <w:color w:val="000000"/>
          <w:sz w:val="24"/>
          <w:u w:val="single"/>
        </w:rPr>
        <w:t>et seq</w:t>
      </w:r>
      <w:r>
        <w:rPr>
          <w:rFonts w:ascii="Times New Roman;serif" w:hAnsi="Times New Roman;serif"/>
          <w:b w:val="false"/>
          <w:color w:val="000000"/>
          <w:sz w:val="24"/>
        </w:rPr>
        <w:t>., and any hazardous or toxic substances or pollutant regulated under any other Requirements. Tenant shall agree to execute, from time to time, at Landlord’s request, affidavits, representations and the like concerning Tenant’s best knowledge and belief regarding the presence of Hazardous Materials in, on, under or about the Premises, the Building or the Land. Tenant shall indemnify and hold harmless all Indemnitees from and against any loss, cost, damage, liability or expense (including attorneys’ fees and disbursements) arising by reason of any clean up, removal, remediation, detoxification action or any other activity required or recommended of any Indemnitees by any Government Authority by reason of the presence in or about the Building or the Premises of any Hazardous Materials, as a result of or in connection with the act or omission of Tenant or Persons Within Tenant’s Control or the breach of this Lease by Tenant or Persons Within Tenant’s Control. The foregoing covenants and indemnity shall survive the expiration or any termination of this Lease.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9.3.     If Tenant shall receive notice of any violation of, or defaults under, any Requirements, liens or other encumbrances applicable to the Premises, Tenant shall give prompt notice thereof to Landlord.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9.4.     If any governmental license or permit shall be required for the proper and lawful conduct of Tenant’s business and if the failure to secure such license or permit would, in any way, affect Landlord or the Building, then Tenant, at Tenant’s expense, shall promptly procure and thereafter maintain, submit for inspection by Landlord, and at all times comply with the terms and conditions of, each such license or permit.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9.5.     Tenant, at Tenant’s sole cost and expense and after notice to Landlord, may contest, by appropriate proceedings prosecuted diligently and in good faith, the legality or applicability of any Requirement affecting the Premises provided that: (a) neither Landlord nor any Indemnitees shall be subject to criminal penalties, nor shall the Real Property or any part thereof be subject to being condemned or vacated, nor shall the certificate of occupancy for the Premises or the Building be suspended or threatened to be suspended, by reason of non-compliance or by reason of such contest; (b) before the commencement of such contest, if Landlord or any Indemnitees may be subject to any civil fines or penalties or if Landlord may be liable to any independent third party as a result of such non-compliance, then Tenant shall </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furnish to Landlord either (i) a bond of a surety company satisfactory to Landlord, in form and substance reasonably satisfactory to Landlord, and in an amount at least equal to Landlord’s estimate of the sum of (A) the cost of such compliance, (B) the penalties or fines that may accrue by reason of such non-compliance (as reasonably estimated by Landlord) and (C) the amount of such liability to independent third parties, and shall indemnify Landlord (and any Indemnitees) against the cost of such compliance and liability resulting from or incurred in connection with such contest or non-compliance; or (ii) other security satisfactory in all respects to Landlord; (c) such non-compliance or contest shall not constitute or result in a violation (either with the giving of notice or the passage of time or both) of the terms of any Mortgage or Superior Lease, or if such Superior Lease or Mortgage conditions such non-compliance or contest upon the taking of action or furnishing of security by Landlord, such action shall be taken or such security shall be furnished at the expense of Tenant; and (d) Tenant shall keep Landlord regularly advised as to the status of such proceedings.</w:t>
      </w:r>
    </w:p>
    <w:p>
      <w:pPr>
        <w:pStyle w:val="TextBody"/>
        <w:bidi w:val="0"/>
        <w:spacing w:lineRule="auto" w:line="556" w:before="120" w:after="283"/>
        <w:jc w:val="center"/>
        <w:rPr/>
      </w:pPr>
      <w:r>
        <w:rPr>
          <w:rFonts w:ascii="Times New Roman;serif" w:hAnsi="Times New Roman;serif"/>
          <w:b w:val="false"/>
          <w:color w:val="000000"/>
          <w:sz w:val="24"/>
        </w:rPr>
        <w:t>ARTICLE 10</w:t>
        <w:br/>
      </w:r>
      <w:r>
        <w:rPr>
          <w:rFonts w:ascii="Times New Roman;serif" w:hAnsi="Times New Roman;serif"/>
          <w:b w:val="false"/>
          <w:color w:val="000000"/>
          <w:sz w:val="24"/>
          <w:u w:val="single"/>
        </w:rPr>
        <w:t>SUBORDINATION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10.1.     This Lease shall be subject and subordinate to each Superior Lease and to each Mortgage, whether made prior to or after the execution of this Lease, and to all renewals, extensions, supplements, amendments, modifications, consolidations and replacements thereof or thereto, substitutions therefor, and advances made thereunder. This clause shall be self-operative and no further agreement of subordination shall be required to make the interest of any Lessor or Mortgagee superior to the interest of Tenant hereunder. In confirmation of such subordination, however, Tenant shall promptly execute and deliver, at its own cost and expense, any document, in recordable form if requested, that Landlord, any Lessor or any Mortgagee may request to evidence such subordination; and if Tenant fails to execute, acknowledge or deliver any such document within five (5) days after request therefor, Tenant hereby irrevocably constitutes and appoints Landlord as Tenant’s attorney-in-fact, coupled with an interest, to execute, acknowledge and deliver any such document for and on behalf of Tenant. Tenant shall not do anything that would constitute a default under any Superior Lease or Mortgage, or omit to do anything that Tenant is obligated to do under the terms of this Lease so as to cause Landlord to be in default thereunder. If, in connection with the financing of the Real Property, the Building or the interest of the lessee under any Superior Lease, or if, in connection with the entering into of a Superior Lease, any lending institution or Lessor, as the case may be, requests reasonable modifications of this Lease that do not increase Rental or change the Term of this Lease, or materially and adversely affect the rights or obligations of Tenant under this Lease, Tenant shall make such modifications.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10.2.     If, at any time prior to the expiration of the Term, any Superior Lease shall terminate or shall be terminated for any reason, or any Mortgagee comes into possession of the Real Property or the Building or the estate created by any Superior Lease by receiver or otherwise, Tenant agrees, at the election and upon demand of any owner of the Real Property or the Building, or of the Lessor, or of any Mortgagee in possession of the Real Property or the Building, to attorn, from time to time, to any such owner, Lessor or Mortgagee or any person acquiring the interest of Landlord as a result of any such termination, or as a result of a foreclosure of the Mortgage or the granting of a deed in lieu of foreclosure, upon the then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executory terms and conditions of this Lease (except as provided below), for the remainder of the Term, provided that such owner, Lessor or Mortgagee, as the case may be, or receiver caused to be appointed by any of the foregoing, is then entitled to possession of the Premises. Any such attornment shall be made upon the condition that no such owner, Lessor or Mortgagee shall be: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liable for any act or omission of any prior landlord (including, without limitation, the then defaulting landlord);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subject to any defense or offsets (except as expressly set forth in this Lease) which Tenant may have against any prior landlord (including, without limitation, the then defaulting landlord);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(3)     bound by any payment of Rental which Tenant might have paid for more than the current month to any prior landlord (including, without limitation, the then defaulting landlord);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     bound by any obligation to make any payment to Tenant which was required to be made prior to the time such owner, Lessor or Mortgagee succeeded to any prior landlord’s interest;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(5)     bound by any obligation to perform any work or to make improvements to the Premises except for (i) repairs and maintenance pursuant to the provisions of </w:t>
      </w:r>
      <w:r>
        <w:rPr>
          <w:rFonts w:ascii="Times New Roman;serif" w:hAnsi="Times New Roman;serif"/>
          <w:b w:val="false"/>
          <w:color w:val="000000"/>
          <w:sz w:val="24"/>
          <w:u w:val="single"/>
        </w:rPr>
        <w:t>Article 7</w:t>
      </w:r>
      <w:r>
        <w:rPr>
          <w:rFonts w:ascii="Times New Roman;serif" w:hAnsi="Times New Roman;serif"/>
          <w:b w:val="false"/>
          <w:color w:val="000000"/>
          <w:sz w:val="24"/>
        </w:rPr>
        <w:t xml:space="preserve">, (ii) repairs to the Premises or any part thereof as a result of damage by fire or other casualty pursuant to </w:t>
      </w:r>
      <w:r>
        <w:rPr>
          <w:rFonts w:ascii="Times New Roman;serif" w:hAnsi="Times New Roman;serif"/>
          <w:b w:val="false"/>
          <w:color w:val="000000"/>
          <w:sz w:val="24"/>
          <w:u w:val="single"/>
        </w:rPr>
        <w:t>Article 13</w:t>
      </w:r>
      <w:r>
        <w:rPr>
          <w:rFonts w:ascii="Times New Roman;serif" w:hAnsi="Times New Roman;serif"/>
          <w:b w:val="false"/>
          <w:color w:val="000000"/>
          <w:sz w:val="24"/>
        </w:rPr>
        <w:t xml:space="preserve">, but only to the extent that such repairs can be reasonably made from the net proceeds of any insurance actually made available to such owner, Lessor or Mortgagee, and (iii) repairs to the Premises as a result of a partial condemnation pursuant to </w:t>
      </w:r>
      <w:r>
        <w:rPr>
          <w:rFonts w:ascii="Times New Roman;serif" w:hAnsi="Times New Roman;serif"/>
          <w:b w:val="false"/>
          <w:color w:val="000000"/>
          <w:sz w:val="24"/>
          <w:u w:val="single"/>
        </w:rPr>
        <w:t>Article 14</w:t>
      </w:r>
      <w:r>
        <w:rPr>
          <w:rFonts w:ascii="Times New Roman;serif" w:hAnsi="Times New Roman;serif"/>
          <w:b w:val="false"/>
          <w:color w:val="000000"/>
          <w:sz w:val="24"/>
        </w:rPr>
        <w:t xml:space="preserve">, but only to the extent that such repairs can be reasonably made from the net proceeds of any award made available to such owner, Lessor or Mortgagee. The provisions of this </w:t>
      </w:r>
      <w:r>
        <w:rPr>
          <w:rFonts w:ascii="Times New Roman;serif" w:hAnsi="Times New Roman;serif"/>
          <w:b w:val="false"/>
          <w:color w:val="000000"/>
          <w:sz w:val="24"/>
          <w:u w:val="single"/>
        </w:rPr>
        <w:t>Section 10.2</w:t>
      </w:r>
      <w:r>
        <w:rPr>
          <w:color w:val="000000"/>
        </w:rPr>
        <w:t xml:space="preserve"> </w:t>
      </w:r>
      <w:r>
        <w:rPr>
          <w:rFonts w:ascii="Times New Roman;serif" w:hAnsi="Times New Roman;serif"/>
          <w:b w:val="false"/>
          <w:color w:val="000000"/>
          <w:sz w:val="24"/>
        </w:rPr>
        <w:t xml:space="preserve">shall inure to the benefit of any such owner, Lessor or Mortgagee, shall apply notwithstanding that, as a matter of law, this Lease may terminate upon the termination of any such Superior Lease, and shall be self-operative upon any such demand, and no further agreement shall be required to give effect to said provisions. Tenant, however, upon demand of any such owner, Lessor or Mortgagee, shall execute, from time to time, agreements in confirmation of the foregoing provisions of this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satisfactory to any such owner, Lessor or Mortgagee, and acknowledging such attornment and setting forth the terms and conditions of its tenancy. Nothing contained in this </w:t>
      </w:r>
      <w:r>
        <w:rPr>
          <w:rFonts w:ascii="Times New Roman;serif" w:hAnsi="Times New Roman;serif"/>
          <w:b w:val="false"/>
          <w:color w:val="000000"/>
          <w:sz w:val="24"/>
          <w:u w:val="single"/>
        </w:rPr>
        <w:t>Section 10.2</w:t>
      </w:r>
      <w:r>
        <w:rPr>
          <w:color w:val="000000"/>
        </w:rPr>
        <w:t xml:space="preserve"> </w:t>
      </w:r>
      <w:r>
        <w:rPr>
          <w:rFonts w:ascii="Times New Roman;serif" w:hAnsi="Times New Roman;serif"/>
          <w:b w:val="false"/>
          <w:color w:val="000000"/>
          <w:sz w:val="24"/>
        </w:rPr>
        <w:t>shall be construed to impair any right otherwise exercisable by any such owner, Lessor or Mortgagee.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10.3.     If requested by any Mortgagee, any Lessor or Landlord, Tenant shall promptly execute and deliver, at Tenant’s own cost and expense, any document in accordance with the terms of this </w:t>
      </w:r>
      <w:r>
        <w:rPr>
          <w:rFonts w:ascii="Times New Roman;serif" w:hAnsi="Times New Roman;serif"/>
          <w:b w:val="false"/>
          <w:color w:val="000000"/>
          <w:sz w:val="24"/>
          <w:u w:val="single"/>
        </w:rPr>
        <w:t>Article 10</w:t>
      </w:r>
      <w:r>
        <w:rPr>
          <w:rFonts w:ascii="Times New Roman;serif" w:hAnsi="Times New Roman;serif"/>
          <w:b w:val="false"/>
          <w:color w:val="000000"/>
          <w:sz w:val="24"/>
        </w:rPr>
        <w:t>, in recordable form, to evidence such subordination.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10.4.     At any time and from time to time within ten (10) Business Days after notice to Tenant or Landlord given by the other, or to Tenant given by a Lessor or Mortgagee (which ten (10) Business Day period is not subject to any notice and cure periods otherwise provided in this Lease), Tenant or Landlord, as the case may be, shall, without charge, execute, acknowledge and deliver a statement in writing addressed to such party as Tenant, Landlord, </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Lessor or Mortgagee, as the case may be, may designate, in form satisfactory to Tenant, Landlord, Lessor or Mortgagee, as the case may be, certifying all or any of the following: (i) that this Lease is unmodified and in full force and effect (or if there have been modifications, that this Lease is in full force and effect as modified and stating the modifications); (ii) whether the Term has commenced and Fixed Rent and Additional Rent have become payable hereunder and, if so, the dates to which they have been paid; (iii) whether or not, to the best knowledge of the signer of such certificate, Landlord is in default in performance of any of the terms of this Lease and, if so, specifying each such event of default of which the signer may have knowledge; (iv) whether Tenant has accepted possession of the Premises; (v) whether Tenant has made any claim against Landlord under this Lease and, if so, the nature thereof and the dollar amount, if any, of such claim; (vi) either that Tenant does not know of any default in the performance of any provision of this Lease or specifying the details of any default of which Tenant may have knowledge and stating what action Tenant is taking or proposes to take with respect thereto; (vii) that, to the knowledge of Tenant, there are no proceedings pending or threatened against Tenant before or by any court or administrative agency which, if adversely decided, would materially and adversely affect the financial condition or operations of Tenant or, if any such proceedings are pending or threatened to the knowledge of Tenant, specifying and describing the same; and (viii) such further information with respect to this Lease or the Premises as Landlord may reasonably request or Lessor or Mortgagee may require; it being intended that any such statement delivered pursuant hereto may be relied upon by any prospective purchaser of the Real Property or any part thereof or of the interest of Landlord in any part thereof, by any Mortgagee or prospective Mortgagee, by any Lessor or prospective Lessor, by any tenant or prospective tenant of the Real Property or any part thereof, or by any prospective assignee of any Mortgage or by any assignee of Tenant.</w:t>
      </w:r>
    </w:p>
    <w:p>
      <w:pPr>
        <w:pStyle w:val="TextBody"/>
        <w:bidi w:val="0"/>
        <w:spacing w:lineRule="auto" w:line="288" w:before="0" w:after="240"/>
        <w:jc w:val="both"/>
        <w:rPr/>
      </w:pPr>
      <w:r>
        <w:rPr>
          <w:rFonts w:ascii="Times New Roman;serif" w:hAnsi="Times New Roman;serif"/>
          <w:b w:val="false"/>
          <w:color w:val="000000"/>
          <w:sz w:val="24"/>
        </w:rPr>
        <w:t xml:space="preserve">The failure of Tenant to execute, acknowledge and deliver to Landlord a statement in accordance with the provisions of this </w:t>
      </w:r>
      <w:r>
        <w:rPr>
          <w:rFonts w:ascii="Times New Roman;serif" w:hAnsi="Times New Roman;serif"/>
          <w:b w:val="false"/>
          <w:color w:val="000000"/>
          <w:sz w:val="24"/>
          <w:u w:val="single"/>
        </w:rPr>
        <w:t>Section 10.4</w:t>
      </w:r>
      <w:r>
        <w:rPr>
          <w:color w:val="000000"/>
        </w:rPr>
        <w:t xml:space="preserve"> </w:t>
      </w:r>
      <w:r>
        <w:rPr>
          <w:rFonts w:ascii="Times New Roman;serif" w:hAnsi="Times New Roman;serif"/>
          <w:b w:val="false"/>
          <w:color w:val="000000"/>
          <w:sz w:val="24"/>
        </w:rPr>
        <w:t>within said ten (10) Business Day period shall constitute an acknowledgment by Tenant, which may be relied on by any person who would be entitled to rely upon any such statement, that such statement as submitted by Landlord is true and correct.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10.5.     As long as any Superior Lease or Mortgage exists, Tenant shall not seek to terminate this Lease by reason of any act or omission of Landlord until Tenant has given written notice of such act or omission to all Lessors and Mortgagees at such addresses as may have been furnished to Tenant by such Lessors and Mortgagees and, if any such Lessor or Mortgagee, as the case may be, notifies Tenant within forty-five (45) days following receipt of such notice of its intention to remedy such act or omission, until a reasonable period of time shall have elapsed following the giving of such notice, during which period such Lessors and Mortgagees shall have the right, but not the obligation, to remedy such act or omission.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10.6. Notwithstanding anything to the contrary set forth herein, within thirty (30) days after the execution and delivery of this Lease, Tenant shall execute, have acknowledged and deliver to Landlord, a subordination, non-disturbance and attornment agreement to be entered into with the holder of the existing mortgage on the Real Property (the “</w:t>
      </w:r>
      <w:r>
        <w:rPr>
          <w:rFonts w:ascii="Times New Roman;serif" w:hAnsi="Times New Roman;serif"/>
          <w:b w:val="false"/>
          <w:color w:val="000000"/>
          <w:sz w:val="24"/>
          <w:u w:val="single"/>
        </w:rPr>
        <w:t>Existing Mortgagee</w:t>
      </w:r>
      <w:r>
        <w:rPr>
          <w:color w:val="000000"/>
        </w:rPr>
        <w:t>”</w:t>
      </w:r>
      <w:r>
        <w:rPr>
          <w:rFonts w:ascii="Times New Roman;serif" w:hAnsi="Times New Roman;serif"/>
          <w:b w:val="false"/>
          <w:color w:val="000000"/>
          <w:sz w:val="24"/>
        </w:rPr>
        <w:t xml:space="preserve">), substantially on the form annexed hereto as </w:t>
      </w:r>
      <w:r>
        <w:rPr>
          <w:rFonts w:ascii="Times New Roman;serif" w:hAnsi="Times New Roman;serif"/>
          <w:b w:val="false"/>
          <w:color w:val="000000"/>
          <w:sz w:val="24"/>
          <w:u w:val="single"/>
        </w:rPr>
        <w:t>Schedule D</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Existing Mortgagee SNDA</w:t>
      </w:r>
      <w:r>
        <w:rPr>
          <w:color w:val="000000"/>
        </w:rPr>
        <w:t>”</w:t>
      </w:r>
      <w:r>
        <w:rPr>
          <w:rFonts w:ascii="Times New Roman;serif" w:hAnsi="Times New Roman;serif"/>
          <w:b w:val="false"/>
          <w:color w:val="000000"/>
          <w:sz w:val="24"/>
        </w:rPr>
        <w:t xml:space="preserve">). Landlord shall, at Tenant’s cost and expense, use commercially reasonable efforts to cause the Existing Mortgagee to countersign, acknowledge and deliver to Tenant (and Landlord shall countersign, acknowledge and deliver to Tenant) such Existing Mortgagee SNDA within thirty </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(30) days after the parties’ execution and delivery of this Lease and Tenant’s execution and delivery of the Existing Mortgagee SNDA. Tenant shall cooperate with the Existing Mortgagee and provide such information as the Existing Mortgagee may reasonably request in connection with Landlord’s efforts to obtain the Existing Mortgagee SNDA executed and acknowledged by the Existing Mortgagee.</w:t>
      </w:r>
    </w:p>
    <w:p>
      <w:pPr>
        <w:pStyle w:val="TextBody"/>
        <w:bidi w:val="0"/>
        <w:spacing w:lineRule="auto" w:line="556" w:before="120" w:after="283"/>
        <w:jc w:val="center"/>
        <w:rPr/>
      </w:pPr>
      <w:r>
        <w:rPr>
          <w:rFonts w:ascii="Times New Roman;serif" w:hAnsi="Times New Roman;serif"/>
          <w:b w:val="false"/>
          <w:color w:val="000000"/>
          <w:sz w:val="24"/>
        </w:rPr>
        <w:t>ARTICLE 11</w:t>
        <w:br/>
      </w:r>
      <w:r>
        <w:rPr>
          <w:rFonts w:ascii="Times New Roman;serif" w:hAnsi="Times New Roman;serif"/>
          <w:b w:val="false"/>
          <w:color w:val="000000"/>
          <w:sz w:val="24"/>
          <w:u w:val="single"/>
        </w:rPr>
        <w:t>RULES AND REGULATIONS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11.1.     Tenant and Persons Within Tenant’s Control shall comply with the Rules and Regulations. Nothing contained in this Lease shall be construed to impose upon Landlord any duty or obligation to enforce the Rules and Regulations or the terms, covenants or conditions in any other lease against any other tenant, and Landlord shall not be liable to Tenant for violation of the same by any other tenant, its employees, agents, visitors or licensees. Landlord shall not discriminate against Tenant in enforcing the Rules and Regulations. In case of any conflict or inconsistency between the provisions of this Lease and of any of the Rules and Regulations as originally or as hereinafter adopted, the provisions of this Lease shall control.</w:t>
      </w:r>
    </w:p>
    <w:p>
      <w:pPr>
        <w:pStyle w:val="TextBody"/>
        <w:bidi w:val="0"/>
        <w:spacing w:lineRule="auto" w:line="556" w:before="120" w:after="283"/>
        <w:jc w:val="center"/>
        <w:rPr/>
      </w:pPr>
      <w:r>
        <w:rPr>
          <w:rFonts w:ascii="Times New Roman;serif" w:hAnsi="Times New Roman;serif"/>
          <w:b w:val="false"/>
          <w:color w:val="000000"/>
          <w:sz w:val="24"/>
        </w:rPr>
        <w:t>ARTICLE 12</w:t>
        <w:br/>
      </w:r>
      <w:r>
        <w:rPr>
          <w:rFonts w:ascii="Times New Roman;serif" w:hAnsi="Times New Roman;serif"/>
          <w:b w:val="false"/>
          <w:color w:val="000000"/>
          <w:sz w:val="24"/>
          <w:u w:val="single"/>
        </w:rPr>
        <w:t>INSURANCE, PROPERTY LOSS OR DAMAGE; REIMBURSEMENT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12.1.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No Tenant shall entrust any property to any Building employee. Any Building employee to whom any property is entrusted by or on behalf of Tenant in violation of the foregoing prohibition shall be deemed to be acting as Tenant’s agent with respect to such property and neither Landlord nor its agents shall be liable for any damage to property of Tenant or of others entrusted to employees of the Building, nor for the loss of or damage to any property of Tenant by theft or otherwise. Landlord and Landlord’s agents shall not be liable for any damage to any of Tenant’s Property or for interruption of Tenant’s business, however caused, including but not limited to damage caused by other tenants or persons in the Building. Landlord shall not be liable for any latent defect in the Premises or in the Building.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If at any time any windows of the Premises are temporarily closed, darkened or covered for any reason, including Landlord’s own acts, or if any such windows are permanently closed, darkened or covered by reason of any Requirements, Landlord shall not be liable for any damage Tenant may sustain thereby, and Tenant shall not be entitled to any compensation therefor nor abatement of Fixed Rent or any other item of Rental, nor shall the same release Tenant from Tenant’s obligations hereunder nor constitute an eviction.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Tenant shall give notice to Landlord promptly after Tenant learns of any accident, emergency, occurrence for which Landlord might be liable, fire or other casualty and all damages to or defects in the Premises or the Building for the repair of which Landlord might be responsible or which constitutes Landlord’s property. Such notice shall be given by telecopy or personal delivery to the address(es) of Landlord in effect for notice.</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12.2.     Tenant shall not do or permit to be done any act or thing in or upon the Premises which will invalidate or be in conflict with the terms of the New York State standard policies of fire insurance and liability (hereinafter referred to as “</w:t>
      </w:r>
      <w:r>
        <w:rPr>
          <w:rFonts w:ascii="Times New Roman;serif" w:hAnsi="Times New Roman;serif"/>
          <w:b w:val="false"/>
          <w:color w:val="000000"/>
          <w:sz w:val="24"/>
          <w:u w:val="single"/>
        </w:rPr>
        <w:t>Building Insurance</w:t>
      </w:r>
      <w:r>
        <w:rPr>
          <w:color w:val="000000"/>
        </w:rPr>
        <w:t>”</w:t>
      </w:r>
      <w:r>
        <w:rPr>
          <w:rFonts w:ascii="Times New Roman;serif" w:hAnsi="Times New Roman;serif"/>
          <w:b w:val="false"/>
          <w:color w:val="000000"/>
          <w:sz w:val="24"/>
        </w:rPr>
        <w:t>); and Tenant, at Tenant’s own expense, shall comply with all rules, orders, regulations and requirements of all insurance boards, and shall not do or permit anything to be done in or upon the Premises or bring or keep anything therein or use the Premises in a manner which increases the rate of premium for any of the Building Insurance over the rate in effect at the commencement of the Term of this Lease.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12.3.     If by reason of any failure of Tenant to comply with the provisions of this Lease, the rate of premium for Building Insurance or other insurance on the property and equipment of Landlord shall increase, Tenant shall reimburse Landlord for that part of the insurance premiums thereafter paid by Landlord which shall have been charged because of such failure by Tenant. Tenant shall make said reimbursement on the first day of the month following such payment by Landlord.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Section 12.4.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Tenant, at Tenant’s sole cost and expense, shall obtain, maintain and keep in full force and effect during the Term commercial general liability insurance (without deductible) in a form approved in New York State (including broad form property damage coverages and coverage for contractual liability recognizing the indemnity provisions of this Lease and protecting the Indemnitees as required, whether or not Tenant is negligent or otherwise responsible for the additional insured’s loss, liability or expense). The limits of liability shall be not less than Five Million and 00/100 ($5,000,000.00) Dollars per occurrence, which amount may be satisfied with a primary commercial general liability policy of not less than $1,000,000.00 per occurrence / $2,000,000.00 general aggregate and an excess (or “</w:t>
      </w:r>
      <w:r>
        <w:rPr>
          <w:rFonts w:ascii="Times New Roman;serif" w:hAnsi="Times New Roman;serif"/>
          <w:b w:val="false"/>
          <w:color w:val="000000"/>
          <w:sz w:val="24"/>
          <w:u w:val="single"/>
        </w:rPr>
        <w:t>Umbrella</w:t>
      </w:r>
      <w:r>
        <w:rPr>
          <w:color w:val="000000"/>
        </w:rPr>
        <w:t>”</w:t>
      </w:r>
      <w:r>
        <w:rPr>
          <w:rFonts w:ascii="Times New Roman;serif" w:hAnsi="Times New Roman;serif"/>
          <w:b w:val="false"/>
          <w:color w:val="000000"/>
          <w:sz w:val="24"/>
        </w:rPr>
        <w:t>) liability policy affording coverage, at least as broad as that afforded by the primary commercial general liability policy, in an amount not less than the difference between $5,000,000.00 and the amount of the primary policy. Landlord, the Manager, any Lessors and any Mortgagees shall be included as additional insureds in said policies and shall be protected against all liability arising in connection with this Lease, whether or not Tenant is negligent or otherwise responsible for the additional insured’s loss, liability or expense. All said policies of insurance shall be written as “occurrence” policies with general aggregate limit provided on a “per location” basis. Whenever, in Landlord’s reasonable judgment, good business practice and changing conditions indicate a need for additional amounts or different types of insurance coverage, Tenant shall, within ten (10) days after Landlord’s request, obtain such insurance coverage, at Tenant’s expense.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Tenant, at Tenant’s sole cost and expense, shall obtain, maintain and keep in full force and effect during the Term:</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    “All Risk” insurance, with deductibles in an amount reasonably satisfactory to Landlord, protecting and indemnifying Tenant against any and all damage to or loss of any Alterations and leasehold improvements, including any made by Landlord to prepare the Premises for Tenant’s occupancy, and Tenant’s Property. Such insurance shall not contain any exclusions for flood, mold/fungus or acts of terrorism or similar events. All said policies </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cover the full replacement value of all Alterations, leasehold improvements and Tenant’s Property and shall name Landlord as the loss payee to the extent of any portion of the cost of such Alterations or leasehold improvements paid by Landlord;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Workers’ compensation and occupational disease insurance, employee benefit insurance or any other insurance in the statutory amounts required by the laws of the State of New York with broad form all-states endorsement, and employer’s liability insurance with a limit of One Million ($1,000,000.00) Dollars for each accident;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Business interruption insurance (including Extra Expense) fully compensating for the amount of Fixed Rent, additional rent and other charges owed to Landlord by Tenant for a period of not less than eighteen (18) months. The coverage shall be “All Risk” as stated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All policies of insurance shall be: (i) written as primary policy coverage and not contributing with or in excess of any coverage which Landlord or any Lessor may carry; and (ii) issued by reputable and independent insurance companies rated in Best’s Insurance Guide or any successor thereto (or, if there is none, an organization having a national reputation), as having a general policyholder rating of “A” and a financial rating of at least “13”, and which are licensed to do business in the State of New York. Tenant shall, not later than ten (10) Business Days prior to the Commencement Date, deliver to Landlord the policies of insurance and shall thereafter furnish to Landlord, at least five (5) days prior to the expiration of any such policies and any renewal thereof, a new policy in lieu thereof. Each of said policies shall also contain a provision whereby the insurer agrees not to cancel, fail to renew, diminish or materially modify said insurance policy(ies) without having given Landlord, the Manager and any Lessors and Mortgagees at least ten (10) days prior written notice thereof. Tenant shall promptly send to Landlord a copy of all notices (with respect to any material alteration or cancellation of Tenant’s coverage) sent to Tenant by Tenant’s insurer.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Tenant shall pay all premiums and charges for all of said policies, and, if Tenant shall fail to make any payment when due or carry any such policy, Landlord may, but shall not be obligated to, make such payment or carry such policy, and the amount paid by Landlord, with interest thereon (at the Applicable Rate), shall be repaid to Landlord by Tenant on demand, and all such amounts so repayable, together with such interest, shall be deemed to constitute Additional Rent hereunder. Payment by Landlord of any such premium, or the carrying by Landlord of any such policy, shall not be deemed to waive or release the default of Tenant with respect thereto.</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12.5.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Landlord shall cause each policy carried by Landlord insuring the Building against loss, damage or destruction by fire or other casualty, and Tenant shall cause each insurance policy carried by Tenant and insuring the Premises and Tenant’s Alterations, leasehold improvements and Tenant’s Property against loss, damage or destruction by fire or other casualty, to be written in a manner so as to provide that the insurance company waives all rights of recovery by way of subrogation against Landlord, Tenant and any tenant of space in the Building in connection with any loss or damage covered by any such policy. Neither party shall </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 liable to the other for the amount of such loss or damage which is in excess of the applicable deductible, if any, caused by fire or any of the risks enumerated in its policies, provided that such waiver was obtainable at the time of such loss or damage. However, if such waiver cannot be obtained, or shall be obtainable only by the payment of an additional premium charge above that which is charged by companies carrying such insurance without such waiver of subrogation, then the party undertaking to obtain such waiver shall notify the other party of such fact and such other party shall have a period of ten (10) days after the giving of such notice to agree in writing to pay such additional premium if such policy is obtainable at additional cost (in the case of Tenant, pro rata in proportion of Tenant’s rentable area to the total rentable area covered by such insurance); and if such other party does not so agree or the waiver shall not be obtainable, then the provisions of this </w:t>
      </w:r>
      <w:r>
        <w:rPr>
          <w:rFonts w:ascii="Times New Roman;serif" w:hAnsi="Times New Roman;serif"/>
          <w:b w:val="false"/>
          <w:color w:val="000000"/>
          <w:sz w:val="24"/>
          <w:u w:val="single"/>
        </w:rPr>
        <w:t>Section 12.5</w:t>
      </w:r>
      <w:r>
        <w:rPr>
          <w:color w:val="000000"/>
        </w:rPr>
        <w:t xml:space="preserve"> </w:t>
      </w:r>
      <w:r>
        <w:rPr>
          <w:rFonts w:ascii="Times New Roman;serif" w:hAnsi="Times New Roman;serif"/>
          <w:b w:val="false"/>
          <w:color w:val="000000"/>
          <w:sz w:val="24"/>
        </w:rPr>
        <w:t xml:space="preserve">shall be null and void as to the risks covered by such policy for so long as either such waiver cannot be obtained or the party in whose favor a waiver of subrogation is desired shall refuse to pay the additional premium. If the release of either Landlord or Tenant, as set forth in the second sentence of this </w:t>
      </w:r>
      <w:r>
        <w:rPr>
          <w:rFonts w:ascii="Times New Roman;serif" w:hAnsi="Times New Roman;serif"/>
          <w:b w:val="false"/>
          <w:color w:val="000000"/>
          <w:sz w:val="24"/>
          <w:u w:val="single"/>
        </w:rPr>
        <w:t>Section 12.5</w:t>
      </w:r>
      <w:r>
        <w:rPr>
          <w:rFonts w:ascii="Times New Roman;serif" w:hAnsi="Times New Roman;serif"/>
          <w:b w:val="false"/>
          <w:color w:val="000000"/>
          <w:sz w:val="24"/>
        </w:rPr>
        <w:t>, shall contravene any law with respect to exculpatory agreements, the liability of the party in question shall be deemed not released, but no action or rights shall be sought or enforced against such party unless and until all rights and remedies against the other’s insurer are exhausted and the other party shall be unable to collect such insurance proceeds.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waiver of subrogation referred to in </w:t>
      </w:r>
      <w:r>
        <w:rPr>
          <w:rFonts w:ascii="Times New Roman;serif" w:hAnsi="Times New Roman;serif"/>
          <w:b w:val="false"/>
          <w:color w:val="000000"/>
          <w:sz w:val="24"/>
          <w:u w:val="single"/>
        </w:rPr>
        <w:t>Section 12.5(A)</w:t>
      </w:r>
      <w:r>
        <w:rPr>
          <w:color w:val="000000"/>
        </w:rPr>
        <w:t xml:space="preserve"> </w:t>
      </w:r>
      <w:r>
        <w:rPr>
          <w:rFonts w:ascii="Times New Roman;serif" w:hAnsi="Times New Roman;serif"/>
          <w:b w:val="false"/>
          <w:color w:val="000000"/>
          <w:sz w:val="24"/>
        </w:rPr>
        <w:t xml:space="preserve">above shall extend to the agents and employees of each party (including, as to Landlord, the Manager), but only if and to the extent that such waiver can be obtained without additional charge (unless such party shall pay such charge). Nothing contained in this </w:t>
      </w:r>
      <w:r>
        <w:rPr>
          <w:rFonts w:ascii="Times New Roman;serif" w:hAnsi="Times New Roman;serif"/>
          <w:b w:val="false"/>
          <w:color w:val="000000"/>
          <w:sz w:val="24"/>
          <w:u w:val="single"/>
        </w:rPr>
        <w:t>Section 12.5</w:t>
      </w:r>
      <w:r>
        <w:rPr>
          <w:color w:val="000000"/>
        </w:rPr>
        <w:t xml:space="preserve"> </w:t>
      </w:r>
      <w:r>
        <w:rPr>
          <w:rFonts w:ascii="Times New Roman;serif" w:hAnsi="Times New Roman;serif"/>
          <w:b w:val="false"/>
          <w:color w:val="000000"/>
          <w:sz w:val="24"/>
        </w:rPr>
        <w:t>is intended to relieve either party from any duty imposed elsewhere in this Lease to repair, restore and rebuild.</w:t>
      </w:r>
    </w:p>
    <w:p>
      <w:pPr>
        <w:pStyle w:val="TextBody"/>
        <w:bidi w:val="0"/>
        <w:spacing w:lineRule="auto" w:line="556" w:before="120" w:after="283"/>
        <w:jc w:val="center"/>
        <w:rPr/>
      </w:pPr>
      <w:r>
        <w:rPr>
          <w:rFonts w:ascii="Times New Roman;serif" w:hAnsi="Times New Roman;serif"/>
          <w:b w:val="false"/>
          <w:color w:val="000000"/>
          <w:sz w:val="24"/>
        </w:rPr>
        <w:t>ARTICLE 13</w:t>
        <w:br/>
      </w:r>
      <w:r>
        <w:rPr>
          <w:rFonts w:ascii="Times New Roman;serif" w:hAnsi="Times New Roman;serif"/>
          <w:b w:val="false"/>
          <w:color w:val="000000"/>
          <w:sz w:val="24"/>
          <w:u w:val="single"/>
        </w:rPr>
        <w:t>DESTRUCTION BY FIRE OR OTHER CAUSE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13.1.     If the Premises or any part thereof shall be damaged by fire or other casualty, Tenant shall give prompt written notice thereof to Landlord. Landlord shall, subject to the provisions of </w:t>
      </w:r>
      <w:r>
        <w:rPr>
          <w:rFonts w:ascii="Times New Roman;serif" w:hAnsi="Times New Roman;serif"/>
          <w:b w:val="false"/>
          <w:color w:val="000000"/>
          <w:sz w:val="24"/>
          <w:u w:val="single"/>
        </w:rPr>
        <w:t>Section 13.2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13.3</w:t>
      </w:r>
      <w:r>
        <w:rPr>
          <w:color w:val="000000"/>
        </w:rPr>
        <w:t xml:space="preserve"> </w:t>
      </w:r>
      <w:r>
        <w:rPr>
          <w:rFonts w:ascii="Times New Roman;serif" w:hAnsi="Times New Roman;serif"/>
          <w:b w:val="false"/>
          <w:color w:val="000000"/>
          <w:sz w:val="24"/>
        </w:rPr>
        <w:t>below, proceed with reasonable diligence, after receipt of the net proceeds of insurance, to repair or cause to be repaired damage to the core and shell of the Building and the Building Systems serving the Premises (“</w:t>
      </w:r>
      <w:r>
        <w:rPr>
          <w:rFonts w:ascii="Times New Roman;serif" w:hAnsi="Times New Roman;serif"/>
          <w:b w:val="false"/>
          <w:color w:val="000000"/>
          <w:sz w:val="24"/>
          <w:u w:val="single"/>
        </w:rPr>
        <w:t>Landlord’s Restoration Obligations</w:t>
      </w:r>
      <w:r>
        <w:rPr>
          <w:color w:val="000000"/>
        </w:rPr>
        <w:t>”</w:t>
      </w:r>
      <w:r>
        <w:rPr>
          <w:rFonts w:ascii="Times New Roman;serif" w:hAnsi="Times New Roman;serif"/>
          <w:b w:val="false"/>
          <w:color w:val="000000"/>
          <w:sz w:val="24"/>
        </w:rPr>
        <w:t xml:space="preserve">) at its expense, but in no event shall Landlord be obligated to repair any damage to or to restore any of Tenant’s leasehold improvements (including, without limitation, any leasehold improvements existing in the Premises on the Commencement Date) or Alterations, whether initially installed by Landlord or Tenant. Tenant shall repair and restore in accordance with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 xml:space="preserve">and with reasonable dispatch all leasehold improvements and Alterations made by or for Tenant in the Premises (including, without limitation, any leasehold improvements existing in the Premises on the Commencement Date). If the Premises, or any part thereof, shall be rendered untenantable and Tenant shall not be physically occupying the Premises by reason of such damage and such damage shall not be due to the fault of Tenant or Persons Within Tenant’s Control, then the Fixed Rent and the Escalation Rent hereunder, or an amount thereof apportioned according to the area of the Premises so rendered untenantable and not physically occupied (if less than the entire Premises shall be so rendered untenantable), shall be abated for the period from the date of such damage to the earlier to occur of (i) the date that is sixty (60)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days after completion of Landlord’s Restoration Obligations and (ii) the date when the repair of such damage shall have been substantially completed. Notwithstanding any provisions contained in this Lease to the contrary, there shall be no abatement with respect to any portion of the Premises which has not been so damaged and which is accessible. Landlord’s determination of the date when the Premises are tenantable shall be controlling unless Tenant disputes the same by notice to Landlord given within ten (10) Business Days after such determination by Landlord, and pending resolution of such dispute, Tenant shall commence the payment of the Fixed Rent and the Escalation Rent that had been abated, as of the date specified by Landlord. Tenant covenants and agrees to cooperate with Landlord and any Lessor or any Mortgagee in their efforts to collect insurance proceeds (including rent insurance proceeds) payable to such parties. Landlord shall not be liable for any delay which may arise by reason of adjustment of insurance on the part of Landlord and/or Tenant, or any cause beyond the control of Landlord or contractors employed by Landlord.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13.2.     Landlord shall not be liable for any inconvenience or annoyance to Tenant or injury to the business of Tenant resulting in any way from damage from fire or other casualty or the repair thereof. Tenant understands that Landlord, in reliance upon </w:t>
      </w:r>
      <w:r>
        <w:rPr>
          <w:rFonts w:ascii="Times New Roman;serif" w:hAnsi="Times New Roman;serif"/>
          <w:b w:val="false"/>
          <w:color w:val="000000"/>
          <w:sz w:val="24"/>
          <w:u w:val="single"/>
        </w:rPr>
        <w:t>Section 12.4</w:t>
      </w:r>
      <w:r>
        <w:rPr>
          <w:rFonts w:ascii="Times New Roman;serif" w:hAnsi="Times New Roman;serif"/>
          <w:b w:val="false"/>
          <w:color w:val="000000"/>
          <w:sz w:val="24"/>
        </w:rPr>
        <w:t>, will not carry insurance of any kind on Tenant’s Property, Tenant’s Alterations and on leasehold improvements, and that Landlord shall not be obligated to repair any damage thereto or replace the same. In the event of a partial or total destruction of the Premises, Tenant shall as soon as practicable remove any and all of Tenant’s Property from the Premises or the portion thereof destroyed, as the case may be, and if Tenant does not promptly so remove Tenant’s Property, Landlord may discard the same after giving Tenant ten (10) Business Days’ prior notice of the same or may remove Tenant’s Property to a public warehouse for deposit or retain the same in its own possession and at its discretion may sell the same at either public auction or private sale, the proceeds of which shall be applied first to the expenses of removal, storage and sale, second to any sums owed by Tenant to Landlord, with any balance remaining to be paid to Tenant; if the expenses of such removal, storage and sale shall exceed the proceeds of any sale, Tenant shall pay such excess to Landlord upon demand.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13.3.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Notwithstanding anything to the contrary contained in </w:t>
      </w:r>
      <w:r>
        <w:rPr>
          <w:rFonts w:ascii="Times New Roman;serif" w:hAnsi="Times New Roman;serif"/>
          <w:b w:val="false"/>
          <w:color w:val="000000"/>
          <w:sz w:val="24"/>
          <w:u w:val="single"/>
        </w:rPr>
        <w:t>Section 13.1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13.2</w:t>
      </w:r>
      <w:r>
        <w:rPr>
          <w:color w:val="000000"/>
        </w:rPr>
        <w:t xml:space="preserve"> </w:t>
      </w:r>
      <w:r>
        <w:rPr>
          <w:rFonts w:ascii="Times New Roman;serif" w:hAnsi="Times New Roman;serif"/>
          <w:b w:val="false"/>
          <w:color w:val="000000"/>
          <w:sz w:val="24"/>
        </w:rPr>
        <w:t>above, in the event that: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so much of the Building shall be damaged by fire or other casualty (whether or not the Premises shall have been damaged) so that Landlord, in its sole discretion, shall determine not to restore the same;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the Premises shall be damaged and Landlord, in its sole discretion, shall determine that such portion of the Premises cannot be expected to be restored under a normal working schedule within twelve (12) months after the occurrence of the casualty or that each Lessor and Mortgagee will not allow Landlord to apply the net proceeds of Landlord’s insurance to the restoration of the Building or the Premises;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(iii)     there shall be any damage to the Premises within the last year of the Term and Landlord, in its sole discretion, determines that the damage cannot be repaired or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restored within ninety (90) days from the commencement of the restoration work or prior to the Fixed Expiration Date,</w:t>
      </w:r>
    </w:p>
    <w:p>
      <w:pPr>
        <w:pStyle w:val="TextBody"/>
        <w:bidi w:val="0"/>
        <w:spacing w:lineRule="auto" w:line="288" w:before="0" w:after="240"/>
        <w:jc w:val="both"/>
        <w:rPr/>
      </w:pPr>
      <w:r>
        <w:rPr>
          <w:rFonts w:ascii="Times New Roman;serif" w:hAnsi="Times New Roman;serif"/>
          <w:b w:val="false"/>
          <w:color w:val="000000"/>
          <w:sz w:val="24"/>
        </w:rPr>
        <w:t xml:space="preserve">then, in any of the events described in </w:t>
      </w:r>
      <w:r>
        <w:rPr>
          <w:rFonts w:ascii="Times New Roman;serif" w:hAnsi="Times New Roman;serif"/>
          <w:b w:val="false"/>
          <w:color w:val="000000"/>
          <w:sz w:val="24"/>
          <w:u w:val="single"/>
        </w:rPr>
        <w:t>clauses (i), (ii) or (iii)</w:t>
      </w:r>
      <w:r>
        <w:rPr>
          <w:color w:val="000000"/>
        </w:rPr>
        <w:t xml:space="preserve"> </w:t>
      </w:r>
      <w:r>
        <w:rPr>
          <w:rFonts w:ascii="Times New Roman;serif" w:hAnsi="Times New Roman;serif"/>
          <w:b w:val="false"/>
          <w:color w:val="000000"/>
          <w:sz w:val="24"/>
        </w:rPr>
        <w:t>above, Landlord may, in Landlord’s sole and absolute discretion, terminate this Lease and the term and estate hereby granted, by notifying Tenant in writing of such termination within one hundred twenty (120) days after the date of such damage. In the event that such a notice of termination shall be given, then this Lease and the term and estate hereby granted shall expire as of the date of termination stated in said notice with the same effect as if that were the Fixed Expiration Date, and the Fixed Rent and Escalation Rent hereunder shall be apportioned as of such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Notwithstanding anything to the contrary contained in this </w:t>
      </w:r>
      <w:r>
        <w:rPr>
          <w:rFonts w:ascii="Times New Roman;serif" w:hAnsi="Times New Roman;serif"/>
          <w:b w:val="false"/>
          <w:color w:val="000000"/>
          <w:sz w:val="24"/>
          <w:u w:val="single"/>
        </w:rPr>
        <w:t>Section 13.3</w:t>
      </w:r>
      <w:r>
        <w:rPr>
          <w:rFonts w:ascii="Times New Roman;serif" w:hAnsi="Times New Roman;serif"/>
          <w:b w:val="false"/>
          <w:color w:val="000000"/>
          <w:sz w:val="24"/>
        </w:rPr>
        <w:t xml:space="preserve">, upon the written request of Tenant, Landlord shall deliver to Tenant an estimate prepared by a reputable contractor selected by Landlord setting forth such contractor’s estimate as to the time reasonably required to repair such damage. If the period to repair set forth in any such estimate exceeds twelve (12) months, Tenant may elect to terminate this Lease by notice to Landlord given not later than thirty (30) days following Tenant’s receipt of such estimate. If Tenant exercises such election, this Lease and the term and estate hereby granted shall expire as of the sixtieth (60th) day after notice of such election given by Tenant with the same effect as if that were the Fixed Expiration Date, and the Fixed Rent and Escalation Rent hereunder shall be apportioned as of such date. Time shall be of the essence with respect to Tenant’s giving of any notice of termination pursuant to this </w:t>
      </w:r>
      <w:r>
        <w:rPr>
          <w:rFonts w:ascii="Times New Roman;serif" w:hAnsi="Times New Roman;serif"/>
          <w:b w:val="false"/>
          <w:color w:val="000000"/>
          <w:sz w:val="24"/>
          <w:u w:val="single"/>
        </w:rPr>
        <w:t>Section 13.3(B)</w:t>
      </w:r>
      <w:r>
        <w:rPr>
          <w:rFonts w:ascii="Times New Roman;serif" w:hAnsi="Times New Roman;serif"/>
          <w:b w:val="false"/>
          <w:color w:val="000000"/>
          <w:sz w:val="24"/>
        </w:rPr>
        <w:t>, and failure by Tenant to provide any notice of termination within the specified period shall be deemed an election by it not to terminate this 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13.4.     Except as may be provided in </w:t>
      </w:r>
      <w:r>
        <w:rPr>
          <w:rFonts w:ascii="Times New Roman;serif" w:hAnsi="Times New Roman;serif"/>
          <w:b w:val="false"/>
          <w:color w:val="000000"/>
          <w:sz w:val="24"/>
          <w:u w:val="single"/>
        </w:rPr>
        <w:t>Section 12.5</w:t>
      </w:r>
      <w:r>
        <w:rPr>
          <w:rFonts w:ascii="Times New Roman;serif" w:hAnsi="Times New Roman;serif"/>
          <w:b w:val="false"/>
          <w:color w:val="000000"/>
          <w:sz w:val="24"/>
        </w:rPr>
        <w:t>, nothing herein contained shall relieve Tenant from any liability to Landlord or to Landlord’s insurers in connection with any damage to the Premises or the Building by fire or other casualty if Tenant shall be legally liable in such respect.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13.5.     If this Lease is terminated as a result of a fire or other casualty, Landlord shall be entitled to retain for its benefit the proceeds of insurance maintained by Tenant on the Alterations and leasehold improvements (but not on Tenant’s Property) in the Premises.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13.6.     This Lease shall be considered an express agreement governing any case of damage to or destruction of the Building or any part thereof by fire or other casualty, and Section 227 of the Real Property Law of the State of New York providing for such a contingency in the absence of express agreement and any other law of like import now or hereafter in force, shall have no application in such case.</w:t>
      </w:r>
    </w:p>
    <w:p>
      <w:pPr>
        <w:pStyle w:val="TextBody"/>
        <w:bidi w:val="0"/>
        <w:spacing w:lineRule="auto" w:line="556" w:before="120" w:after="283"/>
        <w:jc w:val="center"/>
        <w:rPr/>
      </w:pPr>
      <w:r>
        <w:rPr>
          <w:rFonts w:ascii="Times New Roman;serif" w:hAnsi="Times New Roman;serif"/>
          <w:b w:val="false"/>
          <w:color w:val="000000"/>
          <w:sz w:val="24"/>
        </w:rPr>
        <w:t>ARTICLE 14</w:t>
        <w:br/>
      </w:r>
      <w:r>
        <w:rPr>
          <w:rFonts w:ascii="Times New Roman;serif" w:hAnsi="Times New Roman;serif"/>
          <w:b w:val="false"/>
          <w:color w:val="000000"/>
          <w:sz w:val="24"/>
          <w:u w:val="single"/>
        </w:rPr>
        <w:t>EMINENT DOMAIN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14.1.     If the whole of the Real Property, the Building or the Premises is acquired or condemned for any public or quasi-public use or purpose, this Lease and the Term shall end as of the date of the vesting of title with the same effect as if said date were the Fixed Expiration </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Date. If only a part of the Real Property and not the entire Premises is so acquired or condemned then, (1) except as hereinafter provided in this </w:t>
      </w:r>
      <w:r>
        <w:rPr>
          <w:rFonts w:ascii="Times New Roman;serif" w:hAnsi="Times New Roman;serif"/>
          <w:b w:val="false"/>
          <w:color w:val="000000"/>
          <w:sz w:val="24"/>
          <w:u w:val="single"/>
        </w:rPr>
        <w:t>Section 14.1</w:t>
      </w:r>
      <w:r>
        <w:rPr>
          <w:rFonts w:ascii="Times New Roman;serif" w:hAnsi="Times New Roman;serif"/>
          <w:b w:val="false"/>
          <w:color w:val="000000"/>
          <w:sz w:val="24"/>
        </w:rPr>
        <w:t xml:space="preserve">, this Lease and the Term shall continue in effect but, if a part of the Premises is included in the part of the Real Property so acquired or condemned, from and after the date of the vesting of title, the Fixed Rent and Tenant’s Share shall be reduced in the proportion which the area of the part of the Premises so acquired or condemned bears to the total area of the Premises immediately prior to such acquisition or condemnation; (2) whether or not the Premises are affected thereby, Landlord, at Landlord’s option, may give to Tenant, within sixty (60) days next following the date upon which Landlord receives notice of vesting of title, a thirty (30) day notice of termination of this Lease; and (3) if the part of the Real Property so acquired or condemned contains more than thirty (30%) percent of the total area of the Premises immediately prior to such acquisition or condemnation, or if, by reason of such acquisition or condemnation, Tenant no longer has access to the Premises, Tenant, at Tenant’s option, may give to Landlord, within sixty (60) days next following the date upon which Tenant receives notice of vesting of title, a thirty (30) day notice of termination of this Lease. If any such thirty (30) day notice of termination is given, by Landlord or Tenant, this Lease and the Term shall come to an end and expire upon the expiration of said thirty (30) days with the same effect as if the date of expiration of said thirty (30) days were the Fixed Expiration Date. If a part of the Premises is so acquired or condemned and this Lease and the Term are not terminated pursuant to the foregoing provisions of this </w:t>
      </w:r>
      <w:r>
        <w:rPr>
          <w:rFonts w:ascii="Times New Roman;serif" w:hAnsi="Times New Roman;serif"/>
          <w:b w:val="false"/>
          <w:color w:val="000000"/>
          <w:sz w:val="24"/>
          <w:u w:val="single"/>
        </w:rPr>
        <w:t>Section 14.1</w:t>
      </w:r>
      <w:r>
        <w:rPr>
          <w:rFonts w:ascii="Times New Roman;serif" w:hAnsi="Times New Roman;serif"/>
          <w:b w:val="false"/>
          <w:color w:val="000000"/>
          <w:sz w:val="24"/>
        </w:rPr>
        <w:t xml:space="preserve">, Landlord, at Landlord’s cost and expense, shall restore that part of the Premises not so acquired or condemned to a self-contained rental unit, exclusive of Tenant’s Alterations, Tenant’s leasehold Improvements and Tenant’s Property. In the event of any termination of this Lease and the Term pursuant to the provisions of this </w:t>
      </w:r>
      <w:r>
        <w:rPr>
          <w:rFonts w:ascii="Times New Roman;serif" w:hAnsi="Times New Roman;serif"/>
          <w:b w:val="false"/>
          <w:color w:val="000000"/>
          <w:sz w:val="24"/>
          <w:u w:val="single"/>
        </w:rPr>
        <w:t>Section 14.1</w:t>
      </w:r>
      <w:r>
        <w:rPr>
          <w:rFonts w:ascii="Times New Roman;serif" w:hAnsi="Times New Roman;serif"/>
          <w:b w:val="false"/>
          <w:color w:val="000000"/>
          <w:sz w:val="24"/>
        </w:rPr>
        <w:t>, the Fixed Rent shall be apportioned as of the date of sooner termination and any prepaid portion of the Fixed Rent or Escalation Rent for any period after such date shall be refunded by Landlord to Tenant.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14.2.     In the event of any such acquisition or condemnation of all or any part of the Real Property, Landlord shall be entitled to receive the entire award for any such acquisition or condemnation. Tenant shall have no claim against Landlord or the condemning authority for the value of any unexpired portion of the Term and Tenant hereby expressly assigns to Landlord all of its right in and to any such award. Nothing contained in this </w:t>
      </w:r>
      <w:r>
        <w:rPr>
          <w:rFonts w:ascii="Times New Roman;serif" w:hAnsi="Times New Roman;serif"/>
          <w:b w:val="false"/>
          <w:color w:val="000000"/>
          <w:sz w:val="24"/>
          <w:u w:val="single"/>
        </w:rPr>
        <w:t>Section 14.2</w:t>
      </w:r>
      <w:r>
        <w:rPr>
          <w:color w:val="000000"/>
        </w:rPr>
        <w:t xml:space="preserve"> </w:t>
      </w:r>
      <w:r>
        <w:rPr>
          <w:rFonts w:ascii="Times New Roman;serif" w:hAnsi="Times New Roman;serif"/>
          <w:b w:val="false"/>
          <w:color w:val="000000"/>
          <w:sz w:val="24"/>
        </w:rPr>
        <w:t>shall be deemed to prevent Tenant from making a separate claim in any condemnation proceedings for the value of any Tenant’s Property included in such taking, and for any moving expenses, so long as Landlord’s award is not reduced thereby.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14.3.     If the whole or any part of the Premises is acquired or condemned temporarily during the Term for any public or quasi-public use or purpose, Tenant shall give prompt notice thereof to Landlord and the Term shall not be reduced or affected in any way and Tenant shall continue to pay in full all items of Rental payable by Tenant hereunder without reduction or abatement, and Tenant shall be entitled to receive for itself any award or payments for such use, provided, however, that: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(1)     if the acquisition or condemnation is for a period not extending beyond the Term and if such award or payment is made less frequently than in monthly installments, the same shall be paid to and held by Landlord as a fund which Landlord shall apply from time to time to the Rental payable by Tenant hereunder, except that if, by reason of such acquisition or condemnation, changes or alterations are required to be made to the Premises </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which would necessitate an expenditure to restore the Premises, then a portion of such award or payment considered by Landlord as appropriate to cover the expenses of the restoration shall be retained by Landlord, without application as aforesaid, and applied toward the restoration of the Premises as provided in </w:t>
      </w:r>
      <w:r>
        <w:rPr>
          <w:rFonts w:ascii="Times New Roman;serif" w:hAnsi="Times New Roman;serif"/>
          <w:b w:val="false"/>
          <w:color w:val="000000"/>
          <w:sz w:val="24"/>
          <w:u w:val="single"/>
        </w:rPr>
        <w:t>Section 14.1</w:t>
      </w:r>
      <w:r>
        <w:rPr>
          <w:rFonts w:ascii="Times New Roman;serif" w:hAnsi="Times New Roman;serif"/>
          <w:b w:val="false"/>
          <w:color w:val="000000"/>
          <w:sz w:val="24"/>
        </w:rPr>
        <w:t>;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(2)     if the acquisition or condemnation is for a period extending beyond the Term, such award or payment shall be apportioned between Landlord and Tenant as of the Expiration Date; Tenant’s share thereof, if paid less frequently than in monthly installments, shall be paid to Landlord and applied in accordance with the provisions of </w:t>
      </w:r>
      <w:r>
        <w:rPr>
          <w:rFonts w:ascii="Times New Roman;serif" w:hAnsi="Times New Roman;serif"/>
          <w:b w:val="false"/>
          <w:color w:val="000000"/>
          <w:sz w:val="24"/>
          <w:u w:val="single"/>
        </w:rPr>
        <w:t>Section 14.3(1)</w:t>
      </w:r>
      <w:r>
        <w:rPr>
          <w:color w:val="000000"/>
        </w:rPr>
        <w:t xml:space="preserve"> </w:t>
      </w:r>
      <w:r>
        <w:rPr>
          <w:rFonts w:ascii="Times New Roman;serif" w:hAnsi="Times New Roman;serif"/>
          <w:b w:val="false"/>
          <w:color w:val="000000"/>
          <w:sz w:val="24"/>
        </w:rPr>
        <w:t>above; provided, however, that the amount of any award or payment allowed or retained for restoration of the Premises shall remain the property of Landlord if this Lease expires prior to the restoration of the Premises.</w:t>
      </w:r>
    </w:p>
    <w:p>
      <w:pPr>
        <w:pStyle w:val="TextBody"/>
        <w:bidi w:val="0"/>
        <w:spacing w:lineRule="auto" w:line="556" w:before="120" w:after="283"/>
        <w:jc w:val="center"/>
        <w:rPr/>
      </w:pPr>
      <w:r>
        <w:rPr>
          <w:rFonts w:ascii="Times New Roman;serif" w:hAnsi="Times New Roman;serif"/>
          <w:b w:val="false"/>
          <w:color w:val="000000"/>
          <w:sz w:val="24"/>
        </w:rPr>
        <w:t>ARTICLE 15</w:t>
        <w:br/>
      </w:r>
      <w:r>
        <w:rPr>
          <w:rFonts w:ascii="Times New Roman;serif" w:hAnsi="Times New Roman;serif"/>
          <w:b w:val="false"/>
          <w:color w:val="000000"/>
          <w:sz w:val="24"/>
          <w:u w:val="single"/>
        </w:rPr>
        <w:t>ASSIGNMENT, SUBLETTING, MORTGAGE, ETC.</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15.1.     Except as otherwise provided in this </w:t>
      </w:r>
      <w:r>
        <w:rPr>
          <w:rFonts w:ascii="Times New Roman;serif" w:hAnsi="Times New Roman;serif"/>
          <w:b w:val="false"/>
          <w:color w:val="000000"/>
          <w:sz w:val="24"/>
          <w:u w:val="single"/>
        </w:rPr>
        <w:t>Article 15</w:t>
      </w:r>
      <w:r>
        <w:rPr>
          <w:rFonts w:ascii="Times New Roman;serif" w:hAnsi="Times New Roman;serif"/>
          <w:b w:val="false"/>
          <w:color w:val="000000"/>
          <w:sz w:val="24"/>
        </w:rPr>
        <w:t>, Tenant shall not (a) assign this Lease (whether by operation of law, transfers of interests in Tenant or otherwise); or (b) mortgage or encumber Tenant’s interest in this Lease, in whole or in part; or (c) sublet, or permit the subletting of, the Premises or any part thereof; or (d) permit the Premises or any part thereof to be occupied or used for desk space, mailing privileges or otherwise by any person other than Tenant. Tenant shall not advertise or authorize a broker to advertise for a subtenant or assignee, without in each instance, obtaining the prior written consent of Landlord, which shall not be unreasonably withheld or delayed.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15.2.     If Tenant’s interest in this Lease shall be assigned in violation of the provisions of this </w:t>
      </w:r>
      <w:r>
        <w:rPr>
          <w:rFonts w:ascii="Times New Roman;serif" w:hAnsi="Times New Roman;serif"/>
          <w:b w:val="false"/>
          <w:color w:val="000000"/>
          <w:sz w:val="24"/>
          <w:u w:val="single"/>
        </w:rPr>
        <w:t>Article 15</w:t>
      </w:r>
      <w:r>
        <w:rPr>
          <w:rFonts w:ascii="Times New Roman;serif" w:hAnsi="Times New Roman;serif"/>
          <w:b w:val="false"/>
          <w:color w:val="000000"/>
          <w:sz w:val="24"/>
        </w:rPr>
        <w:t xml:space="preserve">, such assignment shall be invalid and of no force and effect against Landlord; provided, however, that Landlord may collect an amount equal to the then Fixed Rent plus any other item of Rental from the assignee as a fee for its use and occupancy. If the Premises or any part thereof are sublet to, or occupied by, or used by, any person other than Tenant, whether or not in violation of this </w:t>
      </w:r>
      <w:r>
        <w:rPr>
          <w:rFonts w:ascii="Times New Roman;serif" w:hAnsi="Times New Roman;serif"/>
          <w:b w:val="false"/>
          <w:color w:val="000000"/>
          <w:sz w:val="24"/>
          <w:u w:val="single"/>
        </w:rPr>
        <w:t>Article 15</w:t>
      </w:r>
      <w:r>
        <w:rPr>
          <w:rFonts w:ascii="Times New Roman;serif" w:hAnsi="Times New Roman;serif"/>
          <w:b w:val="false"/>
          <w:color w:val="000000"/>
          <w:sz w:val="24"/>
        </w:rPr>
        <w:t xml:space="preserve">, Landlord, after default by Tenant under this Lease, may collect any item of Rental or other sums paid by the subtenant, user or occupant as a fee for its use and occupancy, and shall apply the net amount collected to the Fixed Rent and the items of Rental reserved in this Lease. No such assignment, subletting, occupancy, or use, whether with or without Landlord’s prior consent, nor any such collection or application of Rental or fee for use and occupancy, shall be deemed a waiver by Landlord of any term, covenant or condition of this Lease or the acceptance by Landlord of such assignee, subtenant, occupant or user as Tenant hereunder, nor shall the same, in any circumstances, relieve Tenant of any of its obligations under this Lease. The consent by Landlord to any assignment, subletting, occupancy or use shall not relieve Tenant from its obligation to obtain the express prior consent of Landlord to any further assignment, subletting, occupancy or use. Any person to which this Lease is assigned with Landlord’s consent shall be deemed automatically to have assumed all of the obligations arising under this Lease from and after the date of such assignment and shall execute and deliver to Landlord, upon demand, an instrument confirming such assumption. Notwithstanding and subsequent to any assignment, Tenant’s primary liability hereunder shall continue notwithstanding (a) any subsequent amendment hereof, or (b) Landlord’s forbearance in </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enforcing against Tenant any obligation or liability, without notice to Tenant, to each of which Tenant hereby consents in advance. If any such amendment operates to increase the obligations of Tenant under this Lease, the liability under this </w:t>
      </w:r>
      <w:r>
        <w:rPr>
          <w:rFonts w:ascii="Times New Roman;serif" w:hAnsi="Times New Roman;serif"/>
          <w:b w:val="false"/>
          <w:color w:val="000000"/>
          <w:sz w:val="24"/>
          <w:u w:val="single"/>
        </w:rPr>
        <w:t>Section 15.2</w:t>
      </w:r>
      <w:r>
        <w:rPr>
          <w:color w:val="000000"/>
        </w:rPr>
        <w:t xml:space="preserve"> </w:t>
      </w:r>
      <w:r>
        <w:rPr>
          <w:rFonts w:ascii="Times New Roman;serif" w:hAnsi="Times New Roman;serif"/>
          <w:b w:val="false"/>
          <w:color w:val="000000"/>
          <w:sz w:val="24"/>
        </w:rPr>
        <w:t>of the assigning Tenant shall continue to be no greater than if such amendment had not been made (unless such party shall have expressly consented in writing to such amendment).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15.3.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For purposes of this </w:t>
      </w:r>
      <w:r>
        <w:rPr>
          <w:rFonts w:ascii="Times New Roman;serif" w:hAnsi="Times New Roman;serif"/>
          <w:b w:val="false"/>
          <w:color w:val="000000"/>
          <w:sz w:val="24"/>
          <w:u w:val="single"/>
        </w:rPr>
        <w:t>Article 15</w:t>
      </w:r>
      <w:r>
        <w:rPr>
          <w:rFonts w:ascii="Times New Roman;serif" w:hAnsi="Times New Roman;serif"/>
          <w:b w:val="false"/>
          <w:color w:val="000000"/>
          <w:sz w:val="24"/>
        </w:rPr>
        <w:t xml:space="preserve">, (i) the transfer of a majority of the issued and outstanding capital stock of any corporate tenant, or of a corporate subtenant, or the transfer of a majority of the total interest in any partnership tenant or subtenant, or the transfer of control in any general or limited liability partnership tenant or subtenant, or the transfer of a majority of the issued and outstanding membership interests in a limited liability company tenant or subtenant, however accomplished, whether in a single transaction or in a series of related or unrelated transactions, involving the tenant, subtenant and/or its parent (including, without limitation, and by way of example only, the transfer of a majority of the outstanding capital stock of a company, which company owns one hundred (100%) percent of a second tier company, which in turn owns fifty one (51%) percent of the outstanding capital stock of a corporate tenant hereunder), shall be deemed an assignment of this Lease, or of such sublease, as the case may be, except that the transfer of the outstanding capital stock of any corporate tenant, subtenant or parent, shall be deemed not to include the sale of such stock by persons or parties, other than those deemed “affiliates” of Tenant within the meaning of Rule 144 promulgated under the Securities Act of 1933, as amended, through the “over-the-counter market” or through any recognized stock exchange, (ii) any increase in the amount of issued and/or outstanding capital stock of any corporate tenant, or of a corporate subtenant, or such tenant’s or subtenant’s parent, or of the issued and outstanding membership interests in a limited liability company tenant or subtenant, or such tenant’s or subtenant’s parent, and/or the creation of one or more additional classes of capital stock of any corporate tenant or any corporate subtenant, or such tenant’s or subtenant’s parent, in a single transaction or a series of related or unrelated transactions involving the tenant, subtenant and/or its parent, resulting in a change in the legal or beneficial ownership of such tenant, subtenant or parent so that the shareholders or members of such tenant, subtenant or parent existing immediately prior to such transaction or series of transactions shall no longer own a majority of the issued and outstanding capital stock or membership interests of such entity, shall be deemed an assignment of this Lease, (iii) an agreement by any other person or entity, directly or indirectly, to assume Tenant’s obligations under this Lease shall be deemed an assignment, (iv) any person or legal representative of Tenant, to whom Tenant’s interest under this Lease passes by operation of law, or otherwise, shall be bound by the provisions of this </w:t>
      </w:r>
      <w:r>
        <w:rPr>
          <w:rFonts w:ascii="Times New Roman;serif" w:hAnsi="Times New Roman;serif"/>
          <w:b w:val="false"/>
          <w:color w:val="000000"/>
          <w:sz w:val="24"/>
          <w:u w:val="single"/>
        </w:rPr>
        <w:t>Article 15</w:t>
      </w:r>
      <w:r>
        <w:rPr>
          <w:rFonts w:ascii="Times New Roman;serif" w:hAnsi="Times New Roman;serif"/>
          <w:b w:val="false"/>
          <w:color w:val="000000"/>
          <w:sz w:val="24"/>
        </w:rPr>
        <w:t xml:space="preserve">, (v) a modification, amendment or extension of a sublease shall be deemed a sublease, and (vi) the change or conversion of Tenant from an entity in which the partners or members have personal liability to a limited liability company, a limited liability partnership or any other entity which possesses the characteristics of limited liability shall be deemed an assignment. Tenant agrees to furnish to Landlord on request at any time such information and assurances as Landlord may reasonably request that neither Tenant, nor any previously permitted subtenant, has violated the provisions of this </w:t>
      </w:r>
      <w:r>
        <w:rPr>
          <w:rFonts w:ascii="Times New Roman;serif" w:hAnsi="Times New Roman;serif"/>
          <w:b w:val="false"/>
          <w:color w:val="000000"/>
          <w:sz w:val="24"/>
          <w:u w:val="single"/>
        </w:rPr>
        <w:t>Article 15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provisions of </w:t>
      </w:r>
      <w:r>
        <w:rPr>
          <w:rFonts w:ascii="Times New Roman;serif" w:hAnsi="Times New Roman;serif"/>
          <w:b w:val="false"/>
          <w:color w:val="000000"/>
          <w:sz w:val="24"/>
          <w:u w:val="single"/>
        </w:rPr>
        <w:t>clauses (a), (c) and (d)</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15.1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15.4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15.5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15.6</w:t>
      </w:r>
      <w:r>
        <w:rPr>
          <w:rFonts w:ascii="Times New Roman;serif" w:hAnsi="Times New Roman;serif"/>
          <w:b w:val="false"/>
          <w:color w:val="000000"/>
          <w:sz w:val="24"/>
        </w:rPr>
        <w:t xml:space="preserve">, shall not apply to, and Landlord’s consent shall not be required </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with respect to, (i) transactions with a corporation or limited liability company into or with which Tenant is merged or consolidated or with a Person to which substantially all of Tenant’s assets are transferred (provided such merger, consolidation or transfer of assets is for a good business purpose and not principally for the purpose of transferring the leasehold estate created by this Lease, and provided further, that the assignee has a net worth at least equal to or in excess of the net worth of Tenant as of the date of this Lease or as of the date immediately prior to such merger, consolidation or transfer, whichever is greater) or, (ii) if Tenant is a general, limited or limited liability partnership, transactions with a successor partnership (provided that the successor partnership has a net worth at least equal to or in excess of the net worth of Tenant as of the date of this Lease or as of the date immediately prior to such merger, consolidation or transfer, whichever is greater), or (iii) transactions with an entity that controls or is controlled by Tenant or is under common control with Tenant (any transfer so permitted pursuant to clause (i), (ii) or (iii), a “</w:t>
      </w:r>
      <w:r>
        <w:rPr>
          <w:rFonts w:ascii="Times New Roman;serif" w:hAnsi="Times New Roman;serif"/>
          <w:b w:val="false"/>
          <w:color w:val="000000"/>
          <w:sz w:val="24"/>
          <w:u w:val="single"/>
        </w:rPr>
        <w:t>Permitted Transfer</w:t>
      </w:r>
      <w:r>
        <w:rPr>
          <w:color w:val="000000"/>
        </w:rPr>
        <w:t>”</w:t>
      </w:r>
      <w:r>
        <w:rPr>
          <w:rFonts w:ascii="Times New Roman;serif" w:hAnsi="Times New Roman;serif"/>
          <w:b w:val="false"/>
          <w:color w:val="000000"/>
          <w:sz w:val="24"/>
        </w:rPr>
        <w:t>, and each resulting Tenant a “</w:t>
      </w:r>
      <w:r>
        <w:rPr>
          <w:rFonts w:ascii="Times New Roman;serif" w:hAnsi="Times New Roman;serif"/>
          <w:b w:val="false"/>
          <w:color w:val="000000"/>
          <w:sz w:val="24"/>
          <w:u w:val="single"/>
        </w:rPr>
        <w:t>Permitted Transferee</w:t>
      </w:r>
      <w:r>
        <w:rPr>
          <w:color w:val="000000"/>
        </w:rPr>
        <w:t>”</w:t>
      </w:r>
      <w:r>
        <w:rPr>
          <w:rFonts w:ascii="Times New Roman;serif" w:hAnsi="Times New Roman;serif"/>
          <w:b w:val="false"/>
          <w:color w:val="000000"/>
          <w:sz w:val="24"/>
        </w:rPr>
        <w:t>). Tenant shall notify Landlord at least ten (10) Business Days before any Permitted Transfer is consummated.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term “control” as used in this Lease (i) in the case of a corporation shall mean ownership of more than fifty (50%) percent of the outstanding capital stock of that corporation, (ii) in the case of a general or limited liability partnership, shall mean ownership of more than fifty (50%) percent of the general partnership or membership interests of the partnership, (iii) in the case of a limited partnership, shall mean ownership of more than fifty (50%) percent of the general partnership interests of such limited partnership, and (iv) in the case of a limited liability company, shall mean ownership of more than fifty (50%) percent of the membership interests of such limited liability company.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15.4.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If Landlord shall not exercise its rights pursuant to </w:t>
      </w:r>
      <w:r>
        <w:rPr>
          <w:rFonts w:ascii="Times New Roman;serif" w:hAnsi="Times New Roman;serif"/>
          <w:b w:val="false"/>
          <w:color w:val="000000"/>
          <w:sz w:val="24"/>
          <w:u w:val="single"/>
        </w:rPr>
        <w:t>clauses (x) or (y)</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15.4(B)</w:t>
      </w:r>
      <w:r>
        <w:rPr>
          <w:rFonts w:ascii="Times New Roman;serif" w:hAnsi="Times New Roman;serif"/>
          <w:b w:val="false"/>
          <w:color w:val="000000"/>
          <w:sz w:val="24"/>
        </w:rPr>
        <w:t xml:space="preserve">, Landlord shall not unreasonably withhold or delay its consent to a proposed subletting of the Premises, or an assignment of this Lease, provided that in each such instance, the following requirements shall have been satisfied (if Tenant proposes a partial sublet, references in this </w:t>
      </w:r>
      <w:r>
        <w:rPr>
          <w:rFonts w:ascii="Times New Roman;serif" w:hAnsi="Times New Roman;serif"/>
          <w:b w:val="false"/>
          <w:color w:val="000000"/>
          <w:sz w:val="24"/>
          <w:u w:val="single"/>
        </w:rPr>
        <w:t>Section 15.4</w:t>
      </w:r>
      <w:r>
        <w:rPr>
          <w:color w:val="000000"/>
        </w:rPr>
        <w:t xml:space="preserve"> </w:t>
      </w:r>
      <w:r>
        <w:rPr>
          <w:rFonts w:ascii="Times New Roman;serif" w:hAnsi="Times New Roman;serif"/>
          <w:b w:val="false"/>
          <w:color w:val="000000"/>
          <w:sz w:val="24"/>
        </w:rPr>
        <w:t>to the Premises shall, unless the context otherwise requires, refer to such portion):</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(1)     in the case of a proposed subletting, the listing or advertising for subletting of the Premises shall not have included a proposed rental rate, provided, however, that Tenant may quote in writing directly to prospective subtenants the proposed rental rate;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no Event of Default shall have occurred and be continuing;</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(3)     the proposed subtenant or assignee shall have a financial standing, be engaged in a business, and propose to use the Premises in a manner in keeping with the standards in such respects of the other tenancies in the Building;</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(4)     the proposed subtenant or assignee shall not be (x) a Person with whom Landlord is then negotiating or discussing the leasing of space in the Building; or (y) a </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tenant in or occupant of the Building or any Person that, directly or indirectly, is controlled by, controls or is under common control with any such tenant or occupant;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(5)     any subletting shall be expressly subject to all of the terms, covenants, conditions and obligations on Tenant’s part to be observed and performed under this Lease and any assignment or subletting shall be subject to the further condition and restriction that this Lease or the sublease shall not be further assigned, encumbered or otherwise transferred or the subleased premises further sublet by the subtenant in whole or in part, or any part thereof suffered or permitted by the assignee or subtenant to be used or occupied by others, without the prior written consent of Landlord in each instance, which consent shall be granted or withheld in Landlord’s sole discretion, and if Landlord shall consent to any further subletting by the subtenant or the assignment of the sublease, </w:t>
      </w:r>
      <w:r>
        <w:rPr>
          <w:rFonts w:ascii="Times New Roman;serif" w:hAnsi="Times New Roman;serif"/>
          <w:b w:val="false"/>
          <w:color w:val="000000"/>
          <w:sz w:val="24"/>
          <w:u w:val="single"/>
        </w:rPr>
        <w:t>Sections 15.5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15.6</w:t>
      </w:r>
      <w:r>
        <w:rPr>
          <w:color w:val="000000"/>
        </w:rPr>
        <w:t xml:space="preserve"> </w:t>
      </w:r>
      <w:r>
        <w:rPr>
          <w:rFonts w:ascii="Times New Roman;serif" w:hAnsi="Times New Roman;serif"/>
          <w:b w:val="false"/>
          <w:color w:val="000000"/>
          <w:sz w:val="24"/>
        </w:rPr>
        <w:t>of this Lease shall apply to any such transactions as if the further subletting or assignment of the sublease were a proposed subletting or assignment being made by Tenant under this Lease so that Landlord shall be entitled to receive all amounts described in such Sections;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(6)     at no time shall there be more than two (2) separately demised occupants, including Tenant, in any full floor of the Premises, all of whom shall have direct access through common or public corridors to elevators, fire stairs and core rest rooms;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(7)     Tenant shall reimburse Landlord on demand for any costs that may be incurred by Landlord in connection with said assignment or sublease, including, without limitation, any processing fees, attorneys’ fees and disbursements, and the costs of making investigations as to the acceptability of the proposed assignee or subtenant;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(8)     any sublease shall expressly provide that in the event of termination, re-entry or dispossession of Tenant by Landlord under this Lease, Landlord may, at its option, take over all of the right, title and interest of Tenant as sublessor under such sublease, and such subtenant shall, at Landlord’s option, attorn to Landlord pursuant to the then executory provisions of such sublease, except that (i) Landlord shall not be liable for any previous act or omission of Tenant under such sublease, (ii) Landlord shall not be subject to any offset that theretofore accrued to such subtenant against Tenant, (iii) Landlord shall not be bound by any previous modification of such sublease or by any previous prepayment of more than one month’s rent unless previously approved by Landlord, (iv) Landlord shall not be bound by any covenant to undertake or complete or make payment to or on behalf of a subtenant with respect to any construction of the Premises or any portion thereof demised by such sublease, and (v) Landlord shall not be bound by any obligations to make any other payment to or on behalf of the subtenant, except for services, repairs, maintenance and restoration provided for under the sublease to be performed after the date of such termination, re-entry or dispossession by Landlord under this Lease and which Landlord is required to perform hereunder with respect to the subleased space at Landlord’s expense;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(9)     The proposed assignee or subtenant or the nature of the occupancy of the proposed assignee or subtenant will not cause an excessive density of employees or traffic or make excessive demands on the Building Systems or present a greater security risk to the Building than is presented by Tenant;</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(10)     The use of the Premises by the proposed subtenant or assignee shall not violate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of this Lease and the nature of the occupancy, the use and the manner of use of the Premises by the proposed subtenant or assignee shall not impose on Landlord any requirements of the ADA in excess of those requirements imposed on Landlord in the absence of such proposed subtenant or assignee or such occupancy, use or manner of use, unless such proposed subtenant or assignee shall have agreed to comply with each of such excess requirements and, at Landlord’s option, shall have furnished Landlord with such security as Landlord may require to assure that such subtenant or assignee shall so comply;</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(11)     Landlord and Tenant shall have agreed on the computation required under </w:t>
      </w:r>
      <w:r>
        <w:rPr>
          <w:rFonts w:ascii="Times New Roman;serif" w:hAnsi="Times New Roman;serif"/>
          <w:b w:val="false"/>
          <w:color w:val="000000"/>
          <w:sz w:val="24"/>
          <w:u w:val="single"/>
        </w:rPr>
        <w:t>Section 15.5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15.6</w:t>
      </w:r>
      <w:r>
        <w:rPr>
          <w:rFonts w:ascii="Times New Roman;serif" w:hAnsi="Times New Roman;serif"/>
          <w:b w:val="false"/>
          <w:color w:val="000000"/>
          <w:sz w:val="24"/>
        </w:rPr>
        <w:t>, as applicable;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(12)     Tenant shall not have advertised the rent payable under the sublease and agrees in the Sublease that no such advertisement shall occur during the term of the sublease;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(13)     In connection with any proposed assignment of this Lease or any sublease, Tenant shall provide to Landlord the names of the persons holding an ownership interest in Tenant or any proposed assignee or sublessee, as applicable, for purposes of compliance with Presidential Executive Order 13224 (issued September 24, 2001), as amended. The obligation contained in the preceding sentence shall not apply to any wholly-owned subsidiary of Tenant or of any wholly-owned affiliate of Tenant or any publicly owned company. Tenant shall provide such information to the extent reasonably possible if the assignee or sublessee is privately held.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Upon obtaining a proposed assignee or subtenant, upon terms satisfactory to Tenant, Tenant shall submit to Landlord in writing (the following documents and information being collectively referred to as the “</w:t>
      </w:r>
      <w:r>
        <w:rPr>
          <w:rFonts w:ascii="Times New Roman;serif" w:hAnsi="Times New Roman;serif"/>
          <w:b w:val="false"/>
          <w:color w:val="000000"/>
          <w:sz w:val="24"/>
          <w:u w:val="single"/>
        </w:rPr>
        <w:t>Sublease or Assignment Statement</w:t>
      </w:r>
      <w:r>
        <w:rPr>
          <w:color w:val="000000"/>
        </w:rPr>
        <w:t>”</w:t>
      </w:r>
      <w:r>
        <w:rPr>
          <w:rFonts w:ascii="Times New Roman;serif" w:hAnsi="Times New Roman;serif"/>
          <w:b w:val="false"/>
          <w:color w:val="000000"/>
          <w:sz w:val="24"/>
        </w:rPr>
        <w:t xml:space="preserve">): (i) the name and business address of the proposed assignee or subtenant; (ii) the nature and character of the business and credit of the proposed assignee or subtenant; (iii) a fully executed original proposed assignment or sublease and all related agreements, the effective or commencement date of which shall be at least thirty (30) days after the date Tenant’s notice to Landlord is given, along with Tenant’s and the subtenant’s (or assignee’s) affidavit that such sublease or assignment instrument is the true and complete statement of the subletting or assignment and reflects all sums and other consideration passing between the parties to the sublease or assignment and all reports, returns, transferor and transferee questionnaires and other documents required to be filed under </w:t>
      </w:r>
      <w:r>
        <w:rPr>
          <w:rFonts w:ascii="Times New Roman;serif" w:hAnsi="Times New Roman;serif"/>
          <w:b w:val="false"/>
          <w:color w:val="000000"/>
          <w:sz w:val="24"/>
          <w:u w:val="single"/>
        </w:rPr>
        <w:t>Article 31</w:t>
      </w:r>
      <w:r>
        <w:rPr>
          <w:color w:val="000000"/>
        </w:rPr>
        <w:t xml:space="preserve"> </w:t>
      </w:r>
      <w:r>
        <w:rPr>
          <w:rFonts w:ascii="Times New Roman;serif" w:hAnsi="Times New Roman;serif"/>
          <w:b w:val="false"/>
          <w:color w:val="000000"/>
          <w:sz w:val="24"/>
        </w:rPr>
        <w:t xml:space="preserve">of the New York State Tax Law and under Chapter 21 of the New York City Administrative Code; (iv) current financial information with respect to the proposed assignee or subtenant, including, without limitation, its most recent financial statements, certified by an Independent CPA if such financial statements are so certified (or, if not, certified by the chief financial officer of the proposed assignee or subtenant as being true and correct) and (v) any other information that Landlord may reasonably request. Landlord shall have the following rights, exercisable within thirty (30) days after Landlord’s receipt of the Sublease or Assignment Statement (including any additional information reasonably requested by Landlord): (x) in the case of an assignment of this Lease or a subletting of the entire Premises, to sublet (in its own name or that of its designee) the entire Premises from Tenant on the terms and conditions set forth in </w:t>
      </w:r>
      <w:r>
        <w:rPr>
          <w:rFonts w:ascii="Times New Roman;serif" w:hAnsi="Times New Roman;serif"/>
          <w:b w:val="false"/>
          <w:color w:val="000000"/>
          <w:sz w:val="24"/>
          <w:u w:val="single"/>
        </w:rPr>
        <w:t>Section 15.4(C)</w:t>
      </w:r>
      <w:r>
        <w:rPr>
          <w:rFonts w:ascii="Times New Roman;serif" w:hAnsi="Times New Roman;serif"/>
          <w:b w:val="false"/>
          <w:color w:val="000000"/>
          <w:sz w:val="24"/>
        </w:rPr>
        <w:t xml:space="preserve">, or to terminate this Lease or to take an assignment of this Lease from </w:t>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Tenant or (y) in the case of a subletting of a portion of the Premises, to sublet (in its own name or that of its designee) such portion of the Premises (the entire Premises sublet by Landlord (or its designee) pursuant to </w:t>
      </w:r>
      <w:r>
        <w:rPr>
          <w:rFonts w:ascii="Times New Roman;serif" w:hAnsi="Times New Roman;serif"/>
          <w:b w:val="false"/>
          <w:color w:val="000000"/>
          <w:sz w:val="24"/>
          <w:u w:val="single"/>
        </w:rPr>
        <w:t>clause (x)</w:t>
      </w:r>
      <w:r>
        <w:rPr>
          <w:color w:val="000000"/>
        </w:rPr>
        <w:t xml:space="preserve"> </w:t>
      </w:r>
      <w:r>
        <w:rPr>
          <w:rFonts w:ascii="Times New Roman;serif" w:hAnsi="Times New Roman;serif"/>
          <w:b w:val="false"/>
          <w:color w:val="000000"/>
          <w:sz w:val="24"/>
        </w:rPr>
        <w:t xml:space="preserve">or such portion of the Premises sublet by Landlord (or its designee) pursuant to this </w:t>
      </w:r>
      <w:r>
        <w:rPr>
          <w:rFonts w:ascii="Times New Roman;serif" w:hAnsi="Times New Roman;serif"/>
          <w:b w:val="false"/>
          <w:color w:val="000000"/>
          <w:sz w:val="24"/>
          <w:u w:val="single"/>
        </w:rPr>
        <w:t>clause (y)</w:t>
      </w:r>
      <w:r>
        <w:rPr>
          <w:color w:val="000000"/>
        </w:rPr>
        <w:t xml:space="preserve"> </w:t>
      </w:r>
      <w:r>
        <w:rPr>
          <w:rFonts w:ascii="Times New Roman;serif" w:hAnsi="Times New Roman;serif"/>
          <w:b w:val="false"/>
          <w:color w:val="000000"/>
          <w:sz w:val="24"/>
        </w:rPr>
        <w:t>being referred to as the “</w:t>
      </w:r>
      <w:r>
        <w:rPr>
          <w:rFonts w:ascii="Times New Roman;serif" w:hAnsi="Times New Roman;serif"/>
          <w:b w:val="false"/>
          <w:color w:val="000000"/>
          <w:sz w:val="24"/>
          <w:u w:val="single"/>
        </w:rPr>
        <w:t>Recapture Space</w:t>
      </w:r>
      <w:r>
        <w:rPr>
          <w:color w:val="000000"/>
        </w:rPr>
        <w:t>”</w:t>
      </w:r>
      <w:r>
        <w:rPr>
          <w:rFonts w:ascii="Times New Roman;serif" w:hAnsi="Times New Roman;serif"/>
          <w:b w:val="false"/>
          <w:color w:val="000000"/>
          <w:sz w:val="24"/>
        </w:rPr>
        <w:t xml:space="preserve">) from Tenant on the terms and conditions set forth in </w:t>
      </w:r>
      <w:r>
        <w:rPr>
          <w:rFonts w:ascii="Times New Roman;serif" w:hAnsi="Times New Roman;serif"/>
          <w:b w:val="false"/>
          <w:color w:val="000000"/>
          <w:sz w:val="24"/>
          <w:u w:val="single"/>
        </w:rPr>
        <w:t>Section 15.4(C)</w:t>
      </w:r>
      <w:r>
        <w:rPr>
          <w:rFonts w:ascii="Times New Roman;serif" w:hAnsi="Times New Roman;serif"/>
          <w:b w:val="false"/>
          <w:color w:val="000000"/>
          <w:sz w:val="24"/>
        </w:rPr>
        <w:t xml:space="preserve">, or to terminate this Lease with respect only to the Recapture Space or (z) to approve or disapprove the proposed assignment or sublease in accordance with the provisions of </w:t>
      </w:r>
      <w:r>
        <w:rPr>
          <w:rFonts w:ascii="Times New Roman;serif" w:hAnsi="Times New Roman;serif"/>
          <w:b w:val="false"/>
          <w:color w:val="000000"/>
          <w:sz w:val="24"/>
          <w:u w:val="single"/>
        </w:rPr>
        <w:t>Section 15.4 (A)</w:t>
      </w:r>
      <w:r>
        <w:rPr>
          <w:rFonts w:ascii="Times New Roman;serif" w:hAnsi="Times New Roman;serif"/>
          <w:b w:val="false"/>
          <w:color w:val="000000"/>
          <w:sz w:val="24"/>
        </w:rPr>
        <w:t xml:space="preserve">. If Landlord shall fail to notify Tenant within said thirty (30) day period of Landlord’s intention to exercise its rights pursuant to </w:t>
      </w:r>
      <w:r>
        <w:rPr>
          <w:rFonts w:ascii="Times New Roman;serif" w:hAnsi="Times New Roman;serif"/>
          <w:b w:val="false"/>
          <w:color w:val="000000"/>
          <w:sz w:val="24"/>
          <w:u w:val="single"/>
        </w:rPr>
        <w:t>clauses (x) or (y)</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15.4(B)</w:t>
      </w:r>
      <w:r>
        <w:rPr>
          <w:rFonts w:ascii="Times New Roman;serif" w:hAnsi="Times New Roman;serif"/>
          <w:b w:val="false"/>
          <w:color w:val="000000"/>
          <w:sz w:val="24"/>
        </w:rPr>
        <w:t xml:space="preserve">, or to have approved or disapproved the transaction, Landlord shall be deemed to have not exercised its right to sublet or terminate or take an assignment of this Lease and shall be deemed to have disapproved such transaction. If pursuant to the exercise of any of Landlord’s options pursuant to this </w:t>
      </w:r>
      <w:r>
        <w:rPr>
          <w:rFonts w:ascii="Times New Roman;serif" w:hAnsi="Times New Roman;serif"/>
          <w:b w:val="false"/>
          <w:color w:val="000000"/>
          <w:sz w:val="24"/>
          <w:u w:val="single"/>
        </w:rPr>
        <w:t>Section 15.4</w:t>
      </w:r>
      <w:r>
        <w:rPr>
          <w:rFonts w:ascii="Times New Roman;serif" w:hAnsi="Times New Roman;serif"/>
          <w:b w:val="false"/>
          <w:color w:val="000000"/>
          <w:sz w:val="24"/>
        </w:rPr>
        <w:t>, this Lease is terminated as to only a portion of the Premises, then the Fixed Rent and Escalation Rent shall be adjusted in proportion to the portion of the Premises affected by such 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(1)     If Landlord shall exercise its option to sublet the Recapture Space, then, notwithstanding the terms contained in the Sublease or Assignment Statement, such sublease (a “</w:t>
      </w:r>
      <w:r>
        <w:rPr>
          <w:rFonts w:ascii="Times New Roman;serif" w:hAnsi="Times New Roman;serif"/>
          <w:b w:val="false"/>
          <w:color w:val="000000"/>
          <w:sz w:val="24"/>
          <w:u w:val="single"/>
        </w:rPr>
        <w:t>Recapture Sublease</w:t>
      </w:r>
      <w:r>
        <w:rPr>
          <w:color w:val="000000"/>
        </w:rPr>
        <w:t>”</w:t>
      </w:r>
      <w:r>
        <w:rPr>
          <w:rFonts w:ascii="Times New Roman;serif" w:hAnsi="Times New Roman;serif"/>
          <w:b w:val="false"/>
          <w:color w:val="000000"/>
          <w:sz w:val="24"/>
        </w:rPr>
        <w:t>) to Landlord or its designee as subtenant (the “</w:t>
      </w:r>
      <w:r>
        <w:rPr>
          <w:rFonts w:ascii="Times New Roman;serif" w:hAnsi="Times New Roman;serif"/>
          <w:b w:val="false"/>
          <w:color w:val="000000"/>
          <w:sz w:val="24"/>
          <w:u w:val="single"/>
        </w:rPr>
        <w:t>Recapture Subtenant</w:t>
      </w:r>
      <w:r>
        <w:rPr>
          <w:color w:val="000000"/>
        </w:rPr>
        <w:t>”</w:t>
      </w:r>
      <w:r>
        <w:rPr>
          <w:rFonts w:ascii="Times New Roman;serif" w:hAnsi="Times New Roman;serif"/>
          <w:b w:val="false"/>
          <w:color w:val="000000"/>
          <w:sz w:val="24"/>
        </w:rPr>
        <w:t>) or assignee shall:</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(a)     be at a rate, at all times throughout the term of the Recapture Sublease, equal to (if Tenant had proposed to sublet the Premises) the lower of (i) the rate then payable by Tenant under this Lease and (ii) the rate set forth in the Sublease or Assignment Statement;</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(b)     otherwise be upon the same terms and conditions as those contained in the Sublease or Assignment Statement (other than, in the case of an assignment, payment of consideration therefor to Tenant) and (except as modified by the Sublease or Assignment Statement) the terms and conditions contained in this Lease, except such as are irrelevant or inapplicable and except as otherwise expressly set forth to the contrary in this </w:t>
      </w:r>
      <w:r>
        <w:rPr>
          <w:rFonts w:ascii="Times New Roman;serif" w:hAnsi="Times New Roman;serif"/>
          <w:b w:val="false"/>
          <w:color w:val="000000"/>
          <w:sz w:val="24"/>
          <w:u w:val="single"/>
        </w:rPr>
        <w:t>Section 15.4(C)</w:t>
      </w:r>
      <w:r>
        <w:rPr>
          <w:rFonts w:ascii="Times New Roman;serif" w:hAnsi="Times New Roman;serif"/>
          <w:b w:val="false"/>
          <w:color w:val="000000"/>
          <w:sz w:val="24"/>
        </w:rPr>
        <w:t>;</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(c)     give the Recapture Subtenant the unqualified and unrestricted right, without Tenant’s permission, to assign such sublease and to further sublet the Recapture Space or any part thereof and to make any and all changes, alterations, and improvements in and to the Recapture Space, provided, however, that Landlord consents to such changes, alterations and improvements and agrees that Tenant shall have no obligation to remove or restore the same upon the expiration or earlier termination of this Lease;</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(d)     provide in substance that any such changes, alterations, and improvements made in the Recapture Space may be removed, in whole or in part, prior to or upon the expiration or other termination of the Recapture Sublease provided that any material damage and injury caused thereby shall be repaired;</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(e)     provide that (i) the parties to such Recapture Sublease expressly negate any intention that any estate created under the Recapture Sublease be merged with any estate held by either of said parties, (ii) prior to the commencement of the term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Recapture Sublease, Tenant, at its expense, shall make such alterations as may be required or reasonably deemed necessary by the Recapture Subtenant to physically separate the Recapture Space from the balance of the Premises and to provide appropriate means of access thereto and to the public portions of the balance of the floor such as toilets, janitor’s closets, telephone and electrical closets, fire stairs, elevator lobbies, etc., and (iii) at the expiration of the term of such Recapture Sublease, Tenant will accept the Recapture Space in its then existing condition, broom clean; and</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(f)     provide that the Recapture Subtenant or occupant shall use and occupy the Recapture Space for any purpose approved by Landlord (without regard to any limitation set forth in the Sublease or Assignment Statement).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Until the termination of a Recapture Sublease, performance by Recapture Subtenant under a Recapture Sublease shall be deemed performance by Tenant of any similar obligation under this Lease and Tenant shall not be liable for any default under this Lease or deemed to be in default hereunder if such default is occasioned by or arises from any act or omission of Recapture Subtenant under the Recapture Sublease or is occasioned by or arises from any act or omission of any occupant under the Recapture Sublease.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(3)     If Recapture Subtenant is unable to give Tenant possession of the Recapture Space at the expiration of the term of the Recapture Sublease by reason of the holding over or retention of possession of any tenant or other occupant, then (w) until the date upon which Recapture Subtenant gives Tenant possession of such Recapture Space free of occupancies, Recapture Subtenant shall continue to pay all charges previously payable, and comply with all other obligations under the Recapture Sublease and the provisions of </w:t>
      </w:r>
      <w:r>
        <w:rPr>
          <w:rFonts w:ascii="Times New Roman;serif" w:hAnsi="Times New Roman;serif"/>
          <w:b w:val="false"/>
          <w:color w:val="000000"/>
          <w:sz w:val="24"/>
          <w:u w:val="single"/>
        </w:rPr>
        <w:t>Section 15.4(C)(2)</w:t>
      </w:r>
      <w:r>
        <w:rPr>
          <w:color w:val="000000"/>
        </w:rPr>
        <w:t xml:space="preserve"> </w:t>
      </w:r>
      <w:r>
        <w:rPr>
          <w:rFonts w:ascii="Times New Roman;serif" w:hAnsi="Times New Roman;serif"/>
          <w:b w:val="false"/>
          <w:color w:val="000000"/>
          <w:sz w:val="24"/>
        </w:rPr>
        <w:t>shall continue to apply, (x) neither the Expiration Date nor the validity of this Lease shall be affected, (y) Tenant waives any rights under Section 223-a of the Real Property Law of New York, or any successor statute of similar import, to rescind this Lease and further waives the right to recover any damages from Landlord or Recapture Subtenant that may result from the failure of Landlord to deliver possession of the Recapture Space at the end of the term of the Recapture Sublease, and (z) Recapture Subtenant, at Recapture Subtenant’s expense, shall use its reasonable efforts to deliver possession of such Recapture Space to Tenant and in connection therewith, if necessary, shall institute and diligently and in good faith prosecute holdover and any other appropriate proceeding against the occupant of such Recapture Space.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(4)     The failure by Landlord to exercise its option under either </w:t>
      </w:r>
      <w:r>
        <w:rPr>
          <w:rFonts w:ascii="Times New Roman;serif" w:hAnsi="Times New Roman;serif"/>
          <w:b w:val="false"/>
          <w:color w:val="000000"/>
          <w:sz w:val="24"/>
          <w:u w:val="single"/>
        </w:rPr>
        <w:t>Section 15.4(B)(x)</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15.4(B)(y)</w:t>
      </w:r>
      <w:r>
        <w:rPr>
          <w:color w:val="000000"/>
        </w:rPr>
        <w:t xml:space="preserve"> </w:t>
      </w:r>
      <w:r>
        <w:rPr>
          <w:rFonts w:ascii="Times New Roman;serif" w:hAnsi="Times New Roman;serif"/>
          <w:b w:val="false"/>
          <w:color w:val="000000"/>
          <w:sz w:val="24"/>
        </w:rPr>
        <w:t>with respect to any subletting or assignment shall not be deemed a waiver of such option with respect to any extension of such subletting or assignment or any subsequent subletting or assignment.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15.5.     If Tenant sublets any portion of the Premises to a Person in a transaction for which Landlord’s consent is required, Landlord shall be entitled to and Tenant shall pay to Landlord, as Additional Rent (the “</w:t>
      </w:r>
      <w:r>
        <w:rPr>
          <w:rFonts w:ascii="Times New Roman;serif" w:hAnsi="Times New Roman;serif"/>
          <w:b w:val="false"/>
          <w:color w:val="000000"/>
          <w:sz w:val="24"/>
          <w:u w:val="single"/>
        </w:rPr>
        <w:t>Sublease Additional Rent</w:t>
      </w:r>
      <w:r>
        <w:rPr>
          <w:color w:val="000000"/>
        </w:rPr>
        <w:t>”</w:t>
      </w:r>
      <w:r>
        <w:rPr>
          <w:rFonts w:ascii="Times New Roman;serif" w:hAnsi="Times New Roman;serif"/>
          <w:b w:val="false"/>
          <w:color w:val="000000"/>
          <w:sz w:val="24"/>
        </w:rPr>
        <w:t xml:space="preserve">), a sum equal to fifty (50%) percent of any rents, additional charges and other consideration payable under the sublease to Tenant by the subtenant in excess of the Fixed Rent and Escalation Rent accruing during the term of the sublease in respect of the subleased space (at the rate per square foot payable by Tenant under this Lease) pursuant to the terms of this Lease (including, but not limited to, sums </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paid for the sale or rental of Tenant’s Property and Alterations less, in the case of a sale thereof, the then net unamortized or undepreciated cost thereof determined on the basis of Tenant’s federal income tax or federal information returns). Any brokerage, commissions, attorneys’ fees and costs of any alterations actually incurred by Tenant in connection with any sublease shall be deducted from the excess Fixed Rent and Escalation Rent prior to the calculation of any amount due to Landlord hereunder. Such Sublease Additional Rent shall be payable as and when received by Tenant. Tenant shall furnish to Landlord reasonable documentation evidencing the calculation of Sublease Additional Rent.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15.6.     If Tenant shall assign this Lease to a Person in a transaction for which Landlord’s consent is required, Landlord shall be entitled to and Tenant shall pay to Landlord, as Additional Rent, an amount equal to fifty (50%) percent of all sums and other consideration paid to Tenant by the assignee for or by reason of such assignment (including, but not limited to, sums paid for the sale or rental of Tenant’s Property and Alterations less, in the case of a sale thereof, the then net unamortized or undepreciated cost thereof determined on the basis of Tenant’s federal income tax or federal information returns). Any brokerage, commissions, attorneys’ fees and costs of any alterations actually incurred by Tenant in connection with any assignment shall be deducted from the excess Fixed Rent and Escalation Rent prior to the calculation of any amount due to Landlord hereunder. Such Additional Rent shall be payable as and when received by Tenant from the assignee. Tenant shall furnish to Landlord reasonable documentation evidencing the calculation of such Additional Rent.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15.7.     Landlord shall have no liability for brokerage commissions incurred with respect to any assignment of this Lease or any subletting of all or any part of the Premises by or on behalf of Tenant. Tenant shall pay, and shall indemnify and hold Landlord harmless from and against, any and all cost, expense (including reasonable attorneys’ fees and disbursements) and liability in connection with any compensation, commissions or charges claimed by any broker or agent with respect to any such assignment or subletting.</w:t>
      </w:r>
    </w:p>
    <w:p>
      <w:pPr>
        <w:pStyle w:val="TextBody"/>
        <w:bidi w:val="0"/>
        <w:spacing w:lineRule="auto" w:line="556" w:before="120" w:after="283"/>
        <w:jc w:val="center"/>
        <w:rPr/>
      </w:pPr>
      <w:r>
        <w:rPr>
          <w:rFonts w:ascii="Times New Roman;serif" w:hAnsi="Times New Roman;serif"/>
          <w:b w:val="false"/>
          <w:color w:val="000000"/>
          <w:sz w:val="24"/>
        </w:rPr>
        <w:t>ARTICLE 16</w:t>
        <w:br/>
      </w:r>
      <w:r>
        <w:rPr>
          <w:rFonts w:ascii="Times New Roman;serif" w:hAnsi="Times New Roman;serif"/>
          <w:b w:val="false"/>
          <w:color w:val="000000"/>
          <w:sz w:val="24"/>
          <w:u w:val="single"/>
        </w:rPr>
        <w:t>ACCESS TO PREMISES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16.1.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Tenant shall permit Landlord, Landlord’s agents and public utilities servicing the Building to erect, use and maintain concealed ducts, pipes and conduits in and through the Premises. Landlord or Landlord’s agents shall have the right to enter the Premises at all reasonable times upon (except in case of emergency) reasonable prior notice, which notice may be oral, to examine the same, to show the same to prospective purchasers, Mortgagees or lessees of the Building or space therein, or to make such repairs, alterations, improvements or additions (i) as Landlord may deem necessary or desirable to the Premises or to any other portion of the Building, or (ii) which Landlord may elect to perform at least ten (10) days after notice (except in an emergency when no notice shall be required) following Tenant’s failure to make repairs or perform any work which Tenant is obligated to make or perform under this Lease, or (iii) for the purpose of complying with Requirements, and Landlord shall be allowed to take all material into and upon the Premises (but may not store the same in the Premises for more than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forty-eight (48) hours at times when Landlord is not performing work within the Premises) that may be required therefor without the same constituting an eviction or constructive eviction of Tenant in whole or in part and the Fixed Rent (and any other item of Rental) shall in no respect abate or be reduced by reason of said repairs, alterations, improvements or additions, wherever located, or while the same are being made, by reason of loss or interruption of business of Tenant, or otherwise. Landlord shall promptly repair any damage caused to the Premises by such work, alterations, improvements or additions. In performing Landlord’s obligations hereunder, Landlord shall not unreasonably interfere with Tenant’s use and enjoyment of the Premises and shall, if requested by Tenant and at Tenant’s cost and expense, perform work outside of ordinary operating hours of Tenant.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Any work performed or installations made pursuant to this </w:t>
      </w:r>
      <w:r>
        <w:rPr>
          <w:rFonts w:ascii="Times New Roman;serif" w:hAnsi="Times New Roman;serif"/>
          <w:b w:val="false"/>
          <w:color w:val="000000"/>
          <w:sz w:val="24"/>
          <w:u w:val="single"/>
        </w:rPr>
        <w:t>Article 16</w:t>
      </w:r>
      <w:r>
        <w:rPr>
          <w:color w:val="000000"/>
        </w:rPr>
        <w:t xml:space="preserve"> </w:t>
      </w:r>
      <w:r>
        <w:rPr>
          <w:rFonts w:ascii="Times New Roman;serif" w:hAnsi="Times New Roman;serif"/>
          <w:b w:val="false"/>
          <w:color w:val="000000"/>
          <w:sz w:val="24"/>
        </w:rPr>
        <w:t xml:space="preserve">shall be made with reasonable diligence and otherwise pursuant to </w:t>
      </w:r>
      <w:r>
        <w:rPr>
          <w:rFonts w:ascii="Times New Roman;serif" w:hAnsi="Times New Roman;serif"/>
          <w:b w:val="false"/>
          <w:color w:val="000000"/>
          <w:sz w:val="24"/>
          <w:u w:val="single"/>
        </w:rPr>
        <w:t>Section 7.3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Any pipes, ducts, or conduits installed in or through the Premises pursuant to this </w:t>
      </w:r>
      <w:r>
        <w:rPr>
          <w:rFonts w:ascii="Times New Roman;serif" w:hAnsi="Times New Roman;serif"/>
          <w:b w:val="false"/>
          <w:color w:val="000000"/>
          <w:sz w:val="24"/>
          <w:u w:val="single"/>
        </w:rPr>
        <w:t>Article 16</w:t>
      </w:r>
      <w:r>
        <w:rPr>
          <w:color w:val="000000"/>
        </w:rPr>
        <w:t xml:space="preserve"> </w:t>
      </w:r>
      <w:r>
        <w:rPr>
          <w:rFonts w:ascii="Times New Roman;serif" w:hAnsi="Times New Roman;serif"/>
          <w:b w:val="false"/>
          <w:color w:val="000000"/>
          <w:sz w:val="24"/>
        </w:rPr>
        <w:t>shall, if reasonably practicable, either be concealed behind, beneath or within partitioning, columns, ceilings or floors located or to be located in the Premises, or completely furred at points immediately adjacent to partitioning, columns or ceilings located or to be located in the Premises.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16.2.     If Tenant is not present when for any reason entry into the Premises may be necessary or permissible, Landlord or Landlord’s agents may enter the same without rendering Landlord or such agents liable therefor (if during such entry Landlord or Landlord’s agents accord reasonable care to Tenant’s Property), and without in any manner affecting this Lease.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16.3.     Landlord also shall have the right at any time, without the same constituting an actual or constructive eviction and without incurring any liability to Tenant therefor, to change the arrangement or location of entrances or passageways, doors and doorways, and corridors, elevators, stairs, toilets or other public parts of the Building, provided any such change does not unreasonably interfere with, or deprive Tenant of access to, the Building or the Premises; to put so-called “solar film” or other energy-saving installations on the inside and outside of the windows; and to change the name, number or designation by which the Building is commonly known. All parts (except surfaces facing the interior of the Premises) of all walls, windows and doors bounding the Premises (including exterior Building walls, exterior core corridor walls, exterior doors and entrances), all balconies, terraces and roofs adjacent to the Premises, all space in or adjacent to the Premises used for shafts, stacks, stairways, chutes, pipes, conduits, ducts, fan rooms, heating, air cooling, plumbing and other mechanical facilities, service closets and other Building facilities are not part of the Premises, and Landlord shall have the use thereof, as well as access thereto through the Premises for the purposes of inspection, operation, maintenance, alteration and repair.</w:t>
      </w:r>
    </w:p>
    <w:p>
      <w:pPr>
        <w:pStyle w:val="TextBody"/>
        <w:bidi w:val="0"/>
        <w:spacing w:lineRule="auto" w:line="556" w:before="120" w:after="283"/>
        <w:jc w:val="center"/>
        <w:rPr/>
      </w:pPr>
      <w:r>
        <w:rPr>
          <w:rFonts w:ascii="Times New Roman;serif" w:hAnsi="Times New Roman;serif"/>
          <w:b w:val="false"/>
          <w:color w:val="000000"/>
          <w:sz w:val="24"/>
        </w:rPr>
        <w:t>ARTICLE 17</w:t>
        <w:br/>
      </w:r>
      <w:r>
        <w:rPr>
          <w:rFonts w:ascii="Times New Roman;serif" w:hAnsi="Times New Roman;serif"/>
          <w:b w:val="false"/>
          <w:color w:val="000000"/>
          <w:sz w:val="24"/>
          <w:u w:val="single"/>
        </w:rPr>
        <w:t>CERTIFICATE OF OCCUPANCY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17.1.     Tenant shall not at any time use or occupy the Premises in violation of the certificate of occupancy at such time issued for the Premises or for the Building. Without </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limiting the generality of the foregoing, Tenant shall be entitled to use the Premises to accommodate a proportionate share of the total number of persons permitted by the certificate of occupancy to occupy the floor of the Building on which the Premises is located, based upon the ratio that the rentable square footage of the Premises bears to the total rentable square footage on such floor of the Building. In the event that any Government Authority hereafter contends or declares by notice, violation, order or in any other manner whatsoever that the Premises are used for a purpose that is a violation of such certificate of occupancy, Tenant shall, upon written notice from Landlord or any Government Authority, immediately discontinue such use of the Premises. </w:t>
      </w:r>
    </w:p>
    <w:p>
      <w:pPr>
        <w:pStyle w:val="TextBody"/>
        <w:bidi w:val="0"/>
        <w:spacing w:lineRule="auto" w:line="556" w:before="240" w:after="283"/>
        <w:jc w:val="center"/>
        <w:rPr/>
      </w:pPr>
      <w:r>
        <w:rPr>
          <w:rFonts w:ascii="Times New Roman;serif" w:hAnsi="Times New Roman;serif"/>
          <w:b w:val="false"/>
          <w:color w:val="000000"/>
          <w:sz w:val="24"/>
        </w:rPr>
        <w:t>ARTICLE 18</w:t>
        <w:br/>
      </w:r>
      <w:r>
        <w:rPr>
          <w:rFonts w:ascii="Times New Roman;serif" w:hAnsi="Times New Roman;serif"/>
          <w:b w:val="false"/>
          <w:color w:val="000000"/>
          <w:sz w:val="24"/>
          <w:u w:val="single"/>
        </w:rPr>
        <w:t>DEFAULT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18.1.     Each of the following events shall be an “</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under this 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if Tenant shall on any occasion default in the payment when due of any installment of Fixed Rent or in the payment when due of any other item of Rental and such default shall continue for three (3) days after Tenant’s receipt of written notice from Landlord;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intentionally omitted;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if Tenant shall default in the observance or performance of any term, covenant or condition on Tenant’s part to be observed or performed under any other lease with Landlord or Landlord’s predecessor-in-interest of any other space in the Building, and such default shall continue beyond any grace period set forth in such other lease for the remedying of such default;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if the Premises shall be abandoned by Tenant;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if Tenant’s interest in this Lease shall devolve upon or pass to any person, whether by operation of law or otherwise, except as expressly permitted under </w:t>
      </w:r>
      <w:r>
        <w:rPr>
          <w:rFonts w:ascii="Times New Roman;serif" w:hAnsi="Times New Roman;serif"/>
          <w:b w:val="false"/>
          <w:color w:val="000000"/>
          <w:sz w:val="24"/>
          <w:u w:val="single"/>
        </w:rPr>
        <w:t>Article 15</w:t>
      </w:r>
      <w:r>
        <w:rPr>
          <w:color w:val="000000"/>
        </w:rPr>
        <w:t xml:space="preserve"> </w:t>
      </w:r>
      <w:r>
        <w:rPr>
          <w:rFonts w:ascii="Times New Roman;serif" w:hAnsi="Times New Roman;serif"/>
          <w:b w:val="false"/>
          <w:color w:val="000000"/>
          <w:sz w:val="24"/>
        </w:rPr>
        <w:t>hereof;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(1)     if Tenant shall not, or shall be unable to, or shall admit in writing Tenant’s inability to, as to any obligation, pay Tenant’s debts as they become due;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if Tenant shall commence or institute any case, proceeding or other action (a) seeking relief on Tenant’s behalf as debtor, or to adjudicate it a bankrupt or insolvent, or seeking reorganization, arrangement, adjustment, winding-up, liquidation, dissolution, composition or other relief with respect to Tenant or Tenant’s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(3)     if Tenant shall make a general assignment for the benefit of creditors; or</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(4)     if any case, proceeding or other action shall be commenced or instituted against Tenant (a) seeking to have an order for relief entered against Tenant as debtor or to adjudicate Tenant</w:t>
      </w:r>
      <w:r>
        <w:rPr>
          <w:color w:val="000000"/>
        </w:rPr>
        <w:t xml:space="preserve"> </w:t>
      </w:r>
      <w:r>
        <w:rPr>
          <w:rFonts w:ascii="Times New Roman;serif" w:hAnsi="Times New Roman;serif"/>
          <w:b w:val="false"/>
          <w:color w:val="000000"/>
          <w:sz w:val="24"/>
        </w:rPr>
        <w:t>a bankrupt or insolvent, or seeking reorganization, arrangement, adjustment, winding-up, liquidation, dissolution, composition or other relief with respect to Tenant or Tenant’s debts, under any existing or future law of any jurisdiction, domestic or foreign, relating to bankruptcy, insolvency, reorganization or relief of debtors, or (b) seeking appointment of a receiver, trustee, custodian or other similar official for Tenant for all or any substantial part of Tenant’s property, which either (i) results in any such entry of an order for relief, adjudication of bankruptcy or insolvency or such an appointment or the issuance or entry of any other order having a similar effect or (ii) remains un-dismissed for a period of sixty (60) days;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(5)     if a trustee, receiver or other custodian shall be appointed for any substantial part of the assets of Tenant which appointment is not vacated or effectively stayed within sixty (60) days;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(6)     if Tenant rejects this Lease in connection with any action or proceeding under the Bankruptcy Code;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if Tenant shall default in the observance or performance of any other term, covenant or condition of this Lease on Tenant’s part to be observed or performed and Tenant shall fail to remedy such default within fifteen (15) days after notice by Landlord to Tenant of such default, or if such default is of such a nature that it cannot with due diligence be completely remedied within said period of fifteen (15) days and the continuation of which for the period required for cure will not subject Landlord to the risk of criminal liability or termination of any Superior Lease or foreclosure of any Mortgage, if Tenant shall not, (i) within said fifteen (15) day period advise Landlord of Tenant’s intention duly to institute all steps necessary to remedy such situation, (ii) duly institute within said fifteen (15) day period, and thereafter diligently and continuously prosecute to completion all steps necessary to remedy the same and (iii) complete such remedy within such time after the date of the giving of said notice by Landlord as shall reasonably be necessary.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18.2.     If an Event of Default shall occur, Landlord may, at any time thereafter, at Landlord’s option, give written notice to Tenant stating that this Lease and the Term shall expire and terminate on the date specified in such notice, which date shall not be less than three (3) days after the giving of such notice (except that upon the occurrence of an Event of Default of a nature described in </w:t>
      </w:r>
      <w:r>
        <w:rPr>
          <w:rFonts w:ascii="Times New Roman;serif" w:hAnsi="Times New Roman;serif"/>
          <w:b w:val="false"/>
          <w:color w:val="000000"/>
          <w:sz w:val="24"/>
          <w:u w:val="single"/>
        </w:rPr>
        <w:t>Section 18.1(F)(2), (3)</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(4)</w:t>
      </w:r>
      <w:r>
        <w:rPr>
          <w:rFonts w:ascii="Times New Roman;serif" w:hAnsi="Times New Roman;serif"/>
          <w:b w:val="false"/>
          <w:color w:val="000000"/>
          <w:sz w:val="24"/>
        </w:rPr>
        <w:t xml:space="preserve">, no notice need be given and this Lease and the Term shall, to the extent permitted by applicable law, expire automatically upon the occurrence of any such event), whereupon this Lease and the Term and all rights of Tenant under this Lease shall, to the extent permitted by applicable law, automatically expire and terminate as if the date specified in the notice given (or upon the occurrence of the event if no notice is to be given) pursuant to this </w:t>
      </w:r>
      <w:r>
        <w:rPr>
          <w:rFonts w:ascii="Times New Roman;serif" w:hAnsi="Times New Roman;serif"/>
          <w:b w:val="false"/>
          <w:color w:val="000000"/>
          <w:sz w:val="24"/>
          <w:u w:val="single"/>
        </w:rPr>
        <w:t>Section 18.2</w:t>
      </w:r>
      <w:r>
        <w:rPr>
          <w:color w:val="000000"/>
        </w:rPr>
        <w:t xml:space="preserve"> </w:t>
      </w:r>
      <w:r>
        <w:rPr>
          <w:rFonts w:ascii="Times New Roman;serif" w:hAnsi="Times New Roman;serif"/>
          <w:b w:val="false"/>
          <w:color w:val="000000"/>
          <w:sz w:val="24"/>
        </w:rPr>
        <w:t xml:space="preserve">were the Fixed Expiration Date and Tenant immediately shall quit and surrender the Premises, but Tenant shall remain liable for damages as provided herein or pursuant to law. Anything contained herein to the contrary notwithstanding, if such termination shall be stayed by order of any court having jurisdiction over any proceeding described in </w:t>
      </w:r>
      <w:r>
        <w:rPr>
          <w:rFonts w:ascii="Times New Roman;serif" w:hAnsi="Times New Roman;serif"/>
          <w:b w:val="false"/>
          <w:color w:val="000000"/>
          <w:sz w:val="24"/>
          <w:u w:val="single"/>
        </w:rPr>
        <w:t>Section 18.1(F)</w:t>
      </w:r>
      <w:r>
        <w:rPr>
          <w:rFonts w:ascii="Times New Roman;serif" w:hAnsi="Times New Roman;serif"/>
          <w:b w:val="false"/>
          <w:color w:val="000000"/>
          <w:sz w:val="24"/>
        </w:rPr>
        <w:t xml:space="preserve">, or by federal or state statute, then, following the expiration of any such stay, or if the trustee appointed in any such proceeding, Tenant or Tenant as debtor-in-possession fails to </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assume Tenant’s obligations under this Lease within the period prescribed therefor by law or within one hundred twenty (120) days after entry of the order for relief or as may be allowed by the court, or if said trustee, Tenant or Tenant as debtor-in-possession shall fail to provide adequate protection of Landlord’s right, title and interest in and to the Premises or adequate assurance of the complete and continuous future performance of Tenant’s obligations under this Lease, Landlord, to the extent permitted by law or by leave of the court having jurisdiction over such proceeding, shall have the right, at its election, to terminate this Lease on three (3) days’ notice to Tenant, Tenant as debtor-in-possession or said trustee and upon the expiration of said three (3) day period, this Lease shall cease and expire as aforesaid and Tenant, Tenant as debtor-in-possession or said trustee shall immediately quit and surrender the Premises as aforesaid.</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18.3.     If, at any time, (i) Tenant shall consist of two (2) or more persons, or (ii) Tenant’s obligations under this Lease shall have been guaranteed by any person other than Tenant, or (iii) Tenant’s interest in this Lease has been assigned, the word “</w:t>
      </w:r>
      <w:r>
        <w:rPr>
          <w:rFonts w:ascii="Times New Roman;serif" w:hAnsi="Times New Roman;serif"/>
          <w:b w:val="false"/>
          <w:color w:val="000000"/>
          <w:sz w:val="24"/>
          <w:u w:val="single"/>
        </w:rPr>
        <w:t>Tenant</w:t>
      </w:r>
      <w:r>
        <w:rPr>
          <w:color w:val="000000"/>
        </w:rPr>
        <w:t xml:space="preserve">” </w:t>
      </w:r>
      <w:r>
        <w:rPr>
          <w:rFonts w:ascii="Times New Roman;serif" w:hAnsi="Times New Roman;serif"/>
          <w:b w:val="false"/>
          <w:color w:val="000000"/>
          <w:sz w:val="24"/>
        </w:rPr>
        <w:t xml:space="preserve">as used in </w:t>
      </w:r>
      <w:r>
        <w:rPr>
          <w:rFonts w:ascii="Times New Roman;serif" w:hAnsi="Times New Roman;serif"/>
          <w:b w:val="false"/>
          <w:color w:val="000000"/>
          <w:sz w:val="24"/>
          <w:u w:val="single"/>
        </w:rPr>
        <w:t>Section 18.1(F)</w:t>
      </w:r>
      <w:r>
        <w:rPr>
          <w:rFonts w:ascii="Times New Roman;serif" w:hAnsi="Times New Roman;serif"/>
          <w:b w:val="false"/>
          <w:color w:val="000000"/>
          <w:sz w:val="24"/>
        </w:rPr>
        <w:t xml:space="preserve">, shall be deemed to mean any one or more of the persons primarily or secondarily liable for Tenant’s obligations under this Lease. Any monies received by Landlord from or on behalf of Tenant during the pendency of any proceeding of the types referred to in </w:t>
      </w:r>
      <w:r>
        <w:rPr>
          <w:rFonts w:ascii="Times New Roman;serif" w:hAnsi="Times New Roman;serif"/>
          <w:b w:val="false"/>
          <w:color w:val="000000"/>
          <w:sz w:val="24"/>
          <w:u w:val="single"/>
        </w:rPr>
        <w:t>Section 18.1(F)</w:t>
      </w:r>
      <w:r>
        <w:rPr>
          <w:color w:val="000000"/>
        </w:rPr>
        <w:t xml:space="preserve"> </w:t>
      </w:r>
      <w:r>
        <w:rPr>
          <w:rFonts w:ascii="Times New Roman;serif" w:hAnsi="Times New Roman;serif"/>
          <w:b w:val="false"/>
          <w:color w:val="000000"/>
          <w:sz w:val="24"/>
        </w:rPr>
        <w:t xml:space="preserve">shall be deemed paid as compensation for the use and occupancy of the Premises and the acceptance of any such compensation by Landlord shall not be deemed an acceptance of Rental or a waiver on the part of Landlord of any rights under </w:t>
      </w:r>
      <w:r>
        <w:rPr>
          <w:rFonts w:ascii="Times New Roman;serif" w:hAnsi="Times New Roman;serif"/>
          <w:b w:val="false"/>
          <w:color w:val="000000"/>
          <w:sz w:val="24"/>
          <w:u w:val="single"/>
        </w:rPr>
        <w:t>Section 18.2</w:t>
      </w:r>
      <w:r>
        <w:rPr>
          <w:rFonts w:ascii="Times New Roman;serif" w:hAnsi="Times New Roman;serif"/>
          <w:b w:val="false"/>
          <w:color w:val="000000"/>
          <w:sz w:val="24"/>
        </w:rPr>
        <w:t>.</w:t>
      </w:r>
    </w:p>
    <w:p>
      <w:pPr>
        <w:pStyle w:val="TextBody"/>
        <w:bidi w:val="0"/>
        <w:spacing w:lineRule="auto" w:line="556" w:before="240" w:after="283"/>
        <w:jc w:val="center"/>
        <w:rPr/>
      </w:pPr>
      <w:r>
        <w:rPr>
          <w:rFonts w:ascii="Times New Roman;serif" w:hAnsi="Times New Roman;serif"/>
          <w:b w:val="false"/>
          <w:color w:val="000000"/>
          <w:sz w:val="24"/>
        </w:rPr>
        <w:t>ARTICLE 19</w:t>
        <w:br/>
      </w:r>
      <w:r>
        <w:rPr>
          <w:rFonts w:ascii="Times New Roman;serif" w:hAnsi="Times New Roman;serif"/>
          <w:b w:val="false"/>
          <w:color w:val="000000"/>
          <w:sz w:val="24"/>
          <w:u w:val="single"/>
        </w:rPr>
        <w:t>REMEDIES AND DAMAGES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19.1.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If any Event of Default shall occur, or this Lease and the Term shall expire and come to an end as provided in </w:t>
      </w:r>
      <w:r>
        <w:rPr>
          <w:rFonts w:ascii="Times New Roman;serif" w:hAnsi="Times New Roman;serif"/>
          <w:b w:val="false"/>
          <w:color w:val="000000"/>
          <w:sz w:val="24"/>
          <w:u w:val="single"/>
        </w:rPr>
        <w:t>Article 18</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Tenant shall quit and peacefully surrender the Premises to Landlord, and Landlord and its agents may immediately, or at any time after such Event of Default or after the date upon which this Lease and the Term shall expire and come to an end, re-enter the Premises or any part thereof, without notice, either by summary proceedings, or by any other applicable action or proceeding or otherwise (without being liable to indictment, prosecution or damages therefor), but excluding by force, and may repossess the Premises and dispossess Tenant and any other persons from the Premises by summary proceedings or otherwise (excluding by force) and remove any and all of their property and effects from the Premises (and Tenant shall remain liable for damages as provided herein or pursuant to law);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(2)     Landlord, at Landlord’s option, may re-let the whole or any part or parts of the Premises from time to time, either in the name of Landlord or otherwise, to such tenant or tenants, for such term or terms ending before, on or after the Fixed Expiration Date, at such rent or rentals and upon such other conditions, which may include concessions and free rent periods, as Landlord, in Landlord’s sole discretion, may determine; provided, however, that Landlord shall have no obligation to re-let the Premises or any part thereof and shall in no event be liable for refusal or failure to re-let the Premises or any part thereof, or, in the event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re-letting, for refusal or failure to collect any rent due upon any such re-letting, and no such refusal or failure shall operate to relieve Tenant of any liability under this Lease or otherwise affect any such liability, and Landlord, at Landlord’s option, may make such Alterations, in and to the Premises as Landlord, in Landlord’s sole discretion, shall consider advisable or necessary in connection with any such re-letting or proposed re-letting, without relieving Tenant of any liability under this Lease or otherwise affecting any such liability.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Tenant hereby waives the service of any notice of intention to re-enter or to institute legal proceedings to that end that may otherwise be required to be given under any present or future law. Tenant, on its own behalf and on behalf of all persons claiming through or under Tenant, including all creditors, does further hereby waive any and all rights that Tenant and all such persons might otherwise have under any present or future law to redeem the Premises, or to re-enter or repossess the Premises, or to restore the operation of this Lease, after (a) Tenant shall have been dispossessed by a judgment or by warrant of any court or judge, or (b) any re-entry by Landlord, or (c) any expiration or termination of this Lease and the Term, whether such dispossess, re-entry, expiration or termination is by operation of law or pursuant to the provisions of this Lease. The words “re-entry”, “re-enter” and “re-entered” as used in this Lease shall not be deemed to be restricted to their technical legal meanings. In the event of a breach or threatened breach by Tenant, or any persons claiming through or under Tenant, of any term, covenant or condition of this Lease, Landlord shall have the right to enjoin such breach and the right to invoke any other remedy allowed by law or in equity as if re-entry, summary proceedings and other special remedies were not provided in this Lease for such breach. The right to invoke the remedies hereinbefore set forth are cumulative and shall not preclude Landlord from invoking any other remedy allowed at law or in equity.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19.2.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If this Lease and the Term shall expire and come to an end as provided in </w:t>
      </w:r>
      <w:r>
        <w:rPr>
          <w:rFonts w:ascii="Times New Roman;serif" w:hAnsi="Times New Roman;serif"/>
          <w:b w:val="false"/>
          <w:color w:val="000000"/>
          <w:sz w:val="24"/>
          <w:u w:val="single"/>
        </w:rPr>
        <w:t>Article 18</w:t>
      </w:r>
      <w:r>
        <w:rPr>
          <w:rFonts w:ascii="Times New Roman;serif" w:hAnsi="Times New Roman;serif"/>
          <w:b w:val="false"/>
          <w:color w:val="000000"/>
          <w:sz w:val="24"/>
        </w:rPr>
        <w:t xml:space="preserve">, or by or under any summary proceeding or any other action or proceeding, or if Landlord shall re-enter the Premises as provided in </w:t>
      </w:r>
      <w:r>
        <w:rPr>
          <w:rFonts w:ascii="Times New Roman;serif" w:hAnsi="Times New Roman;serif"/>
          <w:b w:val="false"/>
          <w:color w:val="000000"/>
          <w:sz w:val="24"/>
          <w:u w:val="single"/>
        </w:rPr>
        <w:t>Section 19.1</w:t>
      </w:r>
      <w:r>
        <w:rPr>
          <w:rFonts w:ascii="Times New Roman;serif" w:hAnsi="Times New Roman;serif"/>
          <w:b w:val="false"/>
          <w:color w:val="000000"/>
          <w:sz w:val="24"/>
        </w:rPr>
        <w:t>, or by or under any summary proceeding or any other action or proceeding, then, in any of said events: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Tenant shall pay to Landlord all Fixed Rent, Escalation Rent, other Additional Rent and other items of Rental payable under this Lease by Tenant to Landlord to the date upon which this Lease and the Term shall have expired and come to an end or to the date of re-entry upon the Premises by Landlord, as the case may be;</w:t>
      </w:r>
    </w:p>
    <w:p>
      <w:pPr>
        <w:pStyle w:val="TextBody"/>
        <w:bidi w:val="0"/>
        <w:spacing w:lineRule="auto" w:line="288" w:before="0" w:after="240"/>
        <w:ind w:left="0" w:right="0" w:firstLine="2160"/>
        <w:jc w:val="both"/>
        <w:rPr/>
      </w:pPr>
      <w:r>
        <w:rPr>
          <w:rFonts w:ascii="Times New Roman;serif" w:hAnsi="Times New Roman;serif"/>
          <w:b w:val="false"/>
          <w:color w:val="000000"/>
          <w:sz w:val="24"/>
        </w:rPr>
        <w:t>(2)     Tenant also shall be liable for and shall pay to Landlord, as damages, any deficiency (“</w:t>
      </w:r>
      <w:r>
        <w:rPr>
          <w:rFonts w:ascii="Times New Roman;serif" w:hAnsi="Times New Roman;serif"/>
          <w:b w:val="false"/>
          <w:color w:val="000000"/>
          <w:sz w:val="24"/>
          <w:u w:val="single"/>
        </w:rPr>
        <w:t>Deficiency</w:t>
      </w:r>
      <w:r>
        <w:rPr>
          <w:color w:val="000000"/>
        </w:rPr>
        <w:t>”</w:t>
      </w:r>
      <w:r>
        <w:rPr>
          <w:rFonts w:ascii="Times New Roman;serif" w:hAnsi="Times New Roman;serif"/>
          <w:b w:val="false"/>
          <w:color w:val="000000"/>
          <w:sz w:val="24"/>
        </w:rPr>
        <w:t xml:space="preserve">) between the Rental for the period which otherwise would have constituted the unexpired portion of the Term and the net amount, if any, of rents collected under any re-letting effected pursuant to the provisions of </w:t>
      </w:r>
      <w:r>
        <w:rPr>
          <w:rFonts w:ascii="Times New Roman;serif" w:hAnsi="Times New Roman;serif"/>
          <w:b w:val="false"/>
          <w:color w:val="000000"/>
          <w:sz w:val="24"/>
          <w:u w:val="single"/>
        </w:rPr>
        <w:t>Section 19.1(A)(2)</w:t>
      </w:r>
      <w:r>
        <w:rPr>
          <w:color w:val="000000"/>
        </w:rPr>
        <w:t xml:space="preserve"> </w:t>
      </w:r>
      <w:r>
        <w:rPr>
          <w:rFonts w:ascii="Times New Roman;serif" w:hAnsi="Times New Roman;serif"/>
          <w:b w:val="false"/>
          <w:color w:val="000000"/>
          <w:sz w:val="24"/>
        </w:rPr>
        <w:t xml:space="preserve">for any part of such period (after first deducting from the rents collected under any such re-letting all of Landlord’s expenses in connection with the termination of this Lease, Landlord’s re-entry upon the Premises and such re-letting including, but not limited to, all repossession costs, brokerage commissions, attorneys’ fees and disbursements, alteration costs and other expenses of preparing the Premises for such re-letting); any such Deficiency shall be paid in monthly installments by Tenant on the days specified in this Lease for payment of installments of Fixed Rent; Landlord </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entitled to recover from Tenant each monthly Deficiency as the same shall arise, and no suit to collect the amount of the Deficiency for any month shall prejudice Landlord’s right to collect the Deficiency for any subsequent month by a similar proceeding;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(3)     whether or not Landlord shall have collected any monthly Deficiency as aforesaid, Landlord shall be entitled to recover from Tenant, and Tenant shall pay to Landlord, on demand, in lieu of any further Deficiency as and for liquidated and agreed final damages, a sum equal to the amount by which the unpaid Rental for the period which otherwise would have constituted the unexpired portion of the Term exceeds the then fair and reasonable rental value of the Premises for the same period, both discounted to present worth at four (4%) percent per annum less than the Base Rate; if, before presentation of proof of such liquidated damages to any court, commission or tribunal, the Premises, or any part thereof, are re-let by Landlord for the period which otherwise would have constituted the unexpired portion of the Term, or any part thereof, the amount of rent reserved upon such re-letting shall be deemed, </w:t>
      </w:r>
      <w:r>
        <w:rPr>
          <w:rFonts w:ascii="Times New Roman;serif" w:hAnsi="Times New Roman;serif"/>
          <w:b w:val="false"/>
          <w:color w:val="000000"/>
          <w:sz w:val="24"/>
          <w:u w:val="single"/>
        </w:rPr>
        <w:t>prima</w:t>
      </w:r>
      <w:r>
        <w:rPr>
          <w:color w:val="000000"/>
        </w:rPr>
        <w:t xml:space="preserve"> </w:t>
      </w:r>
      <w:r>
        <w:rPr>
          <w:rFonts w:ascii="Times New Roman;serif" w:hAnsi="Times New Roman;serif"/>
          <w:b w:val="false"/>
          <w:color w:val="000000"/>
          <w:sz w:val="24"/>
          <w:u w:val="single"/>
        </w:rPr>
        <w:t>facie</w:t>
      </w:r>
      <w:r>
        <w:rPr>
          <w:rFonts w:ascii="Times New Roman;serif" w:hAnsi="Times New Roman;serif"/>
          <w:b w:val="false"/>
          <w:color w:val="000000"/>
          <w:sz w:val="24"/>
        </w:rPr>
        <w:t>, to be the fair and reasonable rental value for the part or the whole of the Premises so re-let during the term of the re-letting.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If the Premises, or any part thereof, shall be re-let together with other space in the Building, the rents collected or reserved under any such re-letting and the expenses of any such re-letting shall be equitably apportioned for the purposes of this </w:t>
      </w:r>
      <w:r>
        <w:rPr>
          <w:rFonts w:ascii="Times New Roman;serif" w:hAnsi="Times New Roman;serif"/>
          <w:b w:val="false"/>
          <w:color w:val="000000"/>
          <w:sz w:val="24"/>
          <w:u w:val="single"/>
        </w:rPr>
        <w:t>Section 19.2</w:t>
      </w:r>
      <w:r>
        <w:rPr>
          <w:rFonts w:ascii="Times New Roman;serif" w:hAnsi="Times New Roman;serif"/>
          <w:b w:val="false"/>
          <w:color w:val="000000"/>
          <w:sz w:val="24"/>
        </w:rPr>
        <w:t xml:space="preserve">. Tenant shall in no event be entitled to any rents collected or payable under any re-letting, whether or not such rents exceed the Fixed Rent reserved in this Lease. Solely for the purposes of this </w:t>
      </w:r>
      <w:r>
        <w:rPr>
          <w:rFonts w:ascii="Times New Roman;serif" w:hAnsi="Times New Roman;serif"/>
          <w:b w:val="false"/>
          <w:color w:val="000000"/>
          <w:sz w:val="24"/>
          <w:u w:val="single"/>
        </w:rPr>
        <w:t>Article 19</w:t>
      </w:r>
      <w:r>
        <w:rPr>
          <w:rFonts w:ascii="Times New Roman;serif" w:hAnsi="Times New Roman;serif"/>
          <w:b w:val="false"/>
          <w:color w:val="000000"/>
          <w:sz w:val="24"/>
        </w:rPr>
        <w:t>, the term “</w:t>
      </w:r>
      <w:r>
        <w:rPr>
          <w:rFonts w:ascii="Times New Roman;serif" w:hAnsi="Times New Roman;serif"/>
          <w:b w:val="false"/>
          <w:color w:val="000000"/>
          <w:sz w:val="24"/>
          <w:u w:val="single"/>
        </w:rPr>
        <w:t>Escalation Rent</w:t>
      </w:r>
      <w:r>
        <w:rPr>
          <w:color w:val="000000"/>
        </w:rPr>
        <w:t xml:space="preserve">” </w:t>
      </w:r>
      <w:r>
        <w:rPr>
          <w:rFonts w:ascii="Times New Roman;serif" w:hAnsi="Times New Roman;serif"/>
          <w:b w:val="false"/>
          <w:color w:val="000000"/>
          <w:sz w:val="24"/>
        </w:rPr>
        <w:t xml:space="preserve">as used in </w:t>
      </w:r>
      <w:r>
        <w:rPr>
          <w:rFonts w:ascii="Times New Roman;serif" w:hAnsi="Times New Roman;serif"/>
          <w:b w:val="false"/>
          <w:color w:val="000000"/>
          <w:sz w:val="24"/>
          <w:u w:val="single"/>
        </w:rPr>
        <w:t>Section 19.2(A)</w:t>
      </w:r>
      <w:r>
        <w:rPr>
          <w:color w:val="000000"/>
        </w:rPr>
        <w:t xml:space="preserve"> </w:t>
      </w:r>
      <w:r>
        <w:rPr>
          <w:rFonts w:ascii="Times New Roman;serif" w:hAnsi="Times New Roman;serif"/>
          <w:b w:val="false"/>
          <w:color w:val="000000"/>
          <w:sz w:val="24"/>
        </w:rPr>
        <w:t xml:space="preserve">shall mean the Escalation Rent in effect immediately prior to the Expiration Date, or the date of re-entry upon the Premises by Landlord, as the case may be, adjusted to reflect any increase pursuant to the provisions of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hereof for the Operating Year immediately preceding such event. Nothing contained in </w:t>
      </w:r>
      <w:r>
        <w:rPr>
          <w:rFonts w:ascii="Times New Roman;serif" w:hAnsi="Times New Roman;serif"/>
          <w:b w:val="false"/>
          <w:color w:val="000000"/>
          <w:sz w:val="24"/>
          <w:u w:val="single"/>
        </w:rPr>
        <w:t>Article 18</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val="false"/>
          <w:color w:val="000000"/>
          <w:sz w:val="24"/>
          <w:u w:val="single"/>
        </w:rPr>
        <w:t>Article 19</w:t>
      </w:r>
      <w:r>
        <w:rPr>
          <w:color w:val="000000"/>
        </w:rPr>
        <w:t xml:space="preserve"> </w:t>
      </w:r>
      <w:r>
        <w:rPr>
          <w:rFonts w:ascii="Times New Roman;serif" w:hAnsi="Times New Roman;serif"/>
          <w:b w:val="false"/>
          <w:color w:val="000000"/>
          <w:sz w:val="24"/>
        </w:rPr>
        <w:t xml:space="preserve">shall be deemed to limit or preclude the recovery by Landlord from Tenant of the maximum amount allowed to be obtained as damages by any statute or rule of law, or of any sums or damages to which Landlord may be entitled in addition to the damages set forth in this </w:t>
      </w:r>
      <w:r>
        <w:rPr>
          <w:rFonts w:ascii="Times New Roman;serif" w:hAnsi="Times New Roman;serif"/>
          <w:b w:val="false"/>
          <w:color w:val="000000"/>
          <w:sz w:val="24"/>
          <w:u w:val="single"/>
        </w:rPr>
        <w:t>Section 19.2</w:t>
      </w:r>
      <w:r>
        <w:rPr>
          <w:rFonts w:ascii="Times New Roman;serif" w:hAnsi="Times New Roman;serif"/>
          <w:b w:val="false"/>
          <w:color w:val="000000"/>
          <w:sz w:val="24"/>
        </w:rPr>
        <w:t>.</w:t>
      </w:r>
    </w:p>
    <w:p>
      <w:pPr>
        <w:pStyle w:val="TextBody"/>
        <w:bidi w:val="0"/>
        <w:spacing w:lineRule="auto" w:line="556" w:before="240" w:after="283"/>
        <w:jc w:val="center"/>
        <w:rPr/>
      </w:pPr>
      <w:r>
        <w:rPr>
          <w:rFonts w:ascii="Times New Roman;serif" w:hAnsi="Times New Roman;serif"/>
          <w:b w:val="false"/>
          <w:color w:val="000000"/>
          <w:sz w:val="24"/>
        </w:rPr>
        <w:t>ARTICLE 20</w:t>
        <w:br/>
      </w:r>
      <w:r>
        <w:rPr>
          <w:rFonts w:ascii="Times New Roman;serif" w:hAnsi="Times New Roman;serif"/>
          <w:b w:val="false"/>
          <w:color w:val="000000"/>
          <w:sz w:val="24"/>
          <w:u w:val="single"/>
        </w:rPr>
        <w:t>FEES AND EXPENSES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20.1.     If (i) Tenant shall default under this Lease, or (ii) Tenant does or permits any act or thing upon the Premises that would cause Landlord to be in default under any Superior Lease or Mortgage and Tenant does not cure such act or thing within ten (10) days (or such shorter period as Landlord may be permitted pursuant to any Superior Lease or Mortgage) after notice thereof, or (iii) Tenant fails to comply with its obligations under this Lease and the preservation of property or the safety of any tenant, occupant or other person is threatened, Landlord may (1) perform the same for the account of Tenant, or (2) make any expenditure or incur any obligation for the payment of money in connection with any obligation owed to Landlord, including, but not limited to, reasonable attorneys’ fees and disbursements in instituting, prosecuting or defending any action or proceeding, and in either case the cost thereof, with interest thereon at the Applicable Rate, shall be deemed to be Additional Rent hereunder </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shall be paid by Tenant to Landlord within ten (10) days after rendition of any bill or statement to Tenant therefor.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20.2.     If Tenant shall fail to pay any installment of Fixed Rent, Additional Rent or any other item of Rental for a period longer than five (5) days after the same shall have become due, Tenant shall pay to Landlord, in addition to such installment of Fixed Rent, Additional Rent or other item of Rental, as the case may be, as a late charge and as Additional Rent, a sum equal to three (3%) percent of the amount unpaid. Notwithstanding the foregoing, Landlord shall waive such late charge with respect to the first late payment of Rental in any consecutive twelve (12) calendar month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same shall be paid within five (5) days after notice from Landlord that the same is overdue. If Tenant shall fail to pay any installment of Fixed Rent, Additional Rent or any other item of Rental for a period longer than ten (10) days after the same shall have become due, Tenant shall pay to Landlord, in addition to such installment of Fixed Rent, Additional Rent or other item of Rental, as the case may be, and in addition to the late charge payable by Tenant pursuant to this </w:t>
      </w:r>
      <w:r>
        <w:rPr>
          <w:rFonts w:ascii="Times New Roman;serif" w:hAnsi="Times New Roman;serif"/>
          <w:b w:val="false"/>
          <w:color w:val="000000"/>
          <w:sz w:val="24"/>
          <w:u w:val="single"/>
        </w:rPr>
        <w:t>Section 20.2</w:t>
      </w:r>
      <w:r>
        <w:rPr>
          <w:rFonts w:ascii="Times New Roman;serif" w:hAnsi="Times New Roman;serif"/>
          <w:b w:val="false"/>
          <w:color w:val="000000"/>
          <w:sz w:val="24"/>
        </w:rPr>
        <w:t xml:space="preserve">, as a late charge and as Additional Rent, a sum equal to interest at the Applicable Rate on the amount unpaid; provided, however, that with respect to the first late payment of Rental in any consecutive twelve (12) calendar month period, interest shall not accrue until ten (10) days after Tenant’s receipt of written notice from Landlord that the same is overdue if Tenant pays the unpaid Rental within five (5) days of the Notice from Landlord. All late charges payable by Tenant hereunder shall be computed from the date such payment was due (without regard to any grace period set forth in this </w:t>
      </w:r>
      <w:r>
        <w:rPr>
          <w:rFonts w:ascii="Times New Roman;serif" w:hAnsi="Times New Roman;serif"/>
          <w:b w:val="false"/>
          <w:color w:val="000000"/>
          <w:sz w:val="24"/>
          <w:u w:val="single"/>
        </w:rPr>
        <w:t>Section 20.2</w:t>
      </w:r>
      <w:r>
        <w:rPr>
          <w:rFonts w:ascii="Times New Roman;serif" w:hAnsi="Times New Roman;serif"/>
          <w:b w:val="false"/>
          <w:color w:val="000000"/>
          <w:sz w:val="24"/>
        </w:rPr>
        <w:t>), to and including the date of payment.</w:t>
      </w:r>
    </w:p>
    <w:p>
      <w:pPr>
        <w:pStyle w:val="TextBody"/>
        <w:bidi w:val="0"/>
        <w:spacing w:lineRule="auto" w:line="556" w:before="240" w:after="283"/>
        <w:jc w:val="center"/>
        <w:rPr/>
      </w:pPr>
      <w:r>
        <w:rPr>
          <w:rFonts w:ascii="Times New Roman;serif" w:hAnsi="Times New Roman;serif"/>
          <w:b w:val="false"/>
          <w:color w:val="000000"/>
          <w:sz w:val="24"/>
        </w:rPr>
        <w:t>ARTICLE 21</w:t>
        <w:br/>
      </w:r>
      <w:r>
        <w:rPr>
          <w:rFonts w:ascii="Times New Roman;serif" w:hAnsi="Times New Roman;serif"/>
          <w:b w:val="false"/>
          <w:color w:val="000000"/>
          <w:sz w:val="24"/>
          <w:u w:val="single"/>
        </w:rPr>
        <w:t>NO REPRESENTATIONS BY LANDLORD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21.1.     Landlord and Landlord’s agents have made no representations, warranties or promises with respect to the Building, the Real Property or the Premises except as herein expressly set forth, and no rights, easements or licenses are acquired by Tenant by implication or otherwise except as expressly set forth herein. Tenant shall accept continued possession of the Premises in its “as is” condition on the Commencement Date, and Landlord shall have no obligation to perform any work or make any installations in order to prepare the Premises for Tenant’s occupancy. All references in this Lease to the consent or approval of Landlord shall be deemed to mean the written consent or approval executed by Landlord and no other consent or approval of Landlord shall be effective for any purpose whatsoever.</w:t>
      </w:r>
    </w:p>
    <w:p>
      <w:pPr>
        <w:pStyle w:val="TextBody"/>
        <w:bidi w:val="0"/>
        <w:spacing w:lineRule="auto" w:line="556" w:before="240" w:after="283"/>
        <w:jc w:val="center"/>
        <w:rPr/>
      </w:pPr>
      <w:r>
        <w:rPr>
          <w:rFonts w:ascii="Times New Roman;serif" w:hAnsi="Times New Roman;serif"/>
          <w:b w:val="false"/>
          <w:color w:val="000000"/>
          <w:sz w:val="24"/>
        </w:rPr>
        <w:t>ARTICLE 22</w:t>
        <w:br/>
      </w:r>
      <w:r>
        <w:rPr>
          <w:rFonts w:ascii="Times New Roman;serif" w:hAnsi="Times New Roman;serif"/>
          <w:b w:val="false"/>
          <w:color w:val="000000"/>
          <w:sz w:val="24"/>
          <w:u w:val="single"/>
        </w:rPr>
        <w:t>END OF TERM</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22.1.     Upon the expiration or other termination of this Lease, Tenant shall quit and surrender to Landlord the Premises, vacant, broom clean, in good order and condition, ordinary wear and tear excepted, and Tenant shall remove all of Tenant’s Alterations as may be required pursuant to </w:t>
      </w:r>
      <w:r>
        <w:rPr>
          <w:rFonts w:ascii="Times New Roman;serif" w:hAnsi="Times New Roman;serif"/>
          <w:b w:val="false"/>
          <w:color w:val="000000"/>
          <w:sz w:val="24"/>
          <w:u w:val="single"/>
        </w:rPr>
        <w:t>Article 6</w:t>
      </w:r>
      <w:r>
        <w:rPr>
          <w:rFonts w:ascii="Times New Roman;serif" w:hAnsi="Times New Roman;serif"/>
          <w:b w:val="false"/>
          <w:color w:val="000000"/>
          <w:sz w:val="24"/>
        </w:rPr>
        <w:t xml:space="preserve">. Tenant shall also remove all of Tenant’s Property and all other personal property and personal effects of all persons claiming through or under Tenant, and shall pay the cost of repairing all damage to the Premises and the Real Property occasioned by such </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removal. Any Tenant’s Property or other personal property that remains in the Premises after the termination of this Lease shall be deemed to have been abandoned and either may be retained by Landlord as its property or may be disposed of in such manner as Landlord may see fit. If such Tenant’s Property or other personal property or any part thereof is sold, Landlord may receive and retain the proceeds of such sale as the property of Landlord. Any expense incurred by Landlord in removing or disposing of such Tenant’s Property or other personal property or Alterations required to be removed as provided in </w:t>
      </w:r>
      <w:r>
        <w:rPr>
          <w:rFonts w:ascii="Times New Roman;serif" w:hAnsi="Times New Roman;serif"/>
          <w:b w:val="false"/>
          <w:color w:val="000000"/>
          <w:sz w:val="24"/>
          <w:u w:val="single"/>
        </w:rPr>
        <w:t>Article 6</w:t>
      </w:r>
      <w:r>
        <w:rPr>
          <w:rFonts w:ascii="Times New Roman;serif" w:hAnsi="Times New Roman;serif"/>
          <w:b w:val="false"/>
          <w:color w:val="000000"/>
          <w:sz w:val="24"/>
        </w:rPr>
        <w:t>, as well as the cost of repairing all damage to the Building or the Premises caused by such removal, shall be reimbursed to Landlord by Tenant, as Additional Rent, on demand.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22.2.     If the Expiration Date falls on a day which is not a Business Day, then Tenant’s obligations under </w:t>
      </w:r>
      <w:r>
        <w:rPr>
          <w:rFonts w:ascii="Times New Roman;serif" w:hAnsi="Times New Roman;serif"/>
          <w:b w:val="false"/>
          <w:color w:val="000000"/>
          <w:sz w:val="24"/>
          <w:u w:val="single"/>
        </w:rPr>
        <w:t>Section 22.1</w:t>
      </w:r>
      <w:r>
        <w:rPr>
          <w:color w:val="000000"/>
        </w:rPr>
        <w:t xml:space="preserve"> </w:t>
      </w:r>
      <w:r>
        <w:rPr>
          <w:rFonts w:ascii="Times New Roman;serif" w:hAnsi="Times New Roman;serif"/>
          <w:b w:val="false"/>
          <w:color w:val="000000"/>
          <w:sz w:val="24"/>
        </w:rPr>
        <w:t>shall be performed on or prior to the immediately preceding Business 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22.3.     Tenant expressly waives, for itself and for any person claiming through or under Tenant, any rights that Tenant or any such person may have under the provisions of Section 2201 of the New York Civil Practice Law and Rules and of any similar or successor law of like import then in force in connection with any holdover proceedings that Landlord may institute to enforce the provisions of this Article.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22.4.     If the Premises are not surrendered upon the expiration or other termination of this Lease, Tenant hereby indemnifies Landlord against liability or expense (including any consequential damages) resulting from delay by Tenant in so surrendering the Premises, including any claims made by any succeeding tenant or prospective tenant founded upon such delay and agrees to be liable to Landlord for (i) any payment or rent concession which Landlord may be required to make to any tenant obtained by Landlord for all or any part of the Premises in order to induce such tenant not to terminate its lease by reason of the continued use and occupancy by Tenant and (ii) the loss of the benefit of the bargain if any such tenant shall terminate its lease by reason of the continued use and occupancy by Tenant.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22.5.     Tenant’s obligation under this Article shall survive the expiration or termination of this Lease.</w:t>
      </w:r>
    </w:p>
    <w:p>
      <w:pPr>
        <w:pStyle w:val="TextBody"/>
        <w:bidi w:val="0"/>
        <w:spacing w:lineRule="auto" w:line="556" w:before="240" w:after="283"/>
        <w:jc w:val="center"/>
        <w:rPr/>
      </w:pPr>
      <w:r>
        <w:rPr>
          <w:rFonts w:ascii="Times New Roman;serif" w:hAnsi="Times New Roman;serif"/>
          <w:b w:val="false"/>
          <w:color w:val="000000"/>
          <w:sz w:val="24"/>
        </w:rPr>
        <w:t>ARTICLE 23</w:t>
        <w:br/>
      </w:r>
      <w:r>
        <w:rPr>
          <w:rFonts w:ascii="Times New Roman;serif" w:hAnsi="Times New Roman;serif"/>
          <w:b w:val="false"/>
          <w:color w:val="000000"/>
          <w:sz w:val="24"/>
          <w:u w:val="single"/>
        </w:rPr>
        <w:t>POSSESSION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23.1.     If Landlord shall be unable to deliver possession of any additional space to be included within the Premises on any specific date designated herein for any reason whatsoever, Landlord shall not be subject to any liability therefor and the validity of this Lease shall not be impaired thereby nor the Expiration Date extended, but the inclusion date applicable to such space shall be postponed until Landlord shall have given notice to Tenant that the same is available for occupancy by Tenant. Tenant expressly waives any right to rescind this Lease under Section 223-a of the New York Real Property Law or under any present or future statute of similar import then in force and further expressly waives the right to recover any damages that may result from Landlord’s failure to deliver possession of any additional space on the specific date (if any) designated for the commencement of the Term. Tenant agrees that the provisions of </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Article 23</w:t>
      </w:r>
      <w:r>
        <w:rPr>
          <w:color w:val="000000"/>
        </w:rPr>
        <w:t xml:space="preserve"> </w:t>
      </w:r>
      <w:r>
        <w:rPr>
          <w:rFonts w:ascii="Times New Roman;serif" w:hAnsi="Times New Roman;serif"/>
          <w:b w:val="false"/>
          <w:color w:val="000000"/>
          <w:sz w:val="24"/>
        </w:rPr>
        <w:t>are intended to constitute “an express provision to the contrary” within the meaning of said Section 223-a.</w:t>
      </w:r>
    </w:p>
    <w:p>
      <w:pPr>
        <w:pStyle w:val="TextBody"/>
        <w:bidi w:val="0"/>
        <w:spacing w:lineRule="auto" w:line="556" w:before="240" w:after="283"/>
        <w:jc w:val="center"/>
        <w:rPr/>
      </w:pPr>
      <w:r>
        <w:rPr>
          <w:rFonts w:ascii="Times New Roman;serif" w:hAnsi="Times New Roman;serif"/>
          <w:b w:val="false"/>
          <w:color w:val="000000"/>
          <w:sz w:val="24"/>
        </w:rPr>
        <w:t>ARTICLE 24</w:t>
        <w:br/>
      </w:r>
      <w:r>
        <w:rPr>
          <w:rFonts w:ascii="Times New Roman;serif" w:hAnsi="Times New Roman;serif"/>
          <w:b w:val="false"/>
          <w:color w:val="000000"/>
          <w:sz w:val="24"/>
          <w:u w:val="single"/>
        </w:rPr>
        <w:t>NO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24.1.     No act or thing done by Landlord or Landlord’s agents during the Term shall be deemed an acceptance of a surrender of the Premises, and no agreement to accept such surrender shall be valid unless in writing signed by Landlord. No employee of Landlord or of Landlord’s agents shall have any power to accept the keys to the Premises prior to the termination of this Lease. The delivery of keys to any employee of Landlord or of Landlord’s agents shall not operate as a termination of this Lease or a surrender of the Premises. If Tenant shall at any time desire to have Landlord sublet the Premises for Tenant’s account, Landlord or Landlord’s agents are authorized to receive the keys for such purpose without releasing Tenant from any of the obligations under this Lease, and Tenant hereby relieves Landlord of any liability for loss of or damage to any of Tenant’s effects in connection with such subletting.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24.2.     The failure of Landlord to seek redress for violation of, or to insist upon the strict performance of, any covenant or condition of this Lease, or any of the Rules and Regulations, shall not prevent a subsequent act, which would have originally constituted a violation, from having all of the force and effect of an original violation. The receipt by Landlord of Fixed Rent, Additional Rent or any other item of Rental with knowledge of the breach of any covenant of this Lease shall not be deemed a waiver of such breach. The failure of Landlord to enforce any of the Rules and Regulations against Tenant or any other tenant in the Building shall not be deemed a waiver of any such Rules and Regulations. No provision of this Lease shall be deemed to have been waived by Landlord, unless such waiver shall be in writing and shall be signed by Landlord. No payment by Tenant or receipt by Landlord of a lesser amount than the Rental then due and payable shall be deemed to be other than on account of the earliest item(s) of Rental, or as Landlord may elect to apply the same, nor shall any endorsement or statement on any check or any letter accompanying any check or payment be deemed an accord and satisfaction, and Landlord may accept such check or payment without prejudice to Landlord’s right to recover the balance due of the Rental or pursue any other remedy in this Lease provided. This Lease contains the entire agreement between the parties and all prior negotiations and agreements are merged herein. Any executory agreement hereafter made shall be ineffective to change, discharge or effect an abandonment of this Lease in whole or in part unless such executory agreement is in writing and signed by the party against whom enforcement of the change, discharge or abandonment is sought.</w:t>
      </w:r>
    </w:p>
    <w:p>
      <w:pPr>
        <w:pStyle w:val="TextBody"/>
        <w:bidi w:val="0"/>
        <w:spacing w:lineRule="auto" w:line="556" w:before="240" w:after="283"/>
        <w:jc w:val="center"/>
        <w:rPr/>
      </w:pPr>
      <w:r>
        <w:rPr>
          <w:rFonts w:ascii="Times New Roman;serif" w:hAnsi="Times New Roman;serif"/>
          <w:b w:val="false"/>
          <w:color w:val="000000"/>
          <w:sz w:val="24"/>
        </w:rPr>
        <w:t>ARTICLE 25</w:t>
        <w:br/>
      </w:r>
      <w:r>
        <w:rPr>
          <w:rFonts w:ascii="Times New Roman;serif" w:hAnsi="Times New Roman;serif"/>
          <w:b w:val="false"/>
          <w:color w:val="000000"/>
          <w:sz w:val="24"/>
          <w:u w:val="single"/>
        </w:rPr>
        <w:t>WAIVER OF TRIAL BY JURY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25.1.     Landlord and Tenant shall and they hereby do waive trial by jury in any action, proceeding or counterclaim brought by either of them against the other on any matters whatsoever arising out of or in any way connected with this Lease, the relationship of Landlord and Tenant, Tenant’s use or occupancy of the Premises, whether during or after the Term, or for </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enforcement of any remedy under any statute, emergency or otherwise. If Landlord shall commence any summary proceeding against Tenant, Tenant will not interpose any counterclaim of whatever nature or description in any such proceeding (unless failure to impose such counterclaim would preclude Tenant from asserting in a separate action the claim which is the subject of such counterclaim), and will not seek to consolidate such proceeding with any other action which may have been or will be brought in any other court by Tenant or Landlord.</w:t>
      </w:r>
    </w:p>
    <w:p>
      <w:pPr>
        <w:pStyle w:val="TextBody"/>
        <w:bidi w:val="0"/>
        <w:spacing w:lineRule="auto" w:line="556" w:before="240" w:after="283"/>
        <w:jc w:val="center"/>
        <w:rPr/>
      </w:pPr>
      <w:r>
        <w:rPr>
          <w:rFonts w:ascii="Times New Roman;serif" w:hAnsi="Times New Roman;serif"/>
          <w:b w:val="false"/>
          <w:color w:val="000000"/>
          <w:sz w:val="24"/>
        </w:rPr>
        <w:t>ARTICLE 26</w:t>
        <w:br/>
      </w:r>
      <w:r>
        <w:rPr>
          <w:rFonts w:ascii="Times New Roman;serif" w:hAnsi="Times New Roman;serif"/>
          <w:b w:val="false"/>
          <w:color w:val="000000"/>
          <w:sz w:val="24"/>
          <w:u w:val="single"/>
        </w:rPr>
        <w:t>INABILITY TO PERFORM</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26.1.     This Lease and the obligation of Tenant to pay Rental hereunder and to perform all of the other covenants and agreements hereunder on the part of Tenant to be performed shall in no way be affected, impaired or excused because Landlord is unable to fulfill any of Landlord’s obligations under this Lease, expressly or implicitly to be performed by Landlord, or because Landlord is unable to make or is delayed in making any repairs, additions, alterations, improvements or decorations, or is unable to supply or is delayed in supplying any services, equipment or fixtures, if Landlord is prevented from or delayed in so doing by reason of acts of God, casualty, strikes or labor troubles, accident, acts of war, terrorism, bioterrorism (</w:t>
      </w:r>
      <w:r>
        <w:rPr>
          <w:rFonts w:ascii="Times New Roman;serif" w:hAnsi="Times New Roman;serif"/>
          <w:b w:val="false"/>
          <w:color w:val="000000"/>
          <w:sz w:val="24"/>
          <w:u w:val="single"/>
        </w:rPr>
        <w:t>i.e.</w:t>
      </w:r>
      <w:r>
        <w:rPr>
          <w:rFonts w:ascii="Times New Roman;serif" w:hAnsi="Times New Roman;serif"/>
          <w:b w:val="false"/>
          <w:color w:val="000000"/>
          <w:sz w:val="24"/>
        </w:rPr>
        <w:t>, the release or threatened release of an airborne agent that may adversely affect the Building or its occupants), governmental preemption in connection with an emergency, Requirements, conditions of supply and demand which have been or are affected by war, terrorism, bioterrorism or other emergency, or any other cause whatsoever, whether similar or dissimilar to the foregoing, beyond Landlord’s reasonable control (“</w:t>
      </w:r>
      <w:r>
        <w:rPr>
          <w:rFonts w:ascii="Times New Roman;serif" w:hAnsi="Times New Roman;serif"/>
          <w:b w:val="false"/>
          <w:color w:val="000000"/>
          <w:sz w:val="24"/>
          <w:u w:val="single"/>
        </w:rPr>
        <w:t>Unavoidable Delays</w:t>
      </w:r>
      <w:r>
        <w:rPr>
          <w:color w:val="000000"/>
        </w:rPr>
        <w:t>”</w:t>
      </w:r>
      <w:r>
        <w:rPr>
          <w:rFonts w:ascii="Times New Roman;serif" w:hAnsi="Times New Roman;serif"/>
          <w:b w:val="false"/>
          <w:color w:val="000000"/>
          <w:sz w:val="24"/>
        </w:rPr>
        <w:t>).</w:t>
      </w:r>
    </w:p>
    <w:p>
      <w:pPr>
        <w:pStyle w:val="TextBody"/>
        <w:bidi w:val="0"/>
        <w:spacing w:lineRule="auto" w:line="556" w:before="240" w:after="283"/>
        <w:jc w:val="center"/>
        <w:rPr/>
      </w:pPr>
      <w:r>
        <w:rPr>
          <w:rFonts w:ascii="Times New Roman;serif" w:hAnsi="Times New Roman;serif"/>
          <w:b w:val="false"/>
          <w:color w:val="000000"/>
          <w:sz w:val="24"/>
        </w:rPr>
        <w:t>ARTICLE 27</w:t>
        <w:br/>
      </w:r>
      <w:r>
        <w:rPr>
          <w:rFonts w:ascii="Times New Roman;serif" w:hAnsi="Times New Roman;serif"/>
          <w:b w:val="false"/>
          <w:color w:val="000000"/>
          <w:sz w:val="24"/>
          <w:u w:val="single"/>
        </w:rPr>
        <w:t>BILLS AND NOTICES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27.1.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Except as otherwise expressly provided in this Lease, any bills, statements, consents, notices, demands, requests or other communications given or required to be given under this Lease (“</w:t>
      </w:r>
      <w:r>
        <w:rPr>
          <w:rFonts w:ascii="Times New Roman;serif" w:hAnsi="Times New Roman;serif"/>
          <w:b w:val="false"/>
          <w:color w:val="000000"/>
          <w:sz w:val="24"/>
          <w:u w:val="single"/>
        </w:rPr>
        <w:t>Notice(s)</w:t>
      </w:r>
      <w:r>
        <w:rPr>
          <w:color w:val="000000"/>
        </w:rPr>
        <w:t>”</w:t>
      </w:r>
      <w:r>
        <w:rPr>
          <w:rFonts w:ascii="Times New Roman;serif" w:hAnsi="Times New Roman;serif"/>
          <w:b w:val="false"/>
          <w:color w:val="000000"/>
          <w:sz w:val="24"/>
        </w:rPr>
        <w:t>) shall be in writing and shall be deemed sufficiently given or rendered if delivered by hand (against a signed receipt), by a recognized overnight courier service (with a signed receipt) or if deposited in a securely fastened, postage prepaid envelope in a depository that is regularly maintained by the U.S. Postal Service, sent by registered or certified mail (return receipt requested) and in any case addressed: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if to Tenant (a) at Tenant’s address set forth in this Lease, Attention: Legal Department, or (b) at any place where Tenant or any agent or employee of Tenant may be found if given subsequent to Tenant’s vacating, deserting, abandoning or surrendering the Premises,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if to Landlord, at Landlord’s address set forth in this Lease, Attention: Craig Panzirer, with copies to: (i) Global Holdings Management (US) Inc., Nomad Tower, 1250 Broadway, 38th Floor, New York, New York 10001, Attention: Peter Allen, Esq., (ii) Loeb &amp; </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Loeb LLP, 345 Park Avenue, New York, New York 10154, Attention: Nichole D. Cortese, Esq., and (iii) any Mortgagee or Lessor who may have requested the same, by Notice given in accordance with the provisions of this </w:t>
      </w:r>
      <w:r>
        <w:rPr>
          <w:rFonts w:ascii="Times New Roman;serif" w:hAnsi="Times New Roman;serif"/>
          <w:b w:val="false"/>
          <w:color w:val="000000"/>
          <w:sz w:val="24"/>
          <w:u w:val="single"/>
        </w:rPr>
        <w:t>Article 27</w:t>
      </w:r>
      <w:r>
        <w:rPr>
          <w:rFonts w:ascii="Times New Roman;serif" w:hAnsi="Times New Roman;serif"/>
          <w:b w:val="false"/>
          <w:color w:val="000000"/>
          <w:sz w:val="24"/>
        </w:rPr>
        <w:t>, at the address designated by such Mortgagee or Lessor; or</w:t>
      </w:r>
    </w:p>
    <w:p>
      <w:pPr>
        <w:pStyle w:val="TextBody"/>
        <w:bidi w:val="0"/>
        <w:spacing w:lineRule="auto" w:line="288" w:before="0" w:after="240"/>
        <w:jc w:val="both"/>
        <w:rPr/>
      </w:pPr>
      <w:r>
        <w:rPr>
          <w:rFonts w:ascii="Times New Roman;serif" w:hAnsi="Times New Roman;serif"/>
          <w:b w:val="false"/>
          <w:color w:val="000000"/>
          <w:sz w:val="24"/>
        </w:rPr>
        <w:t xml:space="preserve">to such other address(es) as either Landlord or Tenant may designate as its new address(es) for such purpose by notice given to the other in accordance with the provisions of this </w:t>
      </w:r>
      <w:r>
        <w:rPr>
          <w:rFonts w:ascii="Times New Roman;serif" w:hAnsi="Times New Roman;serif"/>
          <w:b w:val="false"/>
          <w:color w:val="000000"/>
          <w:sz w:val="24"/>
          <w:u w:val="single"/>
        </w:rPr>
        <w:t>Article 27</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Notices shall be deemed to have been rendered or given (i) on the Business Day delivered, if delivered by hand or by recognized overnight courier service, prior to 5:00 p.m. of such Business Day, or if delivered on a day other than a Business Day or after 5:00 p.m. on any day, then on the next Business Day following such delivery, or (ii) three (3) Business Days after the date mailed, if mailed as provided in </w:t>
      </w:r>
      <w:r>
        <w:rPr>
          <w:rFonts w:ascii="Times New Roman;serif" w:hAnsi="Times New Roman;serif"/>
          <w:b w:val="false"/>
          <w:color w:val="000000"/>
          <w:sz w:val="24"/>
          <w:u w:val="single"/>
        </w:rPr>
        <w:t>Section 27.1(A)</w:t>
      </w:r>
      <w:r>
        <w:rPr>
          <w:rFonts w:ascii="Times New Roman;serif" w:hAnsi="Times New Roman;serif"/>
          <w:b w:val="false"/>
          <w:color w:val="000000"/>
          <w:sz w:val="24"/>
        </w:rPr>
        <w:t>. Notice given by counsel for either party on behalf of such party or by the Manager on behalf of Landlord shall be deemed valid notices if addressed and sent in accordance with the provisions of this Article.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27.2.     Notwithstanding the provisions of </w:t>
      </w:r>
      <w:r>
        <w:rPr>
          <w:rFonts w:ascii="Times New Roman;serif" w:hAnsi="Times New Roman;serif"/>
          <w:b w:val="false"/>
          <w:color w:val="000000"/>
          <w:sz w:val="24"/>
          <w:u w:val="single"/>
        </w:rPr>
        <w:t>Section 27.1</w:t>
      </w:r>
      <w:r>
        <w:rPr>
          <w:rFonts w:ascii="Times New Roman;serif" w:hAnsi="Times New Roman;serif"/>
          <w:b w:val="false"/>
          <w:color w:val="000000"/>
          <w:sz w:val="24"/>
        </w:rPr>
        <w:t xml:space="preserve">, (i) Notices requesting services for Overtime Periods pursuant to </w:t>
      </w:r>
      <w:r>
        <w:rPr>
          <w:rFonts w:ascii="Times New Roman;serif" w:hAnsi="Times New Roman;serif"/>
          <w:b w:val="false"/>
          <w:color w:val="000000"/>
          <w:sz w:val="24"/>
          <w:u w:val="single"/>
        </w:rPr>
        <w:t>Article 28</w:t>
      </w:r>
      <w:r>
        <w:rPr>
          <w:color w:val="000000"/>
        </w:rPr>
        <w:t xml:space="preserve"> </w:t>
      </w:r>
      <w:r>
        <w:rPr>
          <w:rFonts w:ascii="Times New Roman;serif" w:hAnsi="Times New Roman;serif"/>
          <w:b w:val="false"/>
          <w:color w:val="000000"/>
          <w:sz w:val="24"/>
        </w:rPr>
        <w:t>may be given by delivery to the Building superintendent or any other person in the Building designated by Landlord to receive such Notices, and (ii) bills may be rendered by delivering them to the Premises without the necessity of a receipt, and without providing a copy of such Landlord Statements or bills to any third party.</w:t>
      </w:r>
    </w:p>
    <w:p>
      <w:pPr>
        <w:pStyle w:val="TextBody"/>
        <w:bidi w:val="0"/>
        <w:spacing w:lineRule="auto" w:line="556" w:before="240" w:after="283"/>
        <w:jc w:val="center"/>
        <w:rPr/>
      </w:pPr>
      <w:r>
        <w:rPr>
          <w:rFonts w:ascii="Times New Roman;serif" w:hAnsi="Times New Roman;serif"/>
          <w:b w:val="false"/>
          <w:color w:val="000000"/>
          <w:sz w:val="24"/>
        </w:rPr>
        <w:t>ARTICLE 28</w:t>
        <w:br/>
      </w:r>
      <w:r>
        <w:rPr>
          <w:rFonts w:ascii="Times New Roman;serif" w:hAnsi="Times New Roman;serif"/>
          <w:b w:val="false"/>
          <w:color w:val="000000"/>
          <w:sz w:val="24"/>
          <w:u w:val="single"/>
        </w:rPr>
        <w:t>SERVICES AND EQUIPMENT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28.1.     Landlord shall, at Landlord’s expense: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Provide passenger elevator service to the Premises on Business Days during Operating Hours and, subject to </w:t>
      </w:r>
      <w:r>
        <w:rPr>
          <w:rFonts w:ascii="Times New Roman;serif" w:hAnsi="Times New Roman;serif"/>
          <w:b w:val="false"/>
          <w:color w:val="000000"/>
          <w:sz w:val="24"/>
          <w:u w:val="single"/>
        </w:rPr>
        <w:t>Section 28.3</w:t>
      </w:r>
      <w:r>
        <w:rPr>
          <w:rFonts w:ascii="Times New Roman;serif" w:hAnsi="Times New Roman;serif"/>
          <w:b w:val="false"/>
          <w:color w:val="000000"/>
          <w:sz w:val="24"/>
        </w:rPr>
        <w:t>, have one (1) passenger elevator on call at all other times. Tenant agrees that Landlord may, at its election, install elevators with or without operators and may change the same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Provide one (1) freight elevator serving the Premises on call on a “first come, first served” basis on Business Days from 8:00 a.m. to 4:45 p.m. (“</w:t>
      </w:r>
      <w:r>
        <w:rPr>
          <w:rFonts w:ascii="Times New Roman;serif" w:hAnsi="Times New Roman;serif"/>
          <w:b w:val="false"/>
          <w:color w:val="000000"/>
          <w:sz w:val="24"/>
          <w:u w:val="single"/>
        </w:rPr>
        <w:t>Freight Elevator Hours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Furnish and distribute to the Premises, through the HVAC System, during Operating Hours, air-conditioning (as needed) from April 15 through October 15 and heat or ventilation (as needed) from October 16 through April 14 in accordance with the specifications set forth on </w:t>
      </w:r>
      <w:r>
        <w:rPr>
          <w:rFonts w:ascii="Times New Roman;serif" w:hAnsi="Times New Roman;serif"/>
          <w:b w:val="false"/>
          <w:color w:val="000000"/>
          <w:sz w:val="24"/>
          <w:u w:val="single"/>
        </w:rPr>
        <w:t>Schedule F</w:t>
      </w:r>
      <w:r>
        <w:rPr>
          <w:color w:val="000000"/>
        </w:rPr>
        <w:t xml:space="preserve"> </w:t>
      </w:r>
      <w:r>
        <w:rPr>
          <w:rFonts w:ascii="Times New Roman;serif" w:hAnsi="Times New Roman;serif"/>
          <w:b w:val="false"/>
          <w:color w:val="000000"/>
          <w:sz w:val="24"/>
        </w:rPr>
        <w:t xml:space="preserve">annexed hereto; provided that Tenant shall draw and close the draperies or blinds for the windows of the Premises whenever the ventilation or air-conditioning system is in operation and the position of the sun so requires and shall, at all times, cooperate fully with Landlord and abide by all of the Rules and Regulations which Landlord may prescribe for the proper functioning of the HVAC System. Further to, and without limiting the foregoing, Tenant expressly acknowledges that although some or all of the windows in the Premises are capable of opening, Tenant shall at all times keep all windows in the Premises closed. Landlord makes no representation as to the habitability of the Premises at any time the HVAC System is not in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operation and the windows in the Premises are not open. Tenant hereby expressly waives any claims against Landlord arising out of the cessation of operation of the HVAC System, or the suitability of the Premises when the same is not in operation, whether due to normal scheduling or reasons beyond Landlord’s control, such as those set forth in </w:t>
      </w:r>
      <w:r>
        <w:rPr>
          <w:rFonts w:ascii="Times New Roman;serif" w:hAnsi="Times New Roman;serif"/>
          <w:b w:val="false"/>
          <w:color w:val="000000"/>
          <w:sz w:val="24"/>
          <w:u w:val="single"/>
        </w:rPr>
        <w:t>Section 28.3</w:t>
      </w:r>
      <w:r>
        <w:rPr>
          <w:rFonts w:ascii="Times New Roman;serif" w:hAnsi="Times New Roman;serif"/>
          <w:b w:val="false"/>
          <w:color w:val="000000"/>
          <w:sz w:val="24"/>
        </w:rPr>
        <w:t xml:space="preserve">. Landlord will not be responsible for the failure of the HVAC System if such failure results from the occupancy of the Premises by more than an average of one (1) person for each one hundred (100) square feet of usable area or if Tenant shall use in excess of five (5) watts of electricity demand load per usable square foot or if Tenant shall open any of the windows in the Premises. If Tenant occupies the Premises at an occupancy rate of greater than that for which the HVAC System was designed (one (1) person per one hundred (100) square feet of usable area) or uses in excess of five (5) watts of electricity demand load per usable square foot, or if Tenant allows any of the windows in the Premises to remain open, or if Tenant’s partitions are arranged in such a way as to interfere with the normal operation of the HVAC System, Landlord may elect to make changes to the HVAC System or the ducts through which it operates required by reason thereof, and the cost thereof shall be reimbursed by Tenant to Landlord as Additional Rent within ten (10) days after presentation of a bill therefor. Landlord, throughout the Term, shall have free access to all mechanical installations of Landlord, including but not limited to air-cooling, fan, ventilating and machine rooms and electrical closets, and Tenant shall not construct partitions or other obstructions that may interfere with Landlord’s free access thereto, or interfere with the moving of Landlord’s equipment to and from the enclosures containing said installations. Neither Tenant nor its agents, employees or contractors shall at any time enter the said enclosures or tamper with, adjust, touch or otherwise in any manner affect said mechanical installations. Landlord’s obligations under this </w:t>
      </w:r>
      <w:r>
        <w:rPr>
          <w:rFonts w:ascii="Times New Roman;serif" w:hAnsi="Times New Roman;serif"/>
          <w:b w:val="false"/>
          <w:color w:val="000000"/>
          <w:sz w:val="24"/>
          <w:u w:val="single"/>
        </w:rPr>
        <w:t>Section 28.1</w:t>
      </w:r>
      <w:r>
        <w:rPr>
          <w:color w:val="000000"/>
        </w:rPr>
        <w:t xml:space="preserve"> </w:t>
      </w:r>
      <w:r>
        <w:rPr>
          <w:rFonts w:ascii="Times New Roman;serif" w:hAnsi="Times New Roman;serif"/>
          <w:b w:val="false"/>
          <w:color w:val="000000"/>
          <w:sz w:val="24"/>
        </w:rPr>
        <w:t xml:space="preserve">and under </w:t>
      </w:r>
      <w:r>
        <w:rPr>
          <w:rFonts w:ascii="Times New Roman;serif" w:hAnsi="Times New Roman;serif"/>
          <w:b w:val="false"/>
          <w:color w:val="000000"/>
          <w:sz w:val="24"/>
          <w:u w:val="single"/>
        </w:rPr>
        <w:t>Section 28.2</w:t>
      </w:r>
      <w:r>
        <w:rPr>
          <w:color w:val="000000"/>
        </w:rPr>
        <w:t xml:space="preserve"> </w:t>
      </w:r>
      <w:r>
        <w:rPr>
          <w:rFonts w:ascii="Times New Roman;serif" w:hAnsi="Times New Roman;serif"/>
          <w:b w:val="false"/>
          <w:color w:val="000000"/>
          <w:sz w:val="24"/>
        </w:rPr>
        <w:t>are subject to applicable Requirements that may limit the hours or the extent to which Landlord is permitted to supply HVAC.</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Furnish cold water for ordinary drinking, cleaning and lavatory purposes. Hot water is furnished to common area lavatories only. If Tenant requires, uses or consumes water for any other purposes, Tenant agrees that Tenant shall install a meter or meters or other means to measure Tenant’s water consumption, and Tenant further agrees to pay for the cost of the meter or meters and the installation thereof, and to pay for the maintenance of said meter equipment and/or to pay Landlord’s cost of other means of measuring such water consumption by Tenant. Tenant shall reimburse Landlord for the cost of all water consumed (including costs of generating hot water) as measured by said meter or meters or as otherwise measured, including sewer rents, as Additional Rent within ten (10) days after bills are rendered.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Provided Tenant shall keep the Premises in order, Landlord, at Landlord’s expense, shall cause the Premises, excluding any portions thereof used as security areas or used for the storage, preparation, service or consumption of food or beverages, to be cleaned on Business Days in accordance with the cleaning specifications annexed to this Lease as </w:t>
      </w:r>
      <w:r>
        <w:rPr>
          <w:rFonts w:ascii="Times New Roman;serif" w:hAnsi="Times New Roman;serif"/>
          <w:b w:val="false"/>
          <w:color w:val="000000"/>
          <w:sz w:val="24"/>
          <w:u w:val="single"/>
        </w:rPr>
        <w:t>Schedule C</w:t>
      </w:r>
      <w:r>
        <w:rPr>
          <w:rFonts w:ascii="Times New Roman;serif" w:hAnsi="Times New Roman;serif"/>
          <w:b w:val="false"/>
          <w:color w:val="000000"/>
          <w:sz w:val="24"/>
        </w:rPr>
        <w:t xml:space="preserve">. If, however, any additional cleaning of the Premises is to be done by Tenant, it shall be done at Tenant’s sole expense, in a manner reasonably satisfactory to Landlord and no one other than persons approved by Landlord shall be permitted to enter the Premises or the Building for such purpose. Tenant shall pay to Landlord the cost of removal of any of Tenant’s refuse and rubbish from the Premises and the Building (i) to the extent that the same, in any one (1) day, exceeds the average daily amount of refuse and rubbish usually attendant upon the use of such Premises as offices, as described and included in Landlord’s cleaning contract for the Building or </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recommended by Landlord’s cleaning contractor, and (ii) related to or deriving from the preparation or consumption of food or drink. Bills for the same shall be rendered by Landlord to Tenant at such time as Landlord may elect and shall be due and payable as Additional Rent within ten (10) days after the time rendered. Tenant, at Tenant’s expense, shall cause all portions of the Premises used for the storage, preparation, service or consumption of food or beverages to be cleaned daily in a manner satisfactory to Landlord, and to be exterminated against infestation by vermin, roaches or rodents regularly and, in addition, whenever there shall be evidence of any infestation, and otherwise in a manner satisfactory to Landlord in Landlord’s sole discretion. Tenant shall not permit any person to enter the Premises or the Building for the purpose of providing such extermination services, unless such persons have been approved by Landlord.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Subject to the Rules and Regulations, Tenant shall have access to the Premises twenty four (24) hours per day seven (7) days per week.</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28.2.     The Fixed Rent does not reflect or include any charge to Tenant for the furnishing of any necessary freight elevator facilities other than during Freight Elevator Hours or HVAC to the Premises during periods other than Operating Hours as set forth above (in each case, all such other periods shall constitute “</w:t>
      </w:r>
      <w:r>
        <w:rPr>
          <w:rFonts w:ascii="Times New Roman;serif" w:hAnsi="Times New Roman;serif"/>
          <w:b w:val="false"/>
          <w:color w:val="000000"/>
          <w:sz w:val="24"/>
          <w:u w:val="single"/>
        </w:rPr>
        <w:t>Overtime Periods</w:t>
      </w:r>
      <w:r>
        <w:rPr>
          <w:color w:val="000000"/>
        </w:rPr>
        <w:t>”</w:t>
      </w:r>
      <w:r>
        <w:rPr>
          <w:rFonts w:ascii="Times New Roman;serif" w:hAnsi="Times New Roman;serif"/>
          <w:b w:val="false"/>
          <w:color w:val="000000"/>
          <w:sz w:val="24"/>
        </w:rPr>
        <w:t xml:space="preserve">). Accordingly, if Landlord furnishes any such freight elevator facilities or HVAC to the Premises at the request of Tenant during Overtime Periods, Tenant shall pay Landlord Additional Rent for such services at the standard rates then fixed by Landlord for the Building, or if no such rates are then fixed, at comparable rates then being charged by first-class office buildings in the Borough of Manhattan, the City and State of New York. All usage during Overtime Periods shall be for a minimum of four (4) consecutive hours, unless such Overtime Periods shall immediately precede or follow Operating Hours (as applicable to HVAC) or Freight Elevator Hours (as applicable to freight elevator service). The rates for Overtime Periods existing on the date of this Lease are set forth in </w:t>
      </w:r>
      <w:r>
        <w:rPr>
          <w:rFonts w:ascii="Times New Roman;serif" w:hAnsi="Times New Roman;serif"/>
          <w:b w:val="false"/>
          <w:color w:val="000000"/>
          <w:sz w:val="24"/>
          <w:u w:val="single"/>
        </w:rPr>
        <w:t>Schedule G</w:t>
      </w:r>
      <w:r>
        <w:rPr>
          <w:color w:val="000000"/>
        </w:rPr>
        <w:t xml:space="preserve"> </w:t>
      </w:r>
      <w:r>
        <w:rPr>
          <w:rFonts w:ascii="Times New Roman;serif" w:hAnsi="Times New Roman;serif"/>
          <w:b w:val="false"/>
          <w:color w:val="000000"/>
          <w:sz w:val="24"/>
        </w:rPr>
        <w:t>annexed to this Lease. Subject to Requirements or any requirements of the labor unions serving the Building, Landlord shall not be required to furnish any such services during any Overtime Periods unless Landlord has received advance notice from Tenant requesting such services at least two (2) Business Days prior to the time such services are to be provided. If Tenant fails to give Landlord such advance notice, then failure by Landlord to furnish or distribute any such services during such Overtime Periods shall not constitute an actual or constructive eviction, in whole or in part, or entitle Tenant to any abatement or diminution of Rental, or relieve Tenant from any of its obligations under this Lease, or impose any liability upon Landlord or its agents by reason of inconvenience or annoyance to Tenant, or injury to or interruption of Tenant’s business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28.3.     Landlord reserves the right to stop the furnishing of the Building services and to stop service of the Building Systems, when necessary, by reason of accident, or emergency, or for Alterations in the judgment of Landlord desirable or necessary to be made, until said Alterations shall have been completed; and Landlord shall have no responsibility or liability for failure to supply air-conditioning, ventilation, heat, elevator, plumbing, electric, or other services during said period or when prevented from so doing by strikes, lockouts, labor troubles, difficulty of obtaining materials, accidents or by any cause beyond Landlord’s reasonable control, or by Requirements or failure of electricity, water, steam, coal, oil or other suitable fuel or power supply, or inability by exercise of reasonable diligence to obtain electricity, water, steam, coal, oil or other suitable fuel or power. No diminution or abatement of </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rent or other compensation shall or will be claimed by Tenant as a result therefrom, nor shall this Lease or any of the obligations of Tenant be affected or reduced by reason of such interruption, curtailment or suspension, nor shall the same constitute an actual or constructive eviction. Without limiting events that may constitute “any cause beyond Landlord’s reasonable control,” the following are items which Landlord and Tenant agree are beyond Landlord’s reasonable control: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lack of access to the Building or the Premises (which shall include, but not be limited to, the lack of access to the Building or the Premises when it or they are structurally sound but inaccessible due to evacuation of the surrounding area or damage to nearby structures or public areas);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any cause outside the Building;</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(3)     reduced air quality or other contaminants within the Building that would adversely affect the Building or its occupants (including, but not limited to, the presence of biological or other airborne agents within the Building or the Premises);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     disruption of mail and deliveries to the Building or the Premises resulting from a casualty;</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(5)     disruption of telephone and telecommunications services to the Building or the Premises resulting from a casualty;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(6)     blockages of any windows, doors, or walkways to the Building or the Premises resulting from a casualty.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28.4.     Tenant agrees to abide by all requirements which Landlord may prescribe for the proper protection and functioning of its Building Systems and the furnishing of the Building services. Tenant further agrees to cooperate with Landlord in any conservation effort pursuant to a program or procedure promulgated or recommended by ASHRAE or any Requirements.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28.5.     Landlord shall have no obligation to clean, repair, replace or maintain any “private” plumbing fixtures or facilities (i.e., plumbing fixtures and facilities other than those that would be the common toilets in a multi-tenant floor) or the rooms in which they are located.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28.6.     (A)    Landlord shall make available to Tenant (x) four (4) tons of condenser water per annum to serve the two existing 2-ton supplemental HVAC units in the Premises (each, an “</w:t>
      </w:r>
      <w:r>
        <w:rPr>
          <w:rFonts w:ascii="Times New Roman;serif" w:hAnsi="Times New Roman;serif"/>
          <w:b w:val="false"/>
          <w:color w:val="000000"/>
          <w:sz w:val="24"/>
          <w:u w:val="single"/>
        </w:rPr>
        <w:t>Existing Supplemental HVAC System</w:t>
      </w:r>
      <w:r>
        <w:rPr>
          <w:color w:val="000000"/>
        </w:rPr>
        <w:t>”</w:t>
      </w:r>
      <w:r>
        <w:rPr>
          <w:rFonts w:ascii="Times New Roman;serif" w:hAnsi="Times New Roman;serif"/>
          <w:b w:val="false"/>
          <w:color w:val="000000"/>
          <w:sz w:val="24"/>
        </w:rPr>
        <w:t xml:space="preserve">), which Tenant hereby accepts and shall continue to utilize in their “as-is, where is” condition, without representation or warranty from Landlord, and (y) up to the aggregate Maximum Number of Tons of condenser water per annum (i.e., including the 4 tons allocated to the Existing Supplemental HVAC System) to serve any additional supplemental air-conditioning equipment installed by Tenant as approved Alterations hereunder (subject to Landlord’s approval of the plans and specifications therefor in accordance with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of this Lease) (each, a “</w:t>
      </w:r>
      <w:r>
        <w:rPr>
          <w:rFonts w:ascii="Times New Roman;serif" w:hAnsi="Times New Roman;serif"/>
          <w:b w:val="false"/>
          <w:color w:val="000000"/>
          <w:sz w:val="24"/>
          <w:u w:val="single"/>
        </w:rPr>
        <w:t>New Supplemental HVAC System</w:t>
      </w:r>
      <w:r>
        <w:rPr>
          <w:color w:val="000000"/>
        </w:rPr>
        <w:t>”</w:t>
      </w:r>
      <w:r>
        <w:rPr>
          <w:rFonts w:ascii="Times New Roman;serif" w:hAnsi="Times New Roman;serif"/>
          <w:b w:val="false"/>
          <w:color w:val="000000"/>
          <w:sz w:val="24"/>
        </w:rPr>
        <w:t>; the Existing Supplemental HVAC Systems and any New Supplemental HVAC System(s), each a “</w:t>
      </w:r>
      <w:r>
        <w:rPr>
          <w:rFonts w:ascii="Times New Roman;serif" w:hAnsi="Times New Roman;serif"/>
          <w:b w:val="false"/>
          <w:color w:val="000000"/>
          <w:sz w:val="24"/>
          <w:u w:val="single"/>
        </w:rPr>
        <w:t>Supplemental HVAC System</w:t>
      </w:r>
      <w:r>
        <w:rPr>
          <w:color w:val="000000"/>
        </w:rPr>
        <w:t>”</w:t>
      </w:r>
      <w:r>
        <w:rPr>
          <w:rFonts w:ascii="Times New Roman;serif" w:hAnsi="Times New Roman;serif"/>
          <w:b w:val="false"/>
          <w:color w:val="000000"/>
          <w:sz w:val="24"/>
        </w:rPr>
        <w:t xml:space="preserve">). The condenser water to serve the Supplemental HVAC </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Systems shall be provided at Landlord’s then current annual fee per ton (the “</w:t>
      </w:r>
      <w:r>
        <w:rPr>
          <w:rFonts w:ascii="Times New Roman;serif" w:hAnsi="Times New Roman;serif"/>
          <w:b w:val="false"/>
          <w:color w:val="000000"/>
          <w:sz w:val="24"/>
          <w:u w:val="single"/>
        </w:rPr>
        <w:t>Condenser Water Charge</w:t>
      </w:r>
      <w:r>
        <w:rPr>
          <w:color w:val="000000"/>
        </w:rPr>
        <w:t>”</w:t>
      </w:r>
      <w:r>
        <w:rPr>
          <w:rFonts w:ascii="Times New Roman;serif" w:hAnsi="Times New Roman;serif"/>
          <w:b w:val="false"/>
          <w:color w:val="000000"/>
          <w:sz w:val="24"/>
        </w:rPr>
        <w:t xml:space="preserve">), which charge shall be commercially reasonable (and which as of the date of this Lease is $600.00 per ton per annum). Tenant acknowledges that Tenant shall not be allocated additional condenser water after the date of this Lease in excess of the aggregate Maximum Number of Tons, unless otherwise approved by Landlord. The Condenser Water Charge shall be (i) in effect with respect to the four (4) tons of condenser water to serve the Existing Supplemental HVAC Systems from and after the Commencement Date, and (ii) in effect with respect to the number of tons of condenser water requested by and allocated to Tenant (not to exceed the aggregate Maximum Number of Tons) to serve any New Supplemental HVAC System(s) from and after the date upon which Landlord reserves capacity for such New Supplemental HVAC System(s) at Tenant’s request, and (iii) in all such cases, subject to increases to reflect Landlord’s increasing actual and commercially reasonable costs of operating the condenser water system and supplying (or reserving) such requirements for Tenant. Notwithstanding the foregoing, Landlord shall reserve up to the aggregate Maximum Number of Tons of condenser water for Tenant’s use through and including the date that is six (6) months after the Commencement Date, after which time, if Tenant shall not have requested that Landlord make any portion of the Maximum Number of Tons available (with time being of the essence), then Landlord shall no longer be required to maintain such capacity (or the remaining portion thereof) for Tenant’s exclusive use,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Tenant may thereafter request additional condenser water, subject to availability. In addition to the foregoing, if Tenant shall accept any Offer Space in accordance with </w:t>
      </w:r>
      <w:r>
        <w:rPr>
          <w:rFonts w:ascii="Times New Roman;serif" w:hAnsi="Times New Roman;serif"/>
          <w:b w:val="false"/>
          <w:color w:val="000000"/>
          <w:sz w:val="24"/>
          <w:u w:val="single"/>
        </w:rPr>
        <w:t>Article 42</w:t>
      </w:r>
      <w:r>
        <w:rPr>
          <w:rFonts w:ascii="Times New Roman;serif" w:hAnsi="Times New Roman;serif"/>
          <w:b w:val="false"/>
          <w:color w:val="000000"/>
          <w:sz w:val="24"/>
        </w:rPr>
        <w:t xml:space="preserve">, Tenant shall receive an additional allocation of condenser water at the rate of fifteen (15) tons per full floor of the Offer Space (which shall constitute the Maximum Number of Tons applicable thereto) to serve any existing and New Supplemental HVAC System(s) for such Offer Space, and Tenant shall pay the Condenser Water Charge therefor in accordance with the terms and conditions of this </w:t>
      </w:r>
      <w:r>
        <w:rPr>
          <w:rFonts w:ascii="Times New Roman;serif" w:hAnsi="Times New Roman;serif"/>
          <w:b w:val="false"/>
          <w:color w:val="000000"/>
          <w:sz w:val="24"/>
          <w:u w:val="single"/>
        </w:rPr>
        <w:t>Section 28.6(A)</w:t>
      </w:r>
      <w:r>
        <w:rPr>
          <w:color w:val="000000"/>
        </w:rPr>
        <w:t xml:space="preserve"> </w:t>
      </w:r>
      <w:r>
        <w:rPr>
          <w:rFonts w:ascii="Times New Roman;serif" w:hAnsi="Times New Roman;serif"/>
          <w:b w:val="false"/>
          <w:color w:val="000000"/>
          <w:sz w:val="24"/>
        </w:rPr>
        <w:t xml:space="preserve">from and after the applicable Offer Space Inclusion Date (as hereinafter defined);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Tenant shall not require the full Maximum Number of Tons applicable to any particular Offer Space, Tenant may reduce its reservation of such condenser water at any time on or prior to the second (2nd) anniversary of the applicable Offer Space Inclusion Date upon notice to Landlord (unless Tenant shall have obtained consent to install (or actually installed) New Supplemental HVAC System(s) utilizing the same).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    (i)    Tenant, at its sole cost and expense, shall procure and maintain any permits required by Government Authorities with respect to any Supplemental HVAC System, and Tenant shall operate any Supplemental HVAC System in compliance with such permits and in compliance with all Rules and Regulations which Landlord may reasonably prescribe. In furtherance of the foregoing, all Supplemental HVAC Systems must be equipped with automatic shutdown devices connected to the Building’s fire alarm system.</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(ii)    Tenant, at its sole cost and expense, shall procure and maintain an annual maintenance and service contract for the maintenance and repair of any Supplemental HVAC System now or hereafter exclusively serving the Premises, providing for inspections and/or service at least semi-annually, to be renewed each year throughout the Term of this Lease with an HVAC contractor reasonably approved by Landlord. Tenant shall furnish copies of such service contract not later than the Commencement Date and shall furnish copies of all renewals thereof promptly after procuring the same.</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(iii)    Tenant shall, at its sole cost and expense, perform any and all necessary repairs to, and cause any and all necessary replacements of, any Supplemental HVAC Systems. All Supplemental HVAC Systems, and any replacements thereof, shall be and remain at all times the property of Landlord, and Tenant shall surrender the same, and all such repairs and replacements, to Landlord in working order and condition, reasonable wear and tear excepted, on the Expiration Date.</w:t>
      </w:r>
    </w:p>
    <w:p>
      <w:pPr>
        <w:pStyle w:val="TextBody"/>
        <w:bidi w:val="0"/>
        <w:spacing w:lineRule="auto" w:line="556" w:before="240" w:after="283"/>
        <w:jc w:val="center"/>
        <w:rPr/>
      </w:pPr>
      <w:r>
        <w:rPr>
          <w:rFonts w:ascii="Times New Roman;serif" w:hAnsi="Times New Roman;serif"/>
          <w:b w:val="false"/>
          <w:color w:val="000000"/>
          <w:sz w:val="24"/>
        </w:rPr>
        <w:t>ARTICLE 29</w:t>
        <w:br/>
      </w:r>
      <w:r>
        <w:rPr>
          <w:rFonts w:ascii="Times New Roman;serif" w:hAnsi="Times New Roman;serif"/>
          <w:b w:val="false"/>
          <w:color w:val="000000"/>
          <w:sz w:val="24"/>
          <w:u w:val="single"/>
        </w:rPr>
        <w:t>PARTNERSHIP TENANT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29.1.     If Tenant is a partnership, or is comprised of two (2) or more persons, individually or as co-partners of a partnership (any such partnership and such persons are referred to in this </w:t>
      </w:r>
      <w:r>
        <w:rPr>
          <w:rFonts w:ascii="Times New Roman;serif" w:hAnsi="Times New Roman;serif"/>
          <w:b w:val="false"/>
          <w:color w:val="000000"/>
          <w:sz w:val="24"/>
          <w:u w:val="single"/>
        </w:rPr>
        <w:t>Article 29</w:t>
      </w:r>
      <w:r>
        <w:rPr>
          <w:color w:val="000000"/>
        </w:rPr>
        <w:t xml:space="preserve"> </w:t>
      </w:r>
      <w:r>
        <w:rPr>
          <w:rFonts w:ascii="Times New Roman;serif" w:hAnsi="Times New Roman;serif"/>
          <w:b w:val="false"/>
          <w:color w:val="000000"/>
          <w:sz w:val="24"/>
        </w:rPr>
        <w:t>as “</w:t>
      </w:r>
      <w:r>
        <w:rPr>
          <w:rFonts w:ascii="Times New Roman;serif" w:hAnsi="Times New Roman;serif"/>
          <w:b w:val="false"/>
          <w:color w:val="000000"/>
          <w:sz w:val="24"/>
          <w:u w:val="single"/>
        </w:rPr>
        <w:t>Partnership Tenant</w:t>
      </w:r>
      <w:r>
        <w:rPr>
          <w:color w:val="000000"/>
        </w:rPr>
        <w:t>”</w:t>
      </w:r>
      <w:r>
        <w:rPr>
          <w:rFonts w:ascii="Times New Roman;serif" w:hAnsi="Times New Roman;serif"/>
          <w:b w:val="false"/>
          <w:color w:val="000000"/>
          <w:sz w:val="24"/>
        </w:rPr>
        <w:t xml:space="preserve">), or if Tenant’s interest in this Lease shall be assigned to a Partnership Tenant, the following provisions shall apply to such Partnership Tenant: (a) the liability of each of the parties comprising Partnership Tenant shall be joint and several; (b) each of the parties comprising Partnership Tenant hereby consents in advance to, and agrees to be bound by (i) any written agreement that may hereafter be executed by Partnership Tenant or any successor entity, changing, extending or discharging this Lease, in whole or in part, or surrendering all or any part of the Premises to Landlord, and (ii) any Notices that may hereafter be given by Partnership Tenant or by any of the parties comprising Partnership Tenant; (c) any Notices given or rendered to Partnership Tenant or to any of such parties shall be binding upon Partnership Tenant and all such parties; (d) if Partnership Tenant admits new partners, all of such new partners shall, by their admission to Partnership Tenant, be deemed to have assumed joint and several liability for the performance of all of the terms, covenants and conditions of this Lease on Tenant’s part to be observed and performed; (e) Partnership Tenant shall give prompt notice to Landlord of the admission of any such new partners, and upon demand of Landlord, shall cause each such new partner to execute and deliver to Landlord an agreement in form satisfactory to Landlord, wherein each such new partner assumes joint and several liability for the performance of all the terms, covenants and conditions of this Lease on Tenant’s part to be observed and performed (but neither Landlord’s failure to request any such agreement nor the failure of any such new partner to execute or deliver any such agreement to Landlord shall vitiate the provisions of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29.1</w:t>
      </w:r>
      <w:r>
        <w:rPr>
          <w:rFonts w:ascii="Times New Roman;serif" w:hAnsi="Times New Roman;serif"/>
          <w:b w:val="false"/>
          <w:color w:val="000000"/>
          <w:sz w:val="24"/>
        </w:rPr>
        <w:t>); and (f) any present or future partner of Partnership Tenant who is no longer a partner of Partnership Tenant at the time of any default under this Lease shall, nevertheless, remain liable for the obligations of Tenant under this Lease, as if any such partner had been a partner of Partnership Tenant on the date of such default.</w:t>
      </w:r>
    </w:p>
    <w:p>
      <w:pPr>
        <w:pStyle w:val="TextBody"/>
        <w:bidi w:val="0"/>
        <w:spacing w:lineRule="auto" w:line="556" w:before="240" w:after="283"/>
        <w:jc w:val="center"/>
        <w:rPr/>
      </w:pPr>
      <w:r>
        <w:rPr>
          <w:rFonts w:ascii="Times New Roman;serif" w:hAnsi="Times New Roman;serif"/>
          <w:b w:val="false"/>
          <w:color w:val="000000"/>
          <w:sz w:val="24"/>
        </w:rPr>
        <w:t>ARTICLE 30</w:t>
        <w:br/>
      </w:r>
      <w:r>
        <w:rPr>
          <w:rFonts w:ascii="Times New Roman;serif" w:hAnsi="Times New Roman;serif"/>
          <w:b w:val="false"/>
          <w:color w:val="000000"/>
          <w:sz w:val="24"/>
          <w:u w:val="single"/>
        </w:rPr>
        <w:t>VAULT SPACE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30.1.     Notwithstanding anything contained in this Lease or indicated on any sketch, blueprint or plan, any vaults, vault space or other space outside the boundaries of the Real Property are not included in the Premises. Landlord makes no representation as to the location of the boundaries of the Real Property. All vaults and vault space and all other space outside the boundaries of the Real Property which Tenant may be permitted to use or occupy are to be used or occupied under a revocable license, and if any such license is revoked, or if the amount of </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space is diminished or required by any Government Authority or by any public utility company, such revocation, diminution or requisition shall not constitute an actual or constructive eviction, in whole or in part, or entitle Tenant to any abatement or diminution of Rental, or relieve Tenant from any of its obligations under this Lease, or impose any liability upon Landlord. Any fee, tax or charge imposed by any Government Authority for any such vaults, vault space or other space occupied by Tenant shall be paid by Tenant.</w:t>
      </w:r>
    </w:p>
    <w:p>
      <w:pPr>
        <w:pStyle w:val="TextBody"/>
        <w:bidi w:val="0"/>
        <w:spacing w:lineRule="auto" w:line="556" w:before="240" w:after="283"/>
        <w:jc w:val="center"/>
        <w:rPr/>
      </w:pPr>
      <w:r>
        <w:rPr>
          <w:rFonts w:ascii="Times New Roman;serif" w:hAnsi="Times New Roman;serif"/>
          <w:b w:val="false"/>
          <w:color w:val="000000"/>
          <w:sz w:val="24"/>
        </w:rPr>
        <w:t>ARTICLE 31</w:t>
        <w:br/>
      </w:r>
      <w:r>
        <w:rPr>
          <w:rFonts w:ascii="Times New Roman;serif" w:hAnsi="Times New Roman;serif"/>
          <w:b w:val="false"/>
          <w:color w:val="000000"/>
          <w:sz w:val="24"/>
          <w:u w:val="single"/>
        </w:rPr>
        <w:t>SIGNS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31.1.     The location, size, materials, quality, design, color, content and font/lettering of any signs desired by Tenant on the entrance doors to the Premises (or adjacent thereto) and in the elevator lobbies on each floor of the Premises shall be subject to the prior approval of Landlord, which shall not be unreasonably withheld or delayed, and shall be in compliance with the standards set forth in the Building Alteration Rules and Regulations. The installation of any such signage shall be performed at Tenant’s sole cost. In all events, Tenant shall be permitted to be included in any electronic bulletin or directory and shall have Tenant’s Share of the listings therein. Tenant shall have no signage rights in any other part of the Building, except as otherwise provided in </w:t>
      </w:r>
      <w:r>
        <w:rPr>
          <w:rFonts w:ascii="Times New Roman;serif" w:hAnsi="Times New Roman;serif"/>
          <w:b w:val="false"/>
          <w:color w:val="000000"/>
          <w:sz w:val="24"/>
          <w:u w:val="single"/>
        </w:rPr>
        <w:t>Section 31.2</w:t>
      </w:r>
      <w:r>
        <w:rPr>
          <w:rFonts w:ascii="Times New Roman;serif" w:hAnsi="Times New Roman;serif"/>
          <w:b w:val="false"/>
          <w:color w:val="000000"/>
          <w:sz w:val="24"/>
        </w:rPr>
        <w:t xml:space="preserve">. Notwithstanding the foregoing terms of this </w:t>
      </w:r>
      <w:r>
        <w:rPr>
          <w:rFonts w:ascii="Times New Roman;serif" w:hAnsi="Times New Roman;serif"/>
          <w:b w:val="false"/>
          <w:color w:val="000000"/>
          <w:sz w:val="24"/>
          <w:u w:val="single"/>
        </w:rPr>
        <w:t>Section 31.1</w:t>
      </w:r>
      <w:r>
        <w:rPr>
          <w:rFonts w:ascii="Times New Roman;serif" w:hAnsi="Times New Roman;serif"/>
          <w:b w:val="false"/>
          <w:color w:val="000000"/>
          <w:sz w:val="24"/>
        </w:rPr>
        <w:t>, Tenant shall be allowed to maintain any signage identifying Tenant existing on the date of this Lease on each floor of the Premises.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31.2.     (A)    Notwithstanding anything to the contrary contained herein,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Event of Default shall have occurred and then be continuing,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Tenant and/or its Permitted Transferee shall then occupy at least three (3) full floors of the Premises (without having subleased any portion thereof) (the “</w:t>
      </w:r>
      <w:r>
        <w:rPr>
          <w:rFonts w:ascii="Times New Roman;serif" w:hAnsi="Times New Roman;serif"/>
          <w:b w:val="false"/>
          <w:color w:val="000000"/>
          <w:sz w:val="24"/>
          <w:u w:val="single"/>
        </w:rPr>
        <w:t>Occupancy Threshold</w:t>
      </w:r>
      <w:r>
        <w:rPr>
          <w:color w:val="000000"/>
        </w:rPr>
        <w:t>”</w:t>
      </w:r>
      <w:r>
        <w:rPr>
          <w:rFonts w:ascii="Times New Roman;serif" w:hAnsi="Times New Roman;serif"/>
          <w:b w:val="false"/>
          <w:color w:val="000000"/>
          <w:sz w:val="24"/>
        </w:rPr>
        <w:t>), Tenant, at its sole cost and expense, shall have the non-exclusive right to install and maintain signage at the entrance to the elevator bank in the main lobby of the Building serving the Premises (the “</w:t>
      </w:r>
      <w:r>
        <w:rPr>
          <w:rFonts w:ascii="Times New Roman;serif" w:hAnsi="Times New Roman;serif"/>
          <w:b w:val="false"/>
          <w:color w:val="000000"/>
          <w:sz w:val="24"/>
          <w:u w:val="single"/>
        </w:rPr>
        <w:t>Lobby Elevator Bank Signage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the size, materials, quality, design, color, content and font/lettering of such Lobby Elevator Bank Signage and the means of affixing such signage to the Building shall be subject to the prior approval of Landlord in its reasonable discretion, and shall be in compliance with (x) the dimensions and location shown on the rendering annexed hereto as </w:t>
      </w:r>
      <w:r>
        <w:rPr>
          <w:rFonts w:ascii="Times New Roman;serif" w:hAnsi="Times New Roman;serif"/>
          <w:b w:val="false"/>
          <w:color w:val="000000"/>
          <w:sz w:val="24"/>
          <w:u w:val="single"/>
        </w:rPr>
        <w:t>Schedule H</w:t>
      </w:r>
      <w:r>
        <w:rPr>
          <w:color w:val="000000"/>
        </w:rPr>
        <w:t xml:space="preserve"> </w:t>
      </w:r>
      <w:r>
        <w:rPr>
          <w:rFonts w:ascii="Times New Roman;serif" w:hAnsi="Times New Roman;serif"/>
          <w:b w:val="false"/>
          <w:color w:val="000000"/>
          <w:sz w:val="24"/>
        </w:rPr>
        <w:t xml:space="preserve">and (y) the terms and conditions of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of this Lease.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(B)    At any time that Tenant shall not satisfy the Occupancy Threshold or any of the other conditions set forth in </w:t>
      </w:r>
      <w:r>
        <w:rPr>
          <w:rFonts w:ascii="Times New Roman;serif" w:hAnsi="Times New Roman;serif"/>
          <w:b w:val="false"/>
          <w:color w:val="000000"/>
          <w:sz w:val="24"/>
          <w:u w:val="single"/>
        </w:rPr>
        <w:t>Section 31.2(A)</w:t>
      </w:r>
      <w:r>
        <w:rPr>
          <w:color w:val="000000"/>
        </w:rPr>
        <w:t xml:space="preserve"> </w:t>
      </w:r>
      <w:r>
        <w:rPr>
          <w:rFonts w:ascii="Times New Roman;serif" w:hAnsi="Times New Roman;serif"/>
          <w:b w:val="false"/>
          <w:color w:val="000000"/>
          <w:sz w:val="24"/>
        </w:rPr>
        <w:t xml:space="preserve">to install or maintain the Lobby Elevator Bank Signage, Landlord may direct Tenant to remove the same, in which event Tenant shall promptly remove said signage, and repair any damage caused to the area from which such signage was removed and restore the same to substantially its condition existing immediately prior to the installation of such signage, at Tenant’s cost and expense. In addition, it is agreed that all of Tenant’s signage installed pursuant to this </w:t>
      </w:r>
      <w:r>
        <w:rPr>
          <w:rFonts w:ascii="Times New Roman;serif" w:hAnsi="Times New Roman;serif"/>
          <w:b w:val="false"/>
          <w:color w:val="000000"/>
          <w:sz w:val="24"/>
          <w:u w:val="single"/>
        </w:rPr>
        <w:t>Article 31</w:t>
      </w:r>
      <w:r>
        <w:rPr>
          <w:color w:val="000000"/>
        </w:rPr>
        <w:t xml:space="preserve"> </w:t>
      </w:r>
      <w:r>
        <w:rPr>
          <w:rFonts w:ascii="Times New Roman;serif" w:hAnsi="Times New Roman;serif"/>
          <w:b w:val="false"/>
          <w:color w:val="000000"/>
          <w:sz w:val="24"/>
        </w:rPr>
        <w:t xml:space="preserve">shall be deemed Specialty Alterations, and Tenant shall remove the same on or prior to the Fixed Expiration Date (as the same may be extended) or within thirty (30) days after the earlier termination of this Lease (it being agreed that Landlord shall not be required to give Tenant any further notice of such </w:t>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removal requirement pursuant to </w:t>
      </w:r>
      <w:r>
        <w:rPr>
          <w:rFonts w:ascii="Times New Roman;serif" w:hAnsi="Times New Roman;serif"/>
          <w:b w:val="false"/>
          <w:color w:val="000000"/>
          <w:sz w:val="24"/>
          <w:u w:val="single"/>
        </w:rPr>
        <w:t>Section 6.1(C)</w:t>
      </w:r>
      <w:r>
        <w:rPr>
          <w:color w:val="000000"/>
        </w:rPr>
        <w:t xml:space="preserve"> </w:t>
      </w:r>
      <w:r>
        <w:rPr>
          <w:rFonts w:ascii="Times New Roman;serif" w:hAnsi="Times New Roman;serif"/>
          <w:b w:val="false"/>
          <w:color w:val="000000"/>
          <w:sz w:val="24"/>
        </w:rPr>
        <w:t>hereof). Throughout the Term, Tenant shall maintain Tenant’s signage at its sole cost and expense.</w:t>
      </w:r>
    </w:p>
    <w:p>
      <w:pPr>
        <w:pStyle w:val="TextBody"/>
        <w:bidi w:val="0"/>
        <w:spacing w:lineRule="auto" w:line="288" w:before="0" w:after="120"/>
        <w:ind w:left="0" w:right="0" w:firstLine="2160"/>
        <w:jc w:val="both"/>
        <w:rPr/>
      </w:pPr>
      <w:r>
        <w:rPr>
          <w:rFonts w:ascii="Times New Roman;serif" w:hAnsi="Times New Roman;serif"/>
          <w:b w:val="false"/>
          <w:color w:val="000000"/>
          <w:sz w:val="24"/>
        </w:rPr>
        <w:t xml:space="preserve">(C)    The rights granted to Tenant in this </w:t>
      </w:r>
      <w:r>
        <w:rPr>
          <w:rFonts w:ascii="Times New Roman;serif" w:hAnsi="Times New Roman;serif"/>
          <w:b w:val="false"/>
          <w:color w:val="000000"/>
          <w:sz w:val="24"/>
          <w:u w:val="single"/>
        </w:rPr>
        <w:t>Section 31.2</w:t>
      </w:r>
      <w:r>
        <w:rPr>
          <w:color w:val="000000"/>
        </w:rPr>
        <w:t xml:space="preserve"> </w:t>
      </w:r>
      <w:r>
        <w:rPr>
          <w:rFonts w:ascii="Times New Roman;serif" w:hAnsi="Times New Roman;serif"/>
          <w:b w:val="false"/>
          <w:color w:val="000000"/>
          <w:sz w:val="24"/>
        </w:rPr>
        <w:t>shall be personal to the Tenant named in this Lease (or its Permitted Transferee), and may not be assigned to any other Tenant.</w:t>
      </w:r>
    </w:p>
    <w:p>
      <w:pPr>
        <w:pStyle w:val="TextBody"/>
        <w:bidi w:val="0"/>
        <w:spacing w:lineRule="auto" w:line="556" w:before="120" w:after="283"/>
        <w:jc w:val="center"/>
        <w:rPr/>
      </w:pPr>
      <w:r>
        <w:rPr>
          <w:rFonts w:ascii="Times New Roman;serif" w:hAnsi="Times New Roman;serif"/>
          <w:b w:val="false"/>
          <w:color w:val="000000"/>
          <w:sz w:val="24"/>
        </w:rPr>
        <w:t>ARTICLE 32</w:t>
        <w:br/>
      </w:r>
      <w:r>
        <w:rPr>
          <w:rFonts w:ascii="Times New Roman;serif" w:hAnsi="Times New Roman;serif"/>
          <w:b w:val="false"/>
          <w:color w:val="000000"/>
          <w:sz w:val="24"/>
          <w:u w:val="single"/>
        </w:rPr>
        <w:t>BROKER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32.1.     Landlord represents and warrants to Tenant that Landlord has not dealt with any broker or Person in connection with this Lease other than the Broker(s). Tenant represents and warrants to Landlord that Tenant has not dealt with any broker or Person in connection with this Lease other than the Broker(s). The execution and delivery of this Lease by Tenant shall be conclusive evidence that Tenant acknowledges that Landlord has relied upon the foregoing representation and warranty. Tenant shall indemnify and hold harmless Landlord from and against any and all claims for commission, fee or other compensation by any Person other than the Broker(s) who claims to have dealt with Tenant in connection with this Lease and for any and all costs incurred by Landlord in connection with such claims, including, without limitation, attorneys’ fees and disbursements. This provision shall survive the expiration or earlier termination of this Lease.</w:t>
      </w:r>
    </w:p>
    <w:p>
      <w:pPr>
        <w:pStyle w:val="TextBody"/>
        <w:bidi w:val="0"/>
        <w:spacing w:lineRule="auto" w:line="556" w:before="120" w:after="283"/>
        <w:jc w:val="center"/>
        <w:rPr/>
      </w:pPr>
      <w:r>
        <w:rPr>
          <w:rFonts w:ascii="Times New Roman;serif" w:hAnsi="Times New Roman;serif"/>
          <w:b w:val="false"/>
          <w:color w:val="000000"/>
          <w:sz w:val="24"/>
        </w:rPr>
        <w:t>ARTICLE 33</w:t>
        <w:br/>
      </w:r>
      <w:r>
        <w:rPr>
          <w:rFonts w:ascii="Times New Roman;serif" w:hAnsi="Times New Roman;serif"/>
          <w:b w:val="false"/>
          <w:color w:val="000000"/>
          <w:sz w:val="24"/>
          <w:u w:val="single"/>
        </w:rPr>
        <w:t>INDEMNITY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33.1.     Tenant shall not do or permit any act or thing to be done upon the Premises or the Real Property that may subject any Indemnitee to any liability or responsibility for injury, damage to persons or property or to any liability by reason of the existence or application of, compliance with or violation of any Requirement, but shall exercise such control over the Premises as to protect each Indemnitee fully against any such liability and responsibility. Tenant shall indemnify and save harmless the Indemnitees from and against (a) all claims of whatever nature against the Indemnitees arising from any act, omission or negligence of Tenant or Persons Within Tenant’s Control, (b) all claims against the Indemnitees arising from any accident, injury or damage whatsoever caused to any person or to the property of any person and occurring in or about the Premises during the Term or during Tenant’s occupancy of the Premises, unless and to the extent caused by the act, omission or negligence of Landlord or its principals, officers and employees, (c) all claims against the Indemnitees arising from any accident, injury or damage occurring outside of the Premises but anywhere within or about the Real Property, where such accident, injury or damage results or is claimed to have resulted from an act, omission or negligence of Tenant or Persons Within Tenant’s Control, and (d) any breach, violation or non-performance of any covenant, condition or agreement contained in this Lease to be fulfilled, kept, observed and performed by Tenant. This indemnity and hold harmless agreement shall include indemnity from and against any and all liability, fines, suits, demands, costs and expenses of any kind or nature (including, without limitation, attorneys’ fees and disbursements) incurred in, or in connection with, any such claim or proceeding brought thereon, and the defense thereof, and all collection costs (including, without limitation, attorneys’ </w:t>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fees and disbursements) incurred by Landlord in enforcing this indemnity provision against Tenant.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Section 33.2.     If any claim, action or proceeding is made or brought against any Indemnitee, against which claim, action or proceeding Tenant is obligated to indemnify such Indemnitee pursuant to the terms of this Lease, then, upon demand by the Indemnitee, Tenant, at its sole cost and expense, shall resist or defend such claim, action or proceeding in the Indemnitee’s name, if necessary, by such attorneys as the Indemnitee may select, including, without limitation, attorneys for the Indemnitee’s insurer. The provisions of this </w:t>
      </w:r>
      <w:r>
        <w:rPr>
          <w:rFonts w:ascii="Times New Roman;serif" w:hAnsi="Times New Roman;serif"/>
          <w:b w:val="false"/>
          <w:color w:val="000000"/>
          <w:sz w:val="24"/>
          <w:u w:val="single"/>
        </w:rPr>
        <w:t>Article 33</w:t>
      </w:r>
      <w:r>
        <w:rPr>
          <w:color w:val="000000"/>
        </w:rPr>
        <w:t xml:space="preserve"> </w:t>
      </w:r>
      <w:r>
        <w:rPr>
          <w:rFonts w:ascii="Times New Roman;serif" w:hAnsi="Times New Roman;serif"/>
          <w:b w:val="false"/>
          <w:color w:val="000000"/>
          <w:sz w:val="24"/>
        </w:rPr>
        <w:t>shall survive the expiration or earlier termination of this Lease.</w:t>
      </w:r>
    </w:p>
    <w:p>
      <w:pPr>
        <w:pStyle w:val="TextBody"/>
        <w:bidi w:val="0"/>
        <w:spacing w:lineRule="auto" w:line="556" w:before="120" w:after="283"/>
        <w:jc w:val="center"/>
        <w:rPr/>
      </w:pPr>
      <w:r>
        <w:rPr>
          <w:rFonts w:ascii="Times New Roman;serif" w:hAnsi="Times New Roman;serif"/>
          <w:b w:val="false"/>
          <w:color w:val="000000"/>
          <w:sz w:val="24"/>
        </w:rPr>
        <w:t>ARTICLE 34</w:t>
        <w:br/>
      </w:r>
      <w:r>
        <w:rPr>
          <w:rFonts w:ascii="Times New Roman;serif" w:hAnsi="Times New Roman;serif"/>
          <w:b w:val="false"/>
          <w:color w:val="000000"/>
          <w:sz w:val="24"/>
          <w:u w:val="single"/>
        </w:rPr>
        <w:t>ADJACENT EXCAVATION; SHORING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34.1.     If an excavation shall be made upon land adjacent to the Building, or shall be authorized to be made, Tenant shall, upon reasonable advance notice, afford to the person causing or authorized to cause such excavation, license to enter upon the Premises for the purpose of doing such work as said person shall deem necessary to preserve the walls of the Building from injury or damage and to support the same by proper foundations without any claim for eviction or constructive eviction, damages or indemnity against Landlord, or diminution or abatement of Rental, provided that Tenant continues to have access to the Premises.</w:t>
      </w:r>
    </w:p>
    <w:p>
      <w:pPr>
        <w:pStyle w:val="TextBody"/>
        <w:bidi w:val="0"/>
        <w:spacing w:lineRule="auto" w:line="556" w:before="0" w:after="120"/>
        <w:jc w:val="center"/>
        <w:rPr/>
      </w:pPr>
      <w:r>
        <w:rPr>
          <w:rFonts w:ascii="Times New Roman;serif" w:hAnsi="Times New Roman;serif"/>
          <w:b w:val="false"/>
          <w:color w:val="000000"/>
          <w:sz w:val="24"/>
        </w:rPr>
        <w:t>ARTICLE 35</w:t>
        <w:br/>
      </w:r>
      <w:r>
        <w:rPr>
          <w:rFonts w:ascii="Times New Roman;serif" w:hAnsi="Times New Roman;serif"/>
          <w:b w:val="false"/>
          <w:color w:val="000000"/>
          <w:sz w:val="24"/>
          <w:u w:val="single"/>
        </w:rPr>
        <w:t>SECURITY DEPOSIT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Section 35.1.     Tenant shall deposit with Landlord, on or prior to January 1, 2030 (with time being of the essence), the Security Deposit by Letter of Credit (as defined and further described in </w:t>
      </w:r>
      <w:r>
        <w:rPr>
          <w:rFonts w:ascii="Times New Roman;serif" w:hAnsi="Times New Roman;serif"/>
          <w:b w:val="false"/>
          <w:color w:val="000000"/>
          <w:sz w:val="24"/>
          <w:u w:val="single"/>
        </w:rPr>
        <w:t>Section 35.2)</w:t>
      </w:r>
      <w:r>
        <w:rPr>
          <w:rFonts w:ascii="Times New Roman;serif" w:hAnsi="Times New Roman;serif"/>
          <w:b w:val="false"/>
          <w:color w:val="000000"/>
          <w:sz w:val="24"/>
        </w:rPr>
        <w:t xml:space="preserve">, as security for the faithful performance and observance by Tenant of the terms, provisions and conditions of this Lease. Tenant agrees that in the event (i) of the occurrence of an Event of Default or (ii) Tenant has defaulted in the performance of any of its obligations under this Lease, including the payment of any item of Rental, and the transmittal of a Notice of default by Landlord is barred by applicable law, Landlord may draw the entire amount of the Letter of Credit and use, apply or retain the whole or any part of such proceeds, to the extent required for the payment of any Fixed Rent, Escalation Rent, or any other sum as to which Tenant is in default, or for any sum that Landlord may expend or may be required to expend by reason of the default (including any damages or deficiency accrued before or after summary proceedings or other re-entry by Landlord). In addition, Landlord may make multiple partial draws upon the Letter of Credit. If Landlord applies or retains any portion or all of the proceeds of the Letter of Credit, Tenant shall forthwith restore the amount so applied or retained by delivering an additional or new Letter of Credit so that, at all times, the amount of the Security Deposit shall be the amount set forth on the Reference Page (subject to </w:t>
      </w:r>
      <w:r>
        <w:rPr>
          <w:rFonts w:ascii="Times New Roman;serif" w:hAnsi="Times New Roman;serif"/>
          <w:b w:val="false"/>
          <w:color w:val="000000"/>
          <w:sz w:val="24"/>
          <w:u w:val="single"/>
        </w:rPr>
        <w:t>Section 35.6</w:t>
      </w:r>
      <w:r>
        <w:rPr>
          <w:rFonts w:ascii="Times New Roman;serif" w:hAnsi="Times New Roman;serif"/>
          <w:b w:val="false"/>
          <w:color w:val="000000"/>
          <w:sz w:val="24"/>
        </w:rPr>
        <w:t xml:space="preserve">). Tenant’s failure to restore the amount so applied or retained within ten (10) Business Days after Landlord has drawn upon the Letter of Credit shall constitute an Event of Default under this Lease. Provided there is no uncured default, any balance of the proceeds of the Letter of Credit held by Landlord and not used, applied or retained by Landlord as above provided, and any </w:t>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remaining Letter of Credit, shall be returned to Tenant promptly after the Expiration Date and after delivery of possession of the entire Premises to Landlord in accordance with the terms of this Lease.</w:t>
      </w:r>
    </w:p>
    <w:p>
      <w:pPr>
        <w:pStyle w:val="TextBody"/>
        <w:bidi w:val="0"/>
        <w:spacing w:lineRule="auto" w:line="288" w:before="0" w:after="120"/>
        <w:ind w:left="0" w:right="0" w:firstLine="720"/>
        <w:jc w:val="both"/>
        <w:rPr/>
      </w:pPr>
      <w:r>
        <w:rPr>
          <w:rFonts w:ascii="Times New Roman;serif" w:hAnsi="Times New Roman;serif"/>
          <w:b w:val="false"/>
          <w:color w:val="000000"/>
          <w:sz w:val="24"/>
        </w:rPr>
        <w:t>Section 35.2.     Tenant shall deliver to Landlord a clean, irrevocable and unconditional letter of credit (such letter of credit, and any replacement thereof as provided herein, is called a “</w:t>
      </w:r>
      <w:r>
        <w:rPr>
          <w:rFonts w:ascii="Times New Roman;serif" w:hAnsi="Times New Roman;serif"/>
          <w:b w:val="false"/>
          <w:color w:val="000000"/>
          <w:sz w:val="24"/>
          <w:u w:val="single"/>
        </w:rPr>
        <w:t>Letter of Credit</w:t>
      </w:r>
      <w:r>
        <w:rPr>
          <w:color w:val="000000"/>
        </w:rPr>
        <w:t>”</w:t>
      </w:r>
      <w:r>
        <w:rPr>
          <w:rFonts w:ascii="Times New Roman;serif" w:hAnsi="Times New Roman;serif"/>
          <w:b w:val="false"/>
          <w:color w:val="000000"/>
          <w:sz w:val="24"/>
        </w:rPr>
        <w:t>) issued and drawn upon any commercial bank reasonably approved by Landlord with offices for banking purposes in the City of New York (“</w:t>
      </w:r>
      <w:r>
        <w:rPr>
          <w:rFonts w:ascii="Times New Roman;serif" w:hAnsi="Times New Roman;serif"/>
          <w:b w:val="false"/>
          <w:color w:val="000000"/>
          <w:sz w:val="24"/>
          <w:u w:val="single"/>
        </w:rPr>
        <w:t>Issuing Bank</w:t>
      </w:r>
      <w:r>
        <w:rPr>
          <w:color w:val="000000"/>
        </w:rPr>
        <w:t>”</w:t>
      </w:r>
      <w:r>
        <w:rPr>
          <w:rFonts w:ascii="Times New Roman;serif" w:hAnsi="Times New Roman;serif"/>
          <w:b w:val="false"/>
          <w:color w:val="000000"/>
          <w:sz w:val="24"/>
        </w:rPr>
        <w:t xml:space="preserve">), which Letter of Credit shall have a term of not less than one (1) year, be in form and content reasonably satisfactory to Landlord, be for the account of Landlord and be in the amount of the Security Deposit set forth on the Reference Page (subject to </w:t>
      </w:r>
      <w:r>
        <w:rPr>
          <w:rFonts w:ascii="Times New Roman;serif" w:hAnsi="Times New Roman;serif"/>
          <w:b w:val="false"/>
          <w:color w:val="000000"/>
          <w:sz w:val="24"/>
          <w:u w:val="single"/>
        </w:rPr>
        <w:t>Section 35.6</w:t>
      </w:r>
      <w:r>
        <w:rPr>
          <w:rFonts w:ascii="Times New Roman;serif" w:hAnsi="Times New Roman;serif"/>
          <w:b w:val="false"/>
          <w:color w:val="000000"/>
          <w:sz w:val="24"/>
        </w:rPr>
        <w:t>). The Letter of Credit shall provide that:</w:t>
      </w:r>
    </w:p>
    <w:p>
      <w:pPr>
        <w:pStyle w:val="TextBody"/>
        <w:bidi w:val="0"/>
        <w:spacing w:lineRule="auto" w:line="288" w:before="0" w:after="12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The Issuing Bank shall pay to Landlord or its duly authorized representative an amount up to the face amount of the Letter of Credit upon presentation of the Letter of Credit and a sight draft in the amount to be drawn;</w:t>
      </w:r>
    </w:p>
    <w:p>
      <w:pPr>
        <w:pStyle w:val="TextBody"/>
        <w:bidi w:val="0"/>
        <w:spacing w:lineRule="auto" w:line="288" w:before="0" w:after="120"/>
        <w:ind w:left="0" w:right="0" w:firstLine="2160"/>
        <w:jc w:val="both"/>
        <w:rPr/>
      </w:pPr>
      <w:r>
        <w:rPr>
          <w:rFonts w:ascii="Times New Roman;serif" w:hAnsi="Times New Roman;serif"/>
          <w:b w:val="false"/>
          <w:color w:val="000000"/>
          <w:sz w:val="24"/>
        </w:rPr>
        <w:t>(2)     The Letter of Credit shall be deemed to be automatically renewed, without amendment, for consecutive periods of one (1) year each during the Term, unless the Issuing Bank sends written notice (the “</w:t>
      </w:r>
      <w:r>
        <w:rPr>
          <w:rFonts w:ascii="Times New Roman;serif" w:hAnsi="Times New Roman;serif"/>
          <w:b w:val="false"/>
          <w:color w:val="000000"/>
          <w:sz w:val="24"/>
          <w:u w:val="single"/>
        </w:rPr>
        <w:t>Non-Renewal Notice</w:t>
      </w:r>
      <w:r>
        <w:rPr>
          <w:color w:val="000000"/>
        </w:rPr>
        <w:t>”</w:t>
      </w:r>
      <w:r>
        <w:rPr>
          <w:rFonts w:ascii="Times New Roman;serif" w:hAnsi="Times New Roman;serif"/>
          <w:b w:val="false"/>
          <w:color w:val="000000"/>
          <w:sz w:val="24"/>
        </w:rPr>
        <w:t>) to Landlord by certified or registered mail, return receipt requested, at least sixty (60) days prior to the expiration date of the Letter of Credit, to the effect that it elects not to have such Letter of Credit renewed;</w:t>
      </w:r>
    </w:p>
    <w:p>
      <w:pPr>
        <w:pStyle w:val="TextBody"/>
        <w:bidi w:val="0"/>
        <w:spacing w:lineRule="auto" w:line="288" w:before="0" w:after="12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(3)     The Letter of Credit delivered in respect of the last year of the Term shall have an expiration date of not earlier than sixty (60) days after the Fixed Expiration Date; and</w:t>
      </w:r>
    </w:p>
    <w:p>
      <w:pPr>
        <w:pStyle w:val="TextBody"/>
        <w:bidi w:val="0"/>
        <w:spacing w:lineRule="auto" w:line="288" w:before="0" w:after="120"/>
        <w:ind w:left="0" w:right="0" w:firstLine="2160"/>
        <w:jc w:val="both"/>
        <w:rPr/>
      </w:pPr>
      <w:r>
        <w:rPr>
          <w:rFonts w:ascii="Times New Roman;serif" w:hAnsi="Times New Roman;serif"/>
          <w:b w:val="false"/>
          <w:color w:val="000000"/>
          <w:sz w:val="24"/>
        </w:rPr>
        <w:t xml:space="preserve">(4)     The Letter of Credit shall be transferable by Landlord as provided in </w:t>
      </w:r>
      <w:r>
        <w:rPr>
          <w:rFonts w:ascii="Times New Roman;serif" w:hAnsi="Times New Roman;serif"/>
          <w:b w:val="false"/>
          <w:color w:val="000000"/>
          <w:sz w:val="24"/>
          <w:u w:val="single"/>
        </w:rPr>
        <w:t>Section 35.4</w:t>
      </w:r>
      <w:r>
        <w:rPr>
          <w:rFonts w:ascii="Times New Roman;serif" w:hAnsi="Times New Roman;serif"/>
          <w:b w:val="false"/>
          <w:color w:val="000000"/>
          <w:sz w:val="24"/>
        </w:rPr>
        <w:t>.</w:t>
      </w:r>
    </w:p>
    <w:p>
      <w:pPr>
        <w:pStyle w:val="TextBody"/>
        <w:bidi w:val="0"/>
        <w:spacing w:lineRule="auto" w:line="288" w:before="0" w:after="120"/>
        <w:jc w:val="both"/>
        <w:rPr/>
      </w:pPr>
      <w:r>
        <w:rPr>
          <w:rFonts w:ascii="Times New Roman;serif" w:hAnsi="Times New Roman;serif"/>
          <w:b w:val="false"/>
          <w:color w:val="000000"/>
          <w:sz w:val="24"/>
        </w:rPr>
        <w:t>The Issuing Bank shall have combined capital, surplus and undivided profits of at least $500 million, a financial strength rating of at least “B”, and a long-term bank deposit rating of at least “Aa”, as published by Moody’s Investors Services, Inc., or its successor (collectively, the “</w:t>
      </w:r>
      <w:r>
        <w:rPr>
          <w:rFonts w:ascii="Times New Roman;serif" w:hAnsi="Times New Roman;serif"/>
          <w:b w:val="false"/>
          <w:color w:val="000000"/>
          <w:sz w:val="24"/>
          <w:u w:val="single"/>
        </w:rPr>
        <w:t>Issuing Bank Criteria</w:t>
      </w:r>
      <w:r>
        <w:rPr>
          <w:color w:val="000000"/>
        </w:rPr>
        <w:t>”</w:t>
      </w:r>
      <w:r>
        <w:rPr>
          <w:rFonts w:ascii="Times New Roman;serif" w:hAnsi="Times New Roman;serif"/>
          <w:b w:val="false"/>
          <w:color w:val="000000"/>
          <w:sz w:val="24"/>
        </w:rPr>
        <w:t xml:space="preserve">). If at any time during the Term, the Issuing Bank does not maintain the Issuing Bank Criteria, then Landlord may so notify Tenant and, unless Tenant delivers a replacement Letter of Credit from another commercial bank reasonably approved by Landlord meeting the Issuing Bank Criteria within thirty (30) days after receipt of such notice, Landlord may draw the full amount of the Letter of Credit and hold the proceeds in a cash security deposit in accordance with this </w:t>
      </w:r>
      <w:r>
        <w:rPr>
          <w:rFonts w:ascii="Times New Roman;serif" w:hAnsi="Times New Roman;serif"/>
          <w:b w:val="false"/>
          <w:color w:val="000000"/>
          <w:sz w:val="24"/>
          <w:u w:val="single"/>
        </w:rPr>
        <w:t>Article 35</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35.3.     Landlord, after receipt of the Non-Renewal Notice, shall have the right to draw the entire amount of the Letter of Credit and to hold the proceeds as a cash Security Deposit. Landlord shall release such proceeds to Tenant upon delivery to Landlord of a replacement Letter of Credit complying with the terms hereof.</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35.4.     In the event of the sale or lease of the Building or the Real Property, Landlord shall have the right to transfer the Security Deposit, without charge for such transfer, to the purchaser or lessee, and Landlord shall thereupon be released by Tenant from all liability for the return of such Security Deposit. In such event, Tenant agrees to look solely to the new Landlord for the return of said Security Deposit. It is agreed that the provisions hereof shall apply to every transfer or assignment made of the Security Deposit to a new Landlord. Tenant </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shall execute such documents as may be necessary to accomplish such transfer or assignment of the Letter of Credit.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35.5.     Tenant covenants that it will not assign or encumber, or attempt to assign or encumber, the Security Deposit held hereunder, and that neither Landlord nor its successors or assigns shall be bound by any such assignment, encumbrance, attempted assignment, or attempted encumbrance. In the event that any bankruptcy, insolvency, reorganization or other debtor-creditor proceedings shall be instituted by or against Tenant, its successors or assigns, or any guarantor of Tenant hereunder, the security shall be deemed to be applied to the payment of the Fixed Rent and Additional Rent due Landlord for periods prior to the institution of such proceedings and the balance, if any, may be retained by Landlord in partial satisfaction of Landlord’s damages.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Section 35.6.     Provided that Tenant shall not then be in default of any of its obligations under this Lease, Tenant may reduce the Security Deposit by the sum of $766,133.35 (to $1,149,200.00) on or after the fifth (5th) anniversary of the Rent Commencement Date, by delivering to Landlord an amendment to the Letter of Credit evidencing the reduction (which Landlord shall promptly countersign if required by the Issuing Bank) or by exchanging a Letter of Credit in compliance with the terms of this </w:t>
      </w:r>
      <w:r>
        <w:rPr>
          <w:rFonts w:ascii="Times New Roman;serif" w:hAnsi="Times New Roman;serif"/>
          <w:b w:val="false"/>
          <w:color w:val="000000"/>
          <w:sz w:val="24"/>
          <w:u w:val="single"/>
        </w:rPr>
        <w:t>Article 35</w:t>
      </w:r>
      <w:r>
        <w:rPr>
          <w:color w:val="000000"/>
        </w:rPr>
        <w:t xml:space="preserve"> </w:t>
      </w:r>
      <w:r>
        <w:rPr>
          <w:rFonts w:ascii="Times New Roman;serif" w:hAnsi="Times New Roman;serif"/>
          <w:b w:val="false"/>
          <w:color w:val="000000"/>
          <w:sz w:val="24"/>
        </w:rPr>
        <w:t>in the reduced amount with the original Letter of Credit. In no event shall there be a further reduction in the amount of the Security Deposit.</w:t>
      </w:r>
    </w:p>
    <w:p>
      <w:pPr>
        <w:pStyle w:val="TextBody"/>
        <w:bidi w:val="0"/>
        <w:spacing w:lineRule="auto" w:line="556" w:before="120" w:after="283"/>
        <w:jc w:val="center"/>
        <w:rPr/>
      </w:pPr>
      <w:r>
        <w:rPr>
          <w:rFonts w:ascii="Times New Roman;serif" w:hAnsi="Times New Roman;serif"/>
          <w:b w:val="false"/>
          <w:color w:val="000000"/>
          <w:sz w:val="24"/>
        </w:rPr>
        <w:t>ARTICLE 36</w:t>
        <w:br/>
      </w:r>
      <w:r>
        <w:rPr>
          <w:rFonts w:ascii="Times New Roman;serif" w:hAnsi="Times New Roman;serif"/>
          <w:b w:val="false"/>
          <w:color w:val="000000"/>
          <w:sz w:val="24"/>
          <w:u w:val="single"/>
        </w:rPr>
        <w:t>RENT REGULATION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36.1.     If at any time or times during the Term of this Lease, the Rental reserved in this Lease is not fully collectible by reason of any Requirement, Tenant shall enter into such agreements and take such other steps (without additional expense to Tenant) as Landlord may request and as may be legally permissible to permit Landlord to collect the maximum rents that may from time to time during the continuance of such legal rent restriction be legally permissible (and not in excess of the amounts reserved under this Lease). Upon the termination of such legal rent restriction: (a) the Rental shall become and thereafter be payable hereunder in accordance with the amounts reserved in this Lease for the remainder of the Term, and (b) Tenant shall pay to Landlord, if legally permissible, an amount equal to (i) the items of Rental that would have been paid pursuant to this Lease but for such legal rent restriction less (ii) the rents paid by Tenant to Landlord during the period or periods such legal rent restriction was in effect. This provision shall survive the expiration or earlier termination of this Lease to the maximum enforceable extent.</w:t>
      </w:r>
    </w:p>
    <w:p>
      <w:pPr>
        <w:pStyle w:val="TextBody"/>
        <w:bidi w:val="0"/>
        <w:spacing w:lineRule="auto" w:line="556" w:before="120" w:after="283"/>
        <w:jc w:val="center"/>
        <w:rPr/>
      </w:pPr>
      <w:r>
        <w:rPr>
          <w:rFonts w:ascii="Times New Roman;serif" w:hAnsi="Times New Roman;serif"/>
          <w:b w:val="false"/>
          <w:color w:val="000000"/>
          <w:sz w:val="24"/>
        </w:rPr>
        <w:t>ARTICLE 37</w:t>
        <w:br/>
      </w:r>
      <w:r>
        <w:rPr>
          <w:rFonts w:ascii="Times New Roman;serif" w:hAnsi="Times New Roman;serif"/>
          <w:b w:val="false"/>
          <w:color w:val="000000"/>
          <w:sz w:val="24"/>
          <w:u w:val="single"/>
        </w:rPr>
        <w:t>COVENANT OF QUIET ENJOYMENT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37.1.     Landlord covenants that, upon Tenant paying the Fixed Rent and Additional Rent and observing and performing all the terms, agreements, covenants, provisions and conditions of this Lease on Tenant’s part to be observed and performed, Tenant may peaceably and quietly enjoy the Premises, subject nevertheless to the terms and conditions of this Lease, and provided, however, that no eviction of Tenant by reason of the foreclosure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Mortgage now or hereafter affecting the Premises or by reason of any termination of any Superior Lease to which this Lease is subject and subordinate, whether such termination is effected by operation of law, by agreement or otherwise, shall be construed as a breach of this covenant nor shall any action by reason thereof be brought against Landlord, and provided further that this covenant shall bind and be enforceable against Landlord or any successor to Landlord’s interest, subject to the terms hereof, only so long as Landlord or any successor to Landlord’s interest, is in possession and is collecting rent from Tenant but not thereafter.</w:t>
      </w:r>
    </w:p>
    <w:p>
      <w:pPr>
        <w:pStyle w:val="TextBody"/>
        <w:bidi w:val="0"/>
        <w:spacing w:lineRule="auto" w:line="556" w:before="120" w:after="283"/>
        <w:jc w:val="center"/>
        <w:rPr/>
      </w:pPr>
      <w:r>
        <w:rPr>
          <w:rFonts w:ascii="Times New Roman;serif" w:hAnsi="Times New Roman;serif"/>
          <w:b w:val="false"/>
          <w:color w:val="000000"/>
          <w:sz w:val="24"/>
        </w:rPr>
        <w:t>ARTICLE 38</w:t>
        <w:br/>
      </w:r>
      <w:r>
        <w:rPr>
          <w:rFonts w:ascii="Times New Roman;serif" w:hAnsi="Times New Roman;serif"/>
          <w:b w:val="false"/>
          <w:color w:val="000000"/>
          <w:sz w:val="24"/>
          <w:u w:val="single"/>
        </w:rPr>
        <w:t>INTENTIONALLY OMITTED</w:t>
      </w:r>
    </w:p>
    <w:p>
      <w:pPr>
        <w:pStyle w:val="TextBody"/>
        <w:bidi w:val="0"/>
        <w:spacing w:lineRule="auto" w:line="556" w:before="120" w:after="283"/>
        <w:jc w:val="center"/>
        <w:rPr/>
      </w:pPr>
      <w:r>
        <w:rPr>
          <w:rFonts w:ascii="Times New Roman;serif" w:hAnsi="Times New Roman;serif"/>
          <w:b w:val="false"/>
          <w:color w:val="000000"/>
          <w:sz w:val="24"/>
        </w:rPr>
        <w:t>ARTICLE 39</w:t>
        <w:br/>
      </w:r>
      <w:r>
        <w:rPr>
          <w:rFonts w:ascii="Times New Roman;serif" w:hAnsi="Times New Roman;serif"/>
          <w:b w:val="false"/>
          <w:color w:val="000000"/>
          <w:sz w:val="24"/>
          <w:u w:val="single"/>
        </w:rPr>
        <w:t>BANKRUPTCY</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Section 39.1.     If a petition is filed by or against Tenant under the United States Bankruptcy Code, and without in any way derogating, limiting, invalidating or diminishing the provisions and restrictions contained in </w:t>
      </w:r>
      <w:r>
        <w:rPr>
          <w:rFonts w:ascii="Times New Roman;serif" w:hAnsi="Times New Roman;serif"/>
          <w:b w:val="false"/>
          <w:color w:val="000000"/>
          <w:sz w:val="24"/>
          <w:u w:val="single"/>
        </w:rPr>
        <w:t>Article 15</w:t>
      </w:r>
      <w:r>
        <w:rPr>
          <w:color w:val="000000"/>
        </w:rPr>
        <w:t xml:space="preserve"> </w:t>
      </w:r>
      <w:r>
        <w:rPr>
          <w:rFonts w:ascii="Times New Roman;serif" w:hAnsi="Times New Roman;serif"/>
          <w:b w:val="false"/>
          <w:color w:val="000000"/>
          <w:sz w:val="24"/>
        </w:rPr>
        <w:t>of this Lease, if Tenant under the authority of the Bankruptcy Code and Court seeks to assume or assign this Lease:</w:t>
      </w:r>
    </w:p>
    <w:p>
      <w:pPr>
        <w:pStyle w:val="TextBody"/>
        <w:bidi w:val="0"/>
        <w:spacing w:lineRule="auto" w:line="288" w:before="0" w:after="120"/>
        <w:ind w:left="0" w:right="0" w:firstLine="1440"/>
        <w:jc w:val="both"/>
        <w:rPr/>
      </w:pPr>
      <w:r>
        <w:rPr>
          <w:rFonts w:ascii="Times New Roman;serif" w:hAnsi="Times New Roman;serif"/>
          <w:b w:val="false"/>
          <w:color w:val="000000"/>
          <w:sz w:val="24"/>
        </w:rPr>
        <w:t xml:space="preserve">(A)     in connection with said assumption, Tenant shall provide adequate assurance of its ability to perform and complete all of its obligations under this Lease in a timely fashion, with TIME BEING OF THE ESSENCE in respect of said performance. The parties hereto agree that adequate assurance shall include, at a minimum, the adequate assurance set forth in this </w:t>
      </w:r>
      <w:r>
        <w:rPr>
          <w:rFonts w:ascii="Times New Roman;serif" w:hAnsi="Times New Roman;serif"/>
          <w:b w:val="false"/>
          <w:color w:val="000000"/>
          <w:sz w:val="24"/>
          <w:u w:val="single"/>
        </w:rPr>
        <w:t>Article 39</w:t>
      </w:r>
      <w:r>
        <w:rPr>
          <w:rFonts w:ascii="Times New Roman;serif" w:hAnsi="Times New Roman;serif"/>
          <w:b w:val="false"/>
          <w:color w:val="000000"/>
          <w:sz w:val="24"/>
        </w:rPr>
        <w:t>, which Tenant acknowledges and agrees is commercially reasonable.</w:t>
      </w:r>
    </w:p>
    <w:p>
      <w:pPr>
        <w:pStyle w:val="TextBody"/>
        <w:bidi w:val="0"/>
        <w:spacing w:lineRule="auto" w:line="288"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no election by Tenant to assume this Lease shall be effective unless each of the following conditions, which Landlord and Tenant acknowledge are commercially reasonable, have been satisfied, and Tenant has acknowledged in writing that: (i) Tenant has cured, or has provided Landlord adequate assurance (as defined below) that within ten (10) days from the date of such assumption Tenant will cure all monetary defaults under this Lease and within thirty (30) days from the date of such assumption Tenant will cure all non-monetary defaults under this Lease; (ii) Tenant has compensated, or has provided to Landlord adequate assurance that within ten (10) days from the date of assumption, Landlord will be compensated for any pecuniary loss incurred by Landlord arising from the default of Tenant as recited in Landlord’s written statement of pecuniary loss sent to Tenant; (iii) Tenant has provided Landlord with adequate assurance of the future performance (as defined below) of each of Tenant’s obligations under this Lease, but in any event Tenant shall provide Landlord with, and shall replenish and/or renew any then existing Security Deposit; and (iv) Tenant shall have provided Landlord at least thirty (30) days prior written notice of any proceeding concerning the assumption of this Lease.</w:t>
      </w:r>
    </w:p>
    <w:p>
      <w:pPr>
        <w:pStyle w:val="TextBody"/>
        <w:bidi w:val="0"/>
        <w:spacing w:lineRule="auto" w:line="288" w:before="0" w:after="120"/>
        <w:ind w:left="0" w:right="0" w:firstLine="1440"/>
        <w:jc w:val="both"/>
        <w:rPr/>
      </w:pPr>
      <w:r>
        <w:rPr>
          <w:rFonts w:ascii="Times New Roman;serif" w:hAnsi="Times New Roman;serif"/>
          <w:b w:val="false"/>
          <w:color w:val="000000"/>
          <w:sz w:val="24"/>
        </w:rPr>
        <w:t xml:space="preserve">(C)     for purposes of this </w:t>
      </w:r>
      <w:r>
        <w:rPr>
          <w:rFonts w:ascii="Times New Roman;serif" w:hAnsi="Times New Roman;serif"/>
          <w:b w:val="false"/>
          <w:color w:val="000000"/>
          <w:sz w:val="24"/>
          <w:u w:val="single"/>
        </w:rPr>
        <w:t>Section 39.1</w:t>
      </w:r>
      <w:r>
        <w:rPr>
          <w:rFonts w:ascii="Times New Roman;serif" w:hAnsi="Times New Roman;serif"/>
          <w:b w:val="false"/>
          <w:color w:val="000000"/>
          <w:sz w:val="24"/>
        </w:rPr>
        <w:t xml:space="preserve">, Landlord and Tenant acknowledge that “adequate assurance” and “adequate assurance of future performance” shall mean that the Bankruptcy Court shall have entered a final order authorizing the posting, renewal or replenishment of a letter of credit, cash or other collateral to secure Tenant’s obligation to </w:t>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Landlord to cure all monetary and/or non-monetary defaults under this Lease within the time periods set forth above.</w:t>
      </w:r>
    </w:p>
    <w:p>
      <w:pPr>
        <w:pStyle w:val="TextBody"/>
        <w:bidi w:val="0"/>
        <w:spacing w:lineRule="auto" w:line="288" w:before="0" w:after="120"/>
        <w:ind w:left="0" w:right="0" w:firstLine="1440"/>
        <w:jc w:val="both"/>
        <w:rPr/>
      </w:pPr>
      <w:r>
        <w:rPr>
          <w:rFonts w:ascii="Times New Roman;serif" w:hAnsi="Times New Roman;serif"/>
          <w:b w:val="false"/>
          <w:color w:val="000000"/>
          <w:sz w:val="24"/>
        </w:rPr>
        <w:t xml:space="preserve">(D)     in addition to satisfying the terms and conditions of </w:t>
      </w:r>
      <w:r>
        <w:rPr>
          <w:rFonts w:ascii="Times New Roman;serif" w:hAnsi="Times New Roman;serif"/>
          <w:b w:val="false"/>
          <w:color w:val="000000"/>
          <w:sz w:val="24"/>
          <w:u w:val="single"/>
        </w:rPr>
        <w:t>Section 39.1(A)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39.1(B)</w:t>
      </w:r>
      <w:r>
        <w:rPr>
          <w:rFonts w:ascii="Times New Roman;serif" w:hAnsi="Times New Roman;serif"/>
          <w:b w:val="false"/>
          <w:color w:val="000000"/>
          <w:sz w:val="24"/>
        </w:rPr>
        <w:t xml:space="preserve">, Tenant shall give notice to Landlord of any proposed assignment setting forth (1) the name and address of the proposed assignee and (2) all of the terms and conditions of the offer and proposed assignment. Tenant shall also deliver to Landlord a statement confirming that the assignee will continue to use the Premises for the Permitted Use. Landlord and Tenant acknowledge that Landlord’s asset will be substantially impaired if the trustee in bankruptcy, debtor or debtor in possession or any assignee of Tenant’s interest in this Lease makes any use of the Premises other than the Permitted Use. Adequate assurance of future performance of the Lease shall be furnished by the proposed assignee, no later than fifteen (15) days after Tenant has made or received such offer, but in no event later than ten (10) days prior to the date on which Tenant applies to a court of competent jurisdiction for authority and approval to effect the proposed assignment. The description of the adequate assurance of future performance of the proposed assignee in such notice shall include such financial and other information as is necessary to demonstrate that the financial condition and operating performance experience of the proposed assignee and its guarantors, if any, is sufficient to perform in such a manner as to meet and satisfy all obligations under this Lease in a timely fashion, and shall be satisfactory to Landlord in all other respects. Landlord shall have the prior right and option, to be exercised by notice to Tenant given at any time prior to the date on which the court order authorizing such assignment becomes a final order, to accept an assignment of this Lease upon the same terms and conditions, and for the same consideration, if any, as the proposed assignee, less any brokerage commissions which may otherwise be payable out of the consideration to be paid by the proposed assignee for the assignment of this Lease. If this Lease is assigned pursuant to the provisions of the Bankruptcy Code, “adequate assurance of future performance,” shall require from the assignee a deposit or posting of a letter of credit in form and substance reasonably satisfactory to Landlord for the performance of its obligations under this Lease in the same amount as required by </w:t>
      </w:r>
      <w:r>
        <w:rPr>
          <w:rFonts w:ascii="Times New Roman;serif" w:hAnsi="Times New Roman;serif"/>
          <w:b w:val="false"/>
          <w:color w:val="000000"/>
          <w:sz w:val="24"/>
          <w:u w:val="single"/>
        </w:rPr>
        <w:t>Section 39.1(B)</w:t>
      </w:r>
      <w:r>
        <w:rPr>
          <w:rFonts w:ascii="Times New Roman;serif" w:hAnsi="Times New Roman;serif"/>
          <w:b w:val="false"/>
          <w:color w:val="000000"/>
          <w:sz w:val="24"/>
        </w:rPr>
        <w:t>. Any person or entity to whom this Lease is assigned pursuant to the provisions of the Bankruptcy Code shall be deemed without further act or documentation to have assumed all of Tenant’s obligations arising under this Lease on and after the date of such assignment. Any such assignee shall, upon demand, execute and deliver to Landlord an instrument confirming such assumption. No provision of this Lease shall be deemed a waiver of Landlord’s rights or remedies under the Bankruptcy Code to oppose any assumption and/or assignment of this Lease, to require timely performance of Tenant’s obligations under this Lease, or to regain possession of the Premises.</w:t>
      </w:r>
    </w:p>
    <w:p>
      <w:pPr>
        <w:pStyle w:val="TextBody"/>
        <w:bidi w:val="0"/>
        <w:spacing w:lineRule="auto" w:line="288"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notwithstanding anything in this Lease to the contrary, all amounts payable by Tenant to or on behalf of Landlord under this Lease, whether or not expressly denominated as such, shall constitute “rent” for the purposes of Section 502(b)(6) of the Bankruptcy Code.</w:t>
      </w:r>
    </w:p>
    <w:p>
      <w:pPr>
        <w:pStyle w:val="TextBody"/>
        <w:bidi w:val="0"/>
        <w:spacing w:lineRule="auto" w:line="556" w:before="120" w:after="283"/>
        <w:jc w:val="center"/>
        <w:rPr/>
      </w:pPr>
      <w:r>
        <w:rPr>
          <w:rFonts w:ascii="Times New Roman;serif" w:hAnsi="Times New Roman;serif"/>
          <w:b w:val="false"/>
          <w:color w:val="000000"/>
          <w:sz w:val="24"/>
        </w:rPr>
        <w:t>ARTICLE 40</w:t>
        <w:br/>
      </w:r>
      <w:r>
        <w:rPr>
          <w:rFonts w:ascii="Times New Roman;serif" w:hAnsi="Times New Roman;serif"/>
          <w:b w:val="false"/>
          <w:color w:val="000000"/>
          <w:sz w:val="24"/>
          <w:u w:val="single"/>
        </w:rPr>
        <w:t>MISCELLANEOUS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40.1.     This Lease is presented for signature by Tenant and it is understood that this Lease shall not constitute an offer by or be binding upon Landlord unless and until Landlord </w:t>
      </w: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have executed and delivered a fully executed copy of this Lease to Tenant. This Lease may be executed in one or more counterparts, each of which shall be deemed an original, but all of which when taken together will constitute one and the same instrument. The signature page of any counterpart of this Lease may be detached therefrom without impairing the legal effect of the signature(s) thereon provided such signature page is attached to any other counterpart of this Lease identical thereto except having an additional signature page executed by the other party to this Lease attached thereto. Any counterpart of this Lease may be delivered via facsimile, email or other electronic transmission, and shall be legally binding upon the parties hereto to the same extent as originals.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40.2.     The obligations of Landlord under this Lease shall not be binding upon Landlord named herein after the sale, conveyance, assignment or transfer by such Landlord (or upon any subsequent landlord after the sale, conveyance, assignment or transfer by such subsequent landlord) of its interest in the Building or the Real Property, as the case may be, and in the event of any such sale, conveyance, assignment or transfer, Landlord shall be and hereby is entirely freed and relieved of all covenants and obligations of Landlord under this Lease thereafter arising, and the transferee shall be deemed to have assumed, subject to the remaining provisions of this </w:t>
      </w:r>
      <w:r>
        <w:rPr>
          <w:rFonts w:ascii="Times New Roman;serif" w:hAnsi="Times New Roman;serif"/>
          <w:b w:val="false"/>
          <w:color w:val="000000"/>
          <w:sz w:val="24"/>
          <w:u w:val="single"/>
        </w:rPr>
        <w:t>Section 40.2</w:t>
      </w:r>
      <w:r>
        <w:rPr>
          <w:rFonts w:ascii="Times New Roman;serif" w:hAnsi="Times New Roman;serif"/>
          <w:b w:val="false"/>
          <w:color w:val="000000"/>
          <w:sz w:val="24"/>
        </w:rPr>
        <w:t>, all obligations of the Landlord under this Lease arising after the effective date of the transfer. No trustee, partner, shareholder, director or officer of Landlord, or of any partner or shareholder of Landlord (collectively,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 shall have any direct or personal liability for the performance of Landlord’s obligations under this Lease, and Tenant shall look solely to Landlord’s interest in the Real Property to enforce Landlord’s obligations hereunder and shall not otherwise seek any damages against Landlord personally or any of the Parties whatsoever. Tenant shall not look to any other property or assets of Landlord or any property or assets of any of the Parties in seeking either to enforce Landlord’s obligations under this Lease or to satisfy a judgment for Landlord’s failure to perform such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40.3.     Notwithstanding anything contained in this Lease to the contrary, all amounts payable by Tenant to or on behalf of Landlord under this Lease, whether or not expressly denominated Fixed Rent, Escalation Rent, Additional Rent or Rental, shall constitute “rent” for the purposes of Section 502(b)(7) of the Bankruptcy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40.4.     Neither this Lease nor any memorandum of this Lease shall be recorded.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40.5.     Except as otherwise expressly stated in this Lease, any consent or approval required to be obtained from Landlord may be granted by Landlord in its sole discretion. In any instance in which Landlord agrees not to act unreasonably, Tenant hereby waives any claim for damages against or liability of Landlord that Tenant may have based upon any assertion that Landlord has unreasonably withheld or unreasonably delayed any consent or approval requested by Tenant, and Tenant agrees that its sole remedy shall be an action or proceeding to enforce any related provision or for specific performance, injunction or declaratory judgment. If with respect to any required consent or approval Landlord is required by the express provisions of this Lease not to unreasonably withhold or delay its consent or approval, and if it is determined in any such proceeding referred to in the preceding sentence that Landlord acted unreasonably, the requested consent or approval shall be deemed to have been granted; however, Landlord shall have no liability whatsoever to Tenant for its refusal or failure to give such consent or approval. Tenant’s </w:t>
      </w:r>
    </w:p>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sole remedy for Landlord’s unreasonably withholding or delaying consent or approval shall be as provided in this </w:t>
      </w:r>
      <w:r>
        <w:rPr>
          <w:rFonts w:ascii="Times New Roman;serif" w:hAnsi="Times New Roman;serif"/>
          <w:b w:val="false"/>
          <w:color w:val="000000"/>
          <w:sz w:val="24"/>
          <w:u w:val="single"/>
        </w:rPr>
        <w:t>Section 40.5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40.6.     If Tenant shall remain in possession of the Premises after the Expiration Date, without the execution by both Tenant and Landlord of a new lease, Tenant, at the election of Landlord, shall be deemed to be occupying the Premises as a Tenant from month-to-month, at a monthly rental equal to the greater of (i) one hundred fifty percent for the first sixty (60) days and 200% thereafter, of the Rental payable during the last month of the Term, or (ii) the then fair market rental value of the Premises, as determined by Landlord, subject to all the other conditions, provisions and obligations of this Lease insofar as the same are applicable to a month-to-month tenancy, including in each case, payment of 100% of the Additional Rent (including, without limitation, Escalation Rent) due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40.7.     This Lease shall be construed without regard to any presumption or other rule requiring construction against the party causing this Lease to be drafted. If any words or phrases in this Lease are stricken out or otherwise eliminated, whether or not any other words or phrases have been added, this Lease shall be construed as if the words or phrases so stricken out or otherwise eliminated were never included in this Lease and no implication or inference shall be drawn from the fact that such words or phrases were stricken out or otherwise eliminated.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40.8.     If at any time Landlord shall maintain a directory in the lobby of the Building, Landlord shall make available to Tenant on such directory, Tenant’s Share of the total number of listings available, which listings may include subtenants occupying the Premises in accordance with the terms hereof. From time to time, but not more frequently than once every six (6) months, Landlord shall revise any such directory to reflect such changes in the listings therein as Tenant may request, and Tenant within ten (10) days after demand by Landlord shall pay to Landlord, as Additional Rent, Landlord’s Building standard charge for each revision that Tenant requests.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40.9.     If any of the provisions of this Lease, or the application thereof to any person or circumstance, shall, to any extent, be invalid or unenforceable, the remainder of this Lease, or the application of such provisions to persons or circumstances other than those as to whom or which it is held invalid or unenforceable, shall not be affected thereby and shall remain valid and enforceable, and every provision of this Lease shall be valid and enforceable to the fullest extent permitted by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40.10.     Landlord shall have the right to erect any gate, chain or other obstruction or to close off any portion of the Real Property to the public at any time to the extent necessary to prevent a dedication thereof for public use.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40.11.     Tenant hereby represents to Landlord that it is not entitled, directly or indirectly, to diplomatic or sovereign immunity and Tenant agrees that in all disputes arising directly or indirectly out of this Lease Tenant shall be subject to service of process in, and the jurisdiction of the courts of, the State of New York. The provisions of this </w:t>
      </w:r>
      <w:r>
        <w:rPr>
          <w:rFonts w:ascii="Times New Roman;serif" w:hAnsi="Times New Roman;serif"/>
          <w:b w:val="false"/>
          <w:color w:val="000000"/>
          <w:sz w:val="24"/>
          <w:u w:val="single"/>
        </w:rPr>
        <w:t>Section 40.11</w:t>
      </w:r>
      <w:r>
        <w:rPr>
          <w:color w:val="000000"/>
        </w:rPr>
        <w:t xml:space="preserve"> </w:t>
      </w:r>
      <w:r>
        <w:rPr>
          <w:rFonts w:ascii="Times New Roman;serif" w:hAnsi="Times New Roman;serif"/>
          <w:b w:val="false"/>
          <w:color w:val="000000"/>
          <w:sz w:val="24"/>
        </w:rPr>
        <w:t>shall survive the expiration of this Lease.</w:t>
      </w: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40.12.     This Lease contains the entire agreement between the parties and all prior negotiations and agreements are merged into this Lease. This Lease may not be changed, abandoned or discharged, in whole or in part, nor may any of its provisions be waived except by a written agreement that (a) expressly refers to this Lease, (b) is executed by the party against whom enforcement of the change, abandonment, discharge or waiver is sought and (c) is permissible under the Mortgage(s) and the Superior Lease(s).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40.13.     Any apportionment or prorations of Rental to be made under this Lease shall be computed on the basis of a three hundred sixty (360) day year, with twelve (12) months of thirty (30) days each.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40.14.     This Lease shall be governed by the laws of the State of New York without regard to conflict of laws principles.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40.15.     If Tenant is a corporation or a limited liability company or a limited liability partnership, each person executing this Lease on behalf of Tenant hereby covenants, represents and warrants that Tenant is a duly incorporated or duly qualified (if foreign) and is authorized to do business in the State of New York (a copy of evidence thereof to be supplied to Landlord upon request); and that each person executing this Lease on behalf of Tenant is an officer or member or partner of Tenant and that he or she is duly authorized to execute, acknowledge and deliver this Lease to Landlord (a copy of a resolution to that effect to be supplied to Landlord upon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40.16.     The captions are inserted only as a matter of convenience and for reference and in no way define, limit or describe the scope of this Lease nor the intent of any provision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40.17.     The covenants, conditions and agreements contained in this Lease shall bind and inure to the benefit of Landlord and Tenant and their respective legal representatives, successors, and, except as otherwise provided in this Lease, their assigns.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40.18.     From and after the date of this Lease, Tenant and Persons Within Tenant’s Control shall maintain the terms and conditions of this Lease confidential and, without Landlord’s prior written consent, shall neither discuss nor disclose the terms and conditions of this Lease with any tenant or occupant of the Building or with any other person, other than (i) the Broker, (ii) the attorneys who are representing Tenant in connection with this Lease, (iii) Tenant’s accountants and (iv) any proposed subtenant of the Premises or assignee of this Lease and only if and to the extent such other parties listed in </w:t>
      </w:r>
      <w:r>
        <w:rPr>
          <w:rFonts w:ascii="Times New Roman;serif" w:hAnsi="Times New Roman;serif"/>
          <w:b w:val="false"/>
          <w:color w:val="000000"/>
          <w:sz w:val="24"/>
          <w:u w:val="single"/>
        </w:rPr>
        <w:t>clauses (i) to (iv)</w:t>
      </w:r>
      <w:r>
        <w:rPr>
          <w:color w:val="000000"/>
        </w:rPr>
        <w:t xml:space="preserve"> </w:t>
      </w:r>
      <w:r>
        <w:rPr>
          <w:rFonts w:ascii="Times New Roman;serif" w:hAnsi="Times New Roman;serif"/>
          <w:b w:val="false"/>
          <w:color w:val="000000"/>
          <w:sz w:val="24"/>
        </w:rPr>
        <w:t xml:space="preserve">inclusive are informed by Tenant of the confidential nature of this Lease and shall agree to act in accordance with the provisions of this Section, or (v) if required to do so to enforce the terms of this Lease, or as may otherwise be required to be disclosed by law or judicial process; provided that, if Tenant is required or requested by legal process to disclose the terms and conditions of this Lease, Tenant shall provide Landlord with prompt notice of such requirement or request and unless Landlord waives the confidentiality requirements of this Lease, Tenant shall cooperate with Landlord in obtaining an appropriate protective order regarding such disclosure. Tenant acknowledges that a breach or threatened breach of this Section will cause irreparable injury and damage to Landlord, and, therefore, agrees that, in addition to any other remedies that may be </w:t>
      </w:r>
    </w:p>
    <w:p>
      <w:pPr>
        <w:pStyle w:val="TextBody"/>
        <w:bidi w:val="0"/>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available to Landlord, Landlord shall be entitled to an injunction and/or other equitable relief (without the requirement of posting a bond or other security) as a remedy for a breach or threatened breach of this Section and to secure its enforcement.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40.19.     Within ninety (90) days after the end of each of Tenant’s fiscal years, Tenant shall furnish to Landlord a copy of Tenant’s audited financial statement for the preceding fiscal year. If Tenant does not have an audited financial statement, it may deliver to Landlord a copy of the financial statement certified to be true and correct by an officer of Tenant. Notwithstanding the foregoing, provided that Tenant is a publicly traded company on a nationally recognized stock exchange, Tenant shall not be required to provide the financial statement described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40.20.     For the purposes of this Lease and all agreements supplemental to this Lease, unless the context otherwise requires: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words “herein”, “hereof”, “hereunder” and “hereby” and words of similar import shall be construed to refer to this Lease as a whole and not to any particular Article or Section unless expressly so stated.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Tenant’s obligations hereunder shall be construed in every instance as conditions as well as covenants, each separate and independent of any other terms of this 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Reference to Landlord as having “no liability” or being “without liability” shall mean that Tenant shall not be entitled to terminate this Lease, or to claim actual or constructive eviction, partial or total, or to receive any abatement or diminution of rent, or to be relieved in any manner of any of its other obligations hereunder, or to be compensated for loss or injury suffered or to enforce any other right or liability whatsoever against Landlord under or with respect to this Lease or with respect to Tenant’s use or occupancy of the Premises.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Reference to “termination of this Lease” or “expiration of this Lease” and words of like import includes expiration or sooner termination of this Lease and the Term and the estate hereby granted or cancellation of this Lease pursuant to any of the provisions of this Lease or to law. Upon the termination of this Lease, the Term and estate granted by this Lease shall end at noon on the date of termination as if such date were the Fixed Expiration Date, and neither party shall have any further obligation or liability to the other after such termination except (i) as shall be expressly provided for in this Lease, and (ii) for such obligations as by their nature under the circumstances can only be, or by the provisions of this Lease, may be, performed after such termination, and, in any event, unless expressly otherwise provided in this Lease, any liability for a payment (which shall be apportioned as of such termination) which shall have accrued to or with respect to any period ending at the time of termination shall survive the termination of this 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Words and phrases used in the singular shall be deemed to include the plural and vice versa, and nouns and pronouns used in any particular gender shall be deemed to include any other gender.</w:t>
      </w:r>
    </w:p>
    <w:p>
      <w:pPr>
        <w:pStyle w:val="TextBody"/>
        <w:bidi w:val="0"/>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rule of “ejusdem generis” shall not be applicable to limit a general statement following or referable to an enumeration of specific matters to matters similar to the matters specifically mentioned.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40.21.     Notwithstanding anything to the contrary contained herein, in no event shall Landlord or the Parties be liable for consequential or punitive damages under this Lease.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40.22.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Tenant represents and warrants that to its actual knowledge (a) Tenant and each person or entity owning an interest in Tenant is (i) not currently identified on the Specially Designated Nationals and Blocked Persons List maintained by the Office of Foreign Assets Control, Department of the Treasury (“</w:t>
      </w:r>
      <w:r>
        <w:rPr>
          <w:rFonts w:ascii="Times New Roman;serif" w:hAnsi="Times New Roman;serif"/>
          <w:b w:val="false"/>
          <w:color w:val="000000"/>
          <w:sz w:val="24"/>
          <w:u w:val="single"/>
        </w:rPr>
        <w:t>OFAC</w:t>
      </w:r>
      <w:r>
        <w:rPr>
          <w:color w:val="000000"/>
        </w:rPr>
        <w:t>”</w:t>
      </w:r>
      <w:r>
        <w:rPr>
          <w:rFonts w:ascii="Times New Roman;serif" w:hAnsi="Times New Roman;serif"/>
          <w:b w:val="false"/>
          <w:color w:val="000000"/>
          <w:sz w:val="24"/>
        </w:rPr>
        <w:t>) and/or on any other similar list maintained by OFAC pursuant to any authorizing statute, executive order or regulation (collectively, the “</w:t>
      </w:r>
      <w:r>
        <w:rPr>
          <w:rFonts w:ascii="Times New Roman;serif" w:hAnsi="Times New Roman;serif"/>
          <w:b w:val="false"/>
          <w:color w:val="000000"/>
          <w:sz w:val="24"/>
          <w:u w:val="single"/>
        </w:rPr>
        <w:t>List</w:t>
      </w:r>
      <w:r>
        <w:rPr>
          <w:color w:val="000000"/>
        </w:rPr>
        <w:t>”</w:t>
      </w:r>
      <w:r>
        <w:rPr>
          <w:rFonts w:ascii="Times New Roman;serif" w:hAnsi="Times New Roman;serif"/>
          <w:b w:val="false"/>
          <w:color w:val="000000"/>
          <w:sz w:val="24"/>
        </w:rPr>
        <w:t>), and (ii) not a person or entity with whom a citizen of the United States is prohibited to engage in transactions by any trade embargo, economic sanction , or other prohibition of United States law, regulation, or Executive Order of the President of the United States, (b) none of the funds of Tenant have been derived from any unlawful activity with the result that the investment in Tenant is prohibited by law or that this Lease is in violation of law, and (c) Tenant has implemented procedures, and will consistently apply those procedures, to ensure that the foregoing representations and warranties remain true and correct at all times. The term “</w:t>
      </w:r>
      <w:r>
        <w:rPr>
          <w:rFonts w:ascii="Times New Roman;serif" w:hAnsi="Times New Roman;serif"/>
          <w:b w:val="false"/>
          <w:color w:val="000000"/>
          <w:sz w:val="24"/>
          <w:u w:val="single"/>
        </w:rPr>
        <w:t>Embargoed Person</w:t>
      </w:r>
      <w:r>
        <w:rPr>
          <w:color w:val="000000"/>
        </w:rPr>
        <w:t xml:space="preserve">” </w:t>
      </w:r>
      <w:r>
        <w:rPr>
          <w:rFonts w:ascii="Times New Roman;serif" w:hAnsi="Times New Roman;serif"/>
          <w:b w:val="false"/>
          <w:color w:val="000000"/>
          <w:sz w:val="24"/>
        </w:rPr>
        <w:t xml:space="preserve">means any person, entity or government subject to trade restrictions under U.S. law, including but not limited to, the International Emergency Economic Powers Act, 50 U.S.C. §1701 </w:t>
      </w:r>
      <w:r>
        <w:rPr>
          <w:rFonts w:ascii="Times New Roman;serif" w:hAnsi="Times New Roman;serif"/>
          <w:b w:val="false"/>
          <w:color w:val="000000"/>
          <w:sz w:val="24"/>
          <w:u w:val="single"/>
        </w:rPr>
        <w:t>et seq.</w:t>
      </w:r>
      <w:r>
        <w:rPr>
          <w:rFonts w:ascii="Times New Roman;serif" w:hAnsi="Times New Roman;serif"/>
          <w:b w:val="false"/>
          <w:color w:val="000000"/>
          <w:sz w:val="24"/>
        </w:rPr>
        <w:t xml:space="preserve">, The Trading with the Enemy Act, 50 U.S.C. App. 1 </w:t>
      </w:r>
      <w:r>
        <w:rPr>
          <w:rFonts w:ascii="Times New Roman;serif" w:hAnsi="Times New Roman;serif"/>
          <w:b w:val="false"/>
          <w:color w:val="000000"/>
          <w:sz w:val="24"/>
          <w:u w:val="single"/>
        </w:rPr>
        <w:t>et seq.</w:t>
      </w:r>
      <w:r>
        <w:rPr>
          <w:rFonts w:ascii="Times New Roman;serif" w:hAnsi="Times New Roman;serif"/>
          <w:b w:val="false"/>
          <w:color w:val="000000"/>
          <w:sz w:val="24"/>
        </w:rPr>
        <w:t>, and any Executive Orders or regulations promulgated thereunder with the result that the investment in Tenant is prohibited by law or Tenant is in violation of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Tenant covenants and agrees (a) to comply with all Requirements relating to money laundering, anti-terrorism, trade embargos and economic sanctions, now or hereafter in effect, (b) to immediately notify Landlord in writing if any of the representations, warranties or covenants set forth in </w:t>
      </w:r>
      <w:r>
        <w:rPr>
          <w:rFonts w:ascii="Times New Roman;serif" w:hAnsi="Times New Roman;serif"/>
          <w:b w:val="false"/>
          <w:color w:val="000000"/>
          <w:sz w:val="24"/>
          <w:u w:val="single"/>
        </w:rPr>
        <w:t>Sections 40.22(A) and/or (B)</w:t>
      </w:r>
      <w:r>
        <w:rPr>
          <w:color w:val="000000"/>
        </w:rPr>
        <w:t xml:space="preserve"> </w:t>
      </w:r>
      <w:r>
        <w:rPr>
          <w:rFonts w:ascii="Times New Roman;serif" w:hAnsi="Times New Roman;serif"/>
          <w:b w:val="false"/>
          <w:color w:val="000000"/>
          <w:sz w:val="24"/>
        </w:rPr>
        <w:t>are no longer true or have been breached or if Tenant has a reasonable basis to believe that they no may no longer be true or have been breached, (c) not to use funds from any “</w:t>
      </w:r>
      <w:r>
        <w:rPr>
          <w:rFonts w:ascii="Times New Roman;serif" w:hAnsi="Times New Roman;serif"/>
          <w:b w:val="false"/>
          <w:color w:val="000000"/>
          <w:sz w:val="24"/>
          <w:u w:val="single"/>
        </w:rPr>
        <w:t>Prohibited Person</w:t>
      </w:r>
      <w:r>
        <w:rPr>
          <w:color w:val="000000"/>
        </w:rPr>
        <w:t xml:space="preserve">” </w:t>
      </w:r>
      <w:r>
        <w:rPr>
          <w:rFonts w:ascii="Times New Roman;serif" w:hAnsi="Times New Roman;serif"/>
          <w:b w:val="false"/>
          <w:color w:val="000000"/>
          <w:sz w:val="24"/>
        </w:rPr>
        <w:t>(as such term is defined in the September 24, 2001 Executive Order Blocking Property and Prohibiting Transactions With Persons Who Commit, Threaten to Commit, or Support Terrorism) to make any payment due to Landlord under this Lease, and (d) at the request of Landlord, to provide such information as may be requested by Landlord to determine Tenant’s compliance with the terms 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Tenant hereby acknowledges and agrees that Tenant’s inclusion on the List at any time during the Term shall be a material default of this Lease. Notwithstanding anything herein to the contrary, Tenant shall not permit the Premises or any portion thereof to be used or occupied by any person or entity on the List or by any Embargoed Person (on a permanent, temporary or transient basis), and any such use or occupancy of the Premises by any such person or entity shall be a material default of this 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In connection with this Lease or any proposed assignment of this Lease or sublease, Tenant shall provide to Landlord the names of the persons holding an ownership </w:t>
      </w:r>
    </w:p>
    <w:p>
      <w:pPr>
        <w:pStyle w:val="TextBody"/>
        <w:bidi w:val="0"/>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in Tenant or any proposed assignee or sublessee, as applicable, for purposes of compliance with Presidential Executive Order 13224 (issued September 24, 2001), as amended.</w:t>
      </w:r>
    </w:p>
    <w:p>
      <w:pPr>
        <w:pStyle w:val="TextBody"/>
        <w:bidi w:val="0"/>
        <w:spacing w:lineRule="auto" w:line="556" w:before="240" w:after="283"/>
        <w:jc w:val="center"/>
        <w:rPr/>
      </w:pPr>
      <w:r>
        <w:rPr>
          <w:rFonts w:ascii="Times New Roman;serif" w:hAnsi="Times New Roman;serif"/>
          <w:b w:val="false"/>
          <w:color w:val="000000"/>
          <w:sz w:val="24"/>
        </w:rPr>
        <w:t>ARTICLE 41</w:t>
        <w:br/>
      </w:r>
      <w:r>
        <w:rPr>
          <w:rFonts w:ascii="Times New Roman;serif" w:hAnsi="Times New Roman;serif"/>
          <w:b w:val="false"/>
          <w:color w:val="000000"/>
          <w:sz w:val="24"/>
          <w:u w:val="single"/>
        </w:rPr>
        <w:t>OPTION TO RENEW</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41.1. Provided that: (i) this Lease shall be in full force and effect as of the date of the Renewal Notice (as hereinafter defined) and as of the Fixed Expiration Date; (ii) there shall not then be an existing default under this Lease beyond any applicable notice and cure period; and (iii) Tenant (or its Permitted Transferee) shall be in actual physical occupancy of no less than one hundred (100%) percent of the rentable area of the Premises on the date of the Renewal Notice and upon the commencement of the Renewal Term (subject to casualty and condemnation), Tenant shall have one (1) option (the “</w:t>
      </w:r>
      <w:r>
        <w:rPr>
          <w:rFonts w:ascii="Times New Roman;serif" w:hAnsi="Times New Roman;serif"/>
          <w:b w:val="false"/>
          <w:color w:val="000000"/>
          <w:sz w:val="24"/>
          <w:u w:val="single"/>
        </w:rPr>
        <w:t>Renewal Option</w:t>
      </w:r>
      <w:r>
        <w:rPr>
          <w:color w:val="000000"/>
        </w:rPr>
        <w:t>”</w:t>
      </w:r>
      <w:r>
        <w:rPr>
          <w:rFonts w:ascii="Times New Roman;serif" w:hAnsi="Times New Roman;serif"/>
          <w:b w:val="false"/>
          <w:color w:val="000000"/>
          <w:sz w:val="24"/>
        </w:rPr>
        <w:t>) to extend the Term of this Lease for a five (5) year period (the “</w:t>
      </w:r>
      <w:r>
        <w:rPr>
          <w:rFonts w:ascii="Times New Roman;serif" w:hAnsi="Times New Roman;serif"/>
          <w:b w:val="false"/>
          <w:color w:val="000000"/>
          <w:sz w:val="24"/>
          <w:u w:val="single"/>
        </w:rPr>
        <w:t>Renewal Term</w:t>
      </w:r>
      <w:r>
        <w:rPr>
          <w:color w:val="000000"/>
        </w:rPr>
        <w:t>”</w:t>
      </w:r>
      <w:r>
        <w:rPr>
          <w:rFonts w:ascii="Times New Roman;serif" w:hAnsi="Times New Roman;serif"/>
          <w:b w:val="false"/>
          <w:color w:val="000000"/>
          <w:sz w:val="24"/>
        </w:rPr>
        <w:t>) commencing on the day immediately following the Fixed Expiration Date and ending on the fifth (5th) anniversary of the Fixed Expiration Date. Such option shall be exercisable by written notice (the “</w:t>
      </w:r>
      <w:r>
        <w:rPr>
          <w:rFonts w:ascii="Times New Roman;serif" w:hAnsi="Times New Roman;serif"/>
          <w:b w:val="false"/>
          <w:color w:val="000000"/>
          <w:sz w:val="24"/>
          <w:u w:val="single"/>
        </w:rPr>
        <w:t>Renewal Notice</w:t>
      </w:r>
      <w:r>
        <w:rPr>
          <w:color w:val="000000"/>
        </w:rPr>
        <w:t>”</w:t>
      </w:r>
      <w:r>
        <w:rPr>
          <w:rFonts w:ascii="Times New Roman;serif" w:hAnsi="Times New Roman;serif"/>
          <w:b w:val="false"/>
          <w:color w:val="000000"/>
          <w:sz w:val="24"/>
        </w:rPr>
        <w:t xml:space="preserve">) given to Landlord not later than the day which is twelve (12) months prior to the Fixed Expiration Date (time being of the essence). Notwithstanding the foregoing, Landlord, in its sole discretion, may waive any default by Tenant and no such default may be used by Tenant to negate the effectiveness of Tenant’s exercise of this option. The Renewal Term shall constitute an extension of the Term of this Lease and shall be upon all of the same terms and conditions as the existing Term, except that (A) there shall be no further option to renew the Term of this Lease in the Renewal Term, (B) Landlord shall not be required to furnish any materials or perform any work to prepare the Premises for Tenant’s continued occupancy and Landlord shall not be required to reimburse Tenant for any Alterations made or to be made by Tenant, and (C) the Fixed Rent for the Renewal Term shall be payable at a rate per annum equal to the Fair Rental Value for the Premises as of the first day of the Renewal Term. During the Renewal Term, all Additional Rent that Tenant is obligated to pay under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of this Lease during the existing Term hereof shall continue without interruption, it being the intention of the parties hereto that the Renewal Term shall be deemed a part of and continuation of the existing Term of this 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41.2. If Tenant has given the Renewal Notice in accordance with </w:t>
      </w:r>
      <w:r>
        <w:rPr>
          <w:rFonts w:ascii="Times New Roman;serif" w:hAnsi="Times New Roman;serif"/>
          <w:b w:val="false"/>
          <w:color w:val="000000"/>
          <w:sz w:val="24"/>
          <w:u w:val="single"/>
        </w:rPr>
        <w:t>Section 41.1</w:t>
      </w:r>
      <w:r>
        <w:rPr>
          <w:rFonts w:ascii="Times New Roman;serif" w:hAnsi="Times New Roman;serif"/>
          <w:b w:val="false"/>
          <w:color w:val="000000"/>
          <w:sz w:val="24"/>
        </w:rPr>
        <w:t>, the parties shall make good faith efforts to agree upon the Fair Rental Value of the Premises, determined as of the commencement date of the Renewal Term. In the event that the parties are unable to agree upon the Fair Rental Value for the Renewal Term within six (6) months prior to the first day of the Renewal Term, then the same shall be determined as follows.</w:t>
      </w:r>
    </w:p>
    <w:p>
      <w:pPr>
        <w:pStyle w:val="TextBody"/>
        <w:bidi w:val="0"/>
        <w:spacing w:lineRule="auto" w:line="288" w:before="0" w:after="240"/>
        <w:ind w:left="0" w:right="0" w:firstLine="2160"/>
        <w:jc w:val="both"/>
        <w:rPr/>
      </w:pPr>
      <w:r>
        <w:rPr>
          <w:rFonts w:ascii="Times New Roman;serif" w:hAnsi="Times New Roman;serif"/>
          <w:b w:val="false"/>
          <w:color w:val="000000"/>
          <w:sz w:val="24"/>
        </w:rPr>
        <w:t>(A)    Landlord, at any time within such six (6) month period or within thirty (30) days after Tenant’s request, shall notify Tenant of Landlord’s good faith determination of the Fair Rental Value, which shall constitute the maximum that Landlord can claim is the Fair Rental Value of the Premises for the Renewal Term in any arbitration thereof (“</w:t>
      </w:r>
      <w:r>
        <w:rPr>
          <w:rFonts w:ascii="Times New Roman;serif" w:hAnsi="Times New Roman;serif"/>
          <w:b w:val="false"/>
          <w:color w:val="000000"/>
          <w:sz w:val="24"/>
          <w:u w:val="single"/>
        </w:rPr>
        <w:t>Landlord’s Maximum Determination</w:t>
      </w:r>
      <w:r>
        <w:rPr>
          <w:color w:val="000000"/>
        </w:rPr>
        <w:t>”</w:t>
      </w:r>
      <w:r>
        <w:rPr>
          <w:rFonts w:ascii="Times New Roman;serif" w:hAnsi="Times New Roman;serif"/>
          <w:b w:val="false"/>
          <w:color w:val="000000"/>
          <w:sz w:val="24"/>
        </w:rPr>
        <w:t xml:space="preserve">). Within thirty (30) days after Landlord shall have given Tenant Landlord’s Maximum Determination (time being of the essence), Tenant shall notify Landlord whether Tenant disputes Landlord’s Maximum Determination and, if Tenant disputes Landlord’s Maximum Determination, Tenant shall set forth in such notice Tenant’s </w:t>
      </w:r>
    </w:p>
    <w:p>
      <w:pPr>
        <w:pStyle w:val="TextBody"/>
        <w:bidi w:val="0"/>
        <w:spacing w:before="0" w:after="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good faith determination of the Fair Rental Value of the Premises for the Renewal Term, which shall constitute the minimum that Tenant can claim is the Fair Rental Value for the Premises for the Renewal Term in any arbitration or dispute thereof (“</w:t>
      </w:r>
      <w:r>
        <w:rPr>
          <w:rFonts w:ascii="Times New Roman;serif" w:hAnsi="Times New Roman;serif"/>
          <w:b w:val="false"/>
          <w:color w:val="000000"/>
          <w:sz w:val="24"/>
          <w:u w:val="single"/>
        </w:rPr>
        <w:t>Tenant’s Minimum Determination</w:t>
      </w:r>
      <w:r>
        <w:rPr>
          <w:color w:val="000000"/>
        </w:rPr>
        <w:t>”</w:t>
      </w:r>
      <w:r>
        <w:rPr>
          <w:rFonts w:ascii="Times New Roman;serif" w:hAnsi="Times New Roman;serif"/>
          <w:b w:val="false"/>
          <w:color w:val="000000"/>
          <w:sz w:val="24"/>
        </w:rPr>
        <w:t>). If Tenant fails to dispute Landlord’s Maximum Determination or to set forth Tenant’s Minimum Determination within the time period set forth above (time being of the essence), then Tenant shall be deemed to have accepted Landlord’s Maximum Determination as the Fair Rental Value. If Landlord fails to notify Tenant of Landlord’s Maximum Determination within thirty (30) days after Tenant’s request therefor, then Tenant may notify Landlord of Tenant’s Minimum Determination, in which event Landlord may notify Tenant whether Landlord disputes Tenant’s Minimum Determination within forty-five (45) days after Tenant’s notice thereof (time being of the essence) and set forth in such notice Landlord’s Maximum Determination.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(B)    If Landlord and Tenant dispute the determination of Fair Rental Value, and Landlord and Tenant fail to agree as to the amount thereof within thirty (30) days after the exchange of Landlord’s Maximum Determination and Tenant’s Minimum Determination, then the dispute shall be resolved by arbitration as set forth in </w:t>
      </w:r>
      <w:r>
        <w:rPr>
          <w:rFonts w:ascii="Times New Roman;serif" w:hAnsi="Times New Roman;serif"/>
          <w:b w:val="false"/>
          <w:color w:val="000000"/>
          <w:sz w:val="24"/>
          <w:u w:val="single"/>
        </w:rPr>
        <w:t>Section 41.2(C)</w:t>
      </w:r>
      <w:r>
        <w:rPr>
          <w:color w:val="000000"/>
        </w:rPr>
        <w:t xml:space="preserve"> </w:t>
      </w:r>
      <w:r>
        <w:rPr>
          <w:rFonts w:ascii="Times New Roman;serif" w:hAnsi="Times New Roman;serif"/>
          <w:b w:val="false"/>
          <w:color w:val="000000"/>
          <w:sz w:val="24"/>
        </w:rPr>
        <w:t>below. The parties agree to cooperate throughout the arbitration proceeding and to pursue an expeditious resolution thereof. If the dispute shall not have been resolved on or before the first day of the Renewal Term, then pending such resolution, Tenant shall pay, as Fixed Rent for the Renewal Term, an amount equal to the average of Landlord’s Maximum Determination and Tenant’s Minimum Determination (the “</w:t>
      </w:r>
      <w:r>
        <w:rPr>
          <w:rFonts w:ascii="Times New Roman;serif" w:hAnsi="Times New Roman;serif"/>
          <w:b w:val="false"/>
          <w:color w:val="000000"/>
          <w:sz w:val="24"/>
          <w:u w:val="single"/>
        </w:rPr>
        <w:t>Temporary Average Amount</w:t>
      </w:r>
      <w:r>
        <w:rPr>
          <w:color w:val="000000"/>
        </w:rPr>
        <w:t>”</w:t>
      </w:r>
      <w:r>
        <w:rPr>
          <w:rFonts w:ascii="Times New Roman;serif" w:hAnsi="Times New Roman;serif"/>
          <w:b w:val="false"/>
          <w:color w:val="000000"/>
          <w:sz w:val="24"/>
        </w:rPr>
        <w:t>). If such resolution shall be less than the Temporary Average Amount, then within thirty (30) days after the final determination of Fair Rental Value, Landlord shall refund to Tenant any overpayment, and if such resolution shall be more than the Temporary Average Amount, then within thirty (30) days after the final determination of Fair Rental Value, Tenant shall pay to Landlord any underpayment.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(C)    (1)    Any dispute as to Fair Rental Value shall be determined as follows: A senior officer of a recognized New York City leasing brokerage firm (the “</w:t>
      </w:r>
      <w:r>
        <w:rPr>
          <w:rFonts w:ascii="Times New Roman;serif" w:hAnsi="Times New Roman;serif"/>
          <w:b w:val="false"/>
          <w:color w:val="000000"/>
          <w:sz w:val="24"/>
          <w:u w:val="single"/>
        </w:rPr>
        <w:t>Baseball Arbitrator</w:t>
      </w:r>
      <w:r>
        <w:rPr>
          <w:color w:val="000000"/>
        </w:rPr>
        <w:t>”</w:t>
      </w:r>
      <w:r>
        <w:rPr>
          <w:rFonts w:ascii="Times New Roman;serif" w:hAnsi="Times New Roman;serif"/>
          <w:b w:val="false"/>
          <w:color w:val="000000"/>
          <w:sz w:val="24"/>
        </w:rPr>
        <w:t>), shall be selected by Landlord and reasonably approved by Tenant, and shall be paid for jointly by Landlord and Tenant. If Landlord and Tenant are unable to agree upon the Baseball Arbitrator, then the same shall be designated by the AAA. The Baseball Arbitrator selected by the parties or designated by the AAA shall not have been employed or hired, nor be employed or hired by a leasing or brokerage firm employed or hired, by Landlord (or its affiliates or the Manager) or Tenant during the previous three (3) year period and shall have at least ten (10) years’ experience in (i) the leasing of office space in midtown Manhattan, or (ii) the appraisal of first class office buildings in midtown Manhattan.</w:t>
      </w:r>
    </w:p>
    <w:p>
      <w:pPr>
        <w:pStyle w:val="TextBody"/>
        <w:bidi w:val="0"/>
        <w:spacing w:lineRule="auto" w:line="288" w:before="0" w:after="240"/>
        <w:ind w:left="0" w:right="0" w:firstLine="2790"/>
        <w:jc w:val="both"/>
        <w:rPr/>
      </w:pPr>
      <w:r>
        <w:rPr>
          <w:rFonts w:ascii="Times New Roman;serif" w:hAnsi="Times New Roman;serif"/>
          <w:b w:val="false"/>
          <w:color w:val="000000"/>
          <w:sz w:val="24"/>
        </w:rPr>
        <w:t xml:space="preserve">(2)    Landlord and Tenant shall each submit to the Baseball Arbitrator and to the other its determination of the Fair Rental Value for the Renewal Term, as set forth above;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(x) Landlord’s such determination of the Fair Rental Value for the Renewal Term (“</w:t>
      </w:r>
      <w:r>
        <w:rPr>
          <w:rFonts w:ascii="Times New Roman;serif" w:hAnsi="Times New Roman;serif"/>
          <w:b w:val="false"/>
          <w:color w:val="000000"/>
          <w:sz w:val="24"/>
          <w:u w:val="single"/>
        </w:rPr>
        <w:t>Landlord’s Determination</w:t>
      </w:r>
      <w:r>
        <w:rPr>
          <w:color w:val="000000"/>
        </w:rPr>
        <w:t>”</w:t>
      </w:r>
      <w:r>
        <w:rPr>
          <w:rFonts w:ascii="Times New Roman;serif" w:hAnsi="Times New Roman;serif"/>
          <w:b w:val="false"/>
          <w:color w:val="000000"/>
          <w:sz w:val="24"/>
        </w:rPr>
        <w:t>) may not be greater than Landlord’s Maximum Determination, and (y) Tenant’s such determination of the Fair Rental Value for the Renewal Term (“</w:t>
      </w:r>
      <w:r>
        <w:rPr>
          <w:rFonts w:ascii="Times New Roman;serif" w:hAnsi="Times New Roman;serif"/>
          <w:b w:val="false"/>
          <w:color w:val="000000"/>
          <w:sz w:val="24"/>
          <w:u w:val="single"/>
        </w:rPr>
        <w:t>Tenant’s Determination</w:t>
      </w:r>
      <w:r>
        <w:rPr>
          <w:color w:val="000000"/>
        </w:rPr>
        <w:t>”</w:t>
      </w:r>
      <w:r>
        <w:rPr>
          <w:rFonts w:ascii="Times New Roman;serif" w:hAnsi="Times New Roman;serif"/>
          <w:b w:val="false"/>
          <w:color w:val="000000"/>
          <w:sz w:val="24"/>
        </w:rPr>
        <w:t xml:space="preserve">) may not be less than Tenant’s Minimum Determination. The Baseball Arbitrator shall determine which of Landlord’s Determination and Tenant’s Determination more closely represents the Fair Rental Value for the Renewal Term, taking into account all relevant factors, whether favorable to Landlord or Tenant. The Baseball </w:t>
      </w:r>
    </w:p>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Arbitrator may not select any other rental value for the Renewal Term other than Landlord’s Determination or Tenant’s Determination, and such determination of the Baseball Arbitrator shall serve as the Fair Rental Value for the Renewal Term.</w:t>
      </w:r>
    </w:p>
    <w:p>
      <w:pPr>
        <w:pStyle w:val="TextBody"/>
        <w:bidi w:val="0"/>
        <w:spacing w:lineRule="auto" w:line="288" w:before="0" w:after="240"/>
        <w:ind w:left="0" w:right="0" w:firstLine="2790"/>
        <w:jc w:val="both"/>
        <w:rPr/>
      </w:pPr>
      <w:r>
        <w:rPr>
          <w:rFonts w:ascii="Times New Roman;serif" w:hAnsi="Times New Roman;serif"/>
          <w:b w:val="false"/>
          <w:color w:val="000000"/>
          <w:sz w:val="24"/>
        </w:rPr>
        <w:t xml:space="preserve">(3)    Landlord and Tenant hereby agree to, and hereby do: (i) waive any and all rights either of them at any time may have to revoke their agreement hereunder to submit to arbitration as set forth in this </w:t>
      </w:r>
      <w:r>
        <w:rPr>
          <w:rFonts w:ascii="Times New Roman;serif" w:hAnsi="Times New Roman;serif"/>
          <w:b w:val="false"/>
          <w:color w:val="000000"/>
          <w:sz w:val="24"/>
          <w:u w:val="single"/>
        </w:rPr>
        <w:t>Article 41</w:t>
      </w:r>
      <w:r>
        <w:rPr>
          <w:rFonts w:ascii="Times New Roman;serif" w:hAnsi="Times New Roman;serif"/>
          <w:b w:val="false"/>
          <w:color w:val="000000"/>
          <w:sz w:val="24"/>
        </w:rPr>
        <w:t>; (ii) consent to the entry of judgment in any court upon any award rendered in any arbitration held pursuant to this Article and; (iii) acknowledge that any award rendered in any arbitration held pursuant to this Article, whether or not such award has been entered for judgment, shall be final and binding upon Landlord and Tenant.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(D)    After the Fixed Rent payable for the Renewal Term has been agreed to or otherwise determined as set forth in this </w:t>
      </w:r>
      <w:r>
        <w:rPr>
          <w:rFonts w:ascii="Times New Roman;serif" w:hAnsi="Times New Roman;serif"/>
          <w:b w:val="false"/>
          <w:color w:val="000000"/>
          <w:sz w:val="24"/>
          <w:u w:val="single"/>
        </w:rPr>
        <w:t>Article 41</w:t>
      </w:r>
      <w:r>
        <w:rPr>
          <w:rFonts w:ascii="Times New Roman;serif" w:hAnsi="Times New Roman;serif"/>
          <w:b w:val="false"/>
          <w:color w:val="000000"/>
          <w:sz w:val="24"/>
        </w:rPr>
        <w:t xml:space="preserve">, the parties shall execute and deliver an instrument setting forth same, but the failure to so execute and deliver any such instrument shall not affect the determination of such Fixed Rent in accordance with this </w:t>
      </w:r>
      <w:r>
        <w:rPr>
          <w:rFonts w:ascii="Times New Roman;serif" w:hAnsi="Times New Roman;serif"/>
          <w:b w:val="false"/>
          <w:color w:val="000000"/>
          <w:sz w:val="24"/>
          <w:u w:val="single"/>
        </w:rPr>
        <w:t>Article 41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41.3. The rights granted to Tenant in this </w:t>
      </w:r>
      <w:r>
        <w:rPr>
          <w:rFonts w:ascii="Times New Roman;serif" w:hAnsi="Times New Roman;serif"/>
          <w:b w:val="false"/>
          <w:color w:val="000000"/>
          <w:sz w:val="24"/>
          <w:u w:val="single"/>
        </w:rPr>
        <w:t>Article 41</w:t>
      </w:r>
      <w:r>
        <w:rPr>
          <w:color w:val="000000"/>
        </w:rPr>
        <w:t xml:space="preserve"> </w:t>
      </w:r>
      <w:r>
        <w:rPr>
          <w:rFonts w:ascii="Times New Roman;serif" w:hAnsi="Times New Roman;serif"/>
          <w:b w:val="false"/>
          <w:color w:val="000000"/>
          <w:sz w:val="24"/>
        </w:rPr>
        <w:t>shall be personal to the Tenant named in this Lease (or its Permitted Transferee), and may not be assigned to any other Tenant.</w:t>
      </w:r>
    </w:p>
    <w:p>
      <w:pPr>
        <w:pStyle w:val="TextBody"/>
        <w:bidi w:val="0"/>
        <w:spacing w:lineRule="auto" w:line="556" w:before="240" w:after="283"/>
        <w:jc w:val="center"/>
        <w:rPr/>
      </w:pPr>
      <w:r>
        <w:rPr>
          <w:rFonts w:ascii="Times New Roman;serif" w:hAnsi="Times New Roman;serif"/>
          <w:b w:val="false"/>
          <w:color w:val="000000"/>
          <w:sz w:val="24"/>
        </w:rPr>
        <w:t>ARTICLE 42</w:t>
        <w:br/>
      </w:r>
      <w:r>
        <w:rPr>
          <w:rFonts w:ascii="Times New Roman;serif" w:hAnsi="Times New Roman;serif"/>
          <w:b w:val="false"/>
          <w:color w:val="000000"/>
          <w:sz w:val="24"/>
          <w:u w:val="single"/>
        </w:rPr>
        <w:t>RIGHT OF FIRST OFFER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42.1. As used herein:</w:t>
      </w:r>
    </w:p>
    <w:p>
      <w:pPr>
        <w:pStyle w:val="TextBody"/>
        <w:bidi w:val="0"/>
        <w:spacing w:lineRule="auto" w:line="288" w:before="0" w:after="240"/>
        <w:ind w:left="0" w:right="0" w:firstLine="216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Available</w:t>
      </w:r>
      <w:r>
        <w:rPr>
          <w:color w:val="000000"/>
        </w:rPr>
        <w:t xml:space="preserve">” </w:t>
      </w:r>
      <w:r>
        <w:rPr>
          <w:rFonts w:ascii="Times New Roman;serif" w:hAnsi="Times New Roman;serif"/>
          <w:b w:val="false"/>
          <w:color w:val="000000"/>
          <w:sz w:val="24"/>
        </w:rPr>
        <w:t>means, as to each Offer Space (as hereinafter defined), that such space is vacant and free of any present or future possessory right now existing in favor of any third party. Notwithstanding the foregoing, such space shall not be deemed Available and Landlord shall not be obligated to notify Tenant of the Availability of such space if Landlord is negotiating an extension of a lease or a new direct lease with an existing tenant or occupant of such space, and Landlord shall be free to enter into any such extension of lease or new direct lease.</w:t>
      </w:r>
    </w:p>
    <w:p>
      <w:pPr>
        <w:pStyle w:val="TextBody"/>
        <w:bidi w:val="0"/>
        <w:spacing w:lineRule="auto" w:line="288" w:before="0" w:after="240"/>
        <w:ind w:left="0" w:right="0" w:firstLine="216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Offer Space</w:t>
      </w:r>
      <w:r>
        <w:rPr>
          <w:color w:val="000000"/>
        </w:rPr>
        <w:t xml:space="preserve">” </w:t>
      </w:r>
      <w:r>
        <w:rPr>
          <w:rFonts w:ascii="Times New Roman;serif" w:hAnsi="Times New Roman;serif"/>
          <w:b w:val="false"/>
          <w:color w:val="000000"/>
          <w:sz w:val="24"/>
        </w:rPr>
        <w:t>shall mean each of the following: (i) the entire rentable area of the seventh (7th) floor of the Building, and (ii) the entire rentable area of the tenth (10th) floor of the Building.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42.2. (A)    Provided that (i) this Lease shall be in full force and effect, (ii) there shall not then be an existing Event of Default under this Lease, (iii) Tenant or a Permitted Transferee shall be the tenant under this Lease, (iv) Tenant or a Permitted Transferee shall be in physical occupancy of the entire rentable area of the Premises, and (v) as of the Anticipated Inclusion Date (as defined below), there shall be at least three (3) full years remaining in the Term, if an Offer Space becomes, or Landlord reasonably anticipates that such Offer Space will become, Available, Landlord shall give to Tenant notice (an “</w:t>
      </w:r>
      <w:r>
        <w:rPr>
          <w:rFonts w:ascii="Times New Roman;serif" w:hAnsi="Times New Roman;serif"/>
          <w:b w:val="false"/>
          <w:color w:val="000000"/>
          <w:sz w:val="24"/>
          <w:u w:val="single"/>
        </w:rPr>
        <w:t>Offer Notice</w:t>
      </w:r>
      <w:r>
        <w:rPr>
          <w:color w:val="000000"/>
        </w:rPr>
        <w:t>”</w:t>
      </w:r>
      <w:r>
        <w:rPr>
          <w:rFonts w:ascii="Times New Roman;serif" w:hAnsi="Times New Roman;serif"/>
          <w:b w:val="false"/>
          <w:color w:val="000000"/>
          <w:sz w:val="24"/>
        </w:rPr>
        <w:t xml:space="preserve">) thereof, specifying (a) the applicable Offer Space and the rentable square footage thereof, (b) </w:t>
      </w:r>
    </w:p>
    <w:p>
      <w:pPr>
        <w:pStyle w:val="TextBody"/>
        <w:bidi w:val="0"/>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Landlord’s determination of the Fair Rental Value of such Offer Space, which shall constitute the maximum thereof Landlord can claim as the Fair Rental Value for such space in any arbitration thereof (“</w:t>
      </w:r>
      <w:r>
        <w:rPr>
          <w:rFonts w:ascii="Times New Roman;serif" w:hAnsi="Times New Roman;serif"/>
          <w:b w:val="false"/>
          <w:color w:val="000000"/>
          <w:sz w:val="24"/>
          <w:u w:val="single"/>
        </w:rPr>
        <w:t>Landlord’s Maximum Offer Determination</w:t>
      </w:r>
      <w:r>
        <w:rPr>
          <w:color w:val="000000"/>
        </w:rPr>
        <w:t>”</w:t>
      </w:r>
      <w:r>
        <w:rPr>
          <w:rFonts w:ascii="Times New Roman;serif" w:hAnsi="Times New Roman;serif"/>
          <w:b w:val="false"/>
          <w:color w:val="000000"/>
          <w:sz w:val="24"/>
        </w:rPr>
        <w:t>), (c) the date or estimated date that the applicable Offer Space has or shall become Available (the “</w:t>
      </w:r>
      <w:r>
        <w:rPr>
          <w:rFonts w:ascii="Times New Roman;serif" w:hAnsi="Times New Roman;serif"/>
          <w:b w:val="false"/>
          <w:color w:val="000000"/>
          <w:sz w:val="24"/>
          <w:u w:val="single"/>
        </w:rPr>
        <w:t>Anticipated Inclusion Date</w:t>
      </w:r>
      <w:r>
        <w:rPr>
          <w:color w:val="000000"/>
        </w:rPr>
        <w:t>”</w:t>
      </w:r>
      <w:r>
        <w:rPr>
          <w:rFonts w:ascii="Times New Roman;serif" w:hAnsi="Times New Roman;serif"/>
          <w:b w:val="false"/>
          <w:color w:val="000000"/>
          <w:sz w:val="24"/>
        </w:rPr>
        <w:t>), which shall be at least two (2) months after the date of the Offer Notice, and (d) any other relevant economic terms, including concessions, selected by Landlord which Landlord in good faith believes is then customary in the marketplace. Notwithstanding the foregoing, if as of the Anticipated Inclusion Date, there shall be less than three (3) full years remaining in the Term when Offer Space has or is anticipated to become available, Landlord shall nevertheless give Tenant the Offer Notice so long as Tenant shall then have the right to exercise the Renewal Option hereunder, provided that then, as a further condition of Tenant’s exercise of the Offer Space Option (as hereinafter defined), Tenant must simultaneously exercise the Renewal Option.</w:t>
      </w:r>
    </w:p>
    <w:p>
      <w:pPr>
        <w:pStyle w:val="TextBody"/>
        <w:bidi w:val="0"/>
        <w:spacing w:lineRule="auto" w:line="288" w:before="0" w:after="240"/>
        <w:ind w:left="0" w:right="0" w:firstLine="2070"/>
        <w:jc w:val="both"/>
        <w:rPr/>
      </w:pPr>
      <w:r>
        <w:rPr>
          <w:rFonts w:ascii="Times New Roman;serif" w:hAnsi="Times New Roman;serif"/>
          <w:b w:val="false"/>
          <w:color w:val="000000"/>
          <w:sz w:val="24"/>
        </w:rPr>
        <w:t xml:space="preserve">(B)    Provided that on the date that Tenant exercises the Offer Space Option and on the Offer Space Inclusion Date (as hereinafter defined) the conditions described in </w:t>
      </w:r>
      <w:r>
        <w:rPr>
          <w:rFonts w:ascii="Times New Roman;serif" w:hAnsi="Times New Roman;serif"/>
          <w:b w:val="false"/>
          <w:color w:val="000000"/>
          <w:sz w:val="24"/>
          <w:u w:val="single"/>
        </w:rPr>
        <w:t>clauses (i) through (v)</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42.2(A)</w:t>
      </w:r>
      <w:r>
        <w:rPr>
          <w:color w:val="000000"/>
        </w:rPr>
        <w:t xml:space="preserve"> </w:t>
      </w:r>
      <w:r>
        <w:rPr>
          <w:rFonts w:ascii="Times New Roman;serif" w:hAnsi="Times New Roman;serif"/>
          <w:b w:val="false"/>
          <w:color w:val="000000"/>
          <w:sz w:val="24"/>
        </w:rPr>
        <w:t>continue to be satisfied, Tenant shall have one (1) option (the “</w:t>
      </w:r>
      <w:r>
        <w:rPr>
          <w:rFonts w:ascii="Times New Roman;serif" w:hAnsi="Times New Roman;serif"/>
          <w:b w:val="false"/>
          <w:color w:val="000000"/>
          <w:sz w:val="24"/>
          <w:u w:val="single"/>
        </w:rPr>
        <w:t>Offer Space Option</w:t>
      </w:r>
      <w:r>
        <w:rPr>
          <w:color w:val="000000"/>
        </w:rPr>
        <w:t>”</w:t>
      </w:r>
      <w:r>
        <w:rPr>
          <w:rFonts w:ascii="Times New Roman;serif" w:hAnsi="Times New Roman;serif"/>
          <w:b w:val="false"/>
          <w:color w:val="000000"/>
          <w:sz w:val="24"/>
        </w:rPr>
        <w:t>), exercisable by notice (an “</w:t>
      </w:r>
      <w:r>
        <w:rPr>
          <w:rFonts w:ascii="Times New Roman;serif" w:hAnsi="Times New Roman;serif"/>
          <w:b w:val="false"/>
          <w:color w:val="000000"/>
          <w:sz w:val="24"/>
          <w:u w:val="single"/>
        </w:rPr>
        <w:t>Acceptance Notice</w:t>
      </w:r>
      <w:r>
        <w:rPr>
          <w:color w:val="000000"/>
        </w:rPr>
        <w:t>”</w:t>
      </w:r>
      <w:r>
        <w:rPr>
          <w:rFonts w:ascii="Times New Roman;serif" w:hAnsi="Times New Roman;serif"/>
          <w:b w:val="false"/>
          <w:color w:val="000000"/>
          <w:sz w:val="24"/>
        </w:rPr>
        <w:t xml:space="preserve">) given to Landlord on or before the date that is ten (10) Business Days after the giving of the Offer Notice (time being of the essence) to include the applicable Offer Space in the Premises for a term ending on the Fixed Expiration Date, as same may be extended pursuant to </w:t>
      </w:r>
      <w:r>
        <w:rPr>
          <w:rFonts w:ascii="Times New Roman;serif" w:hAnsi="Times New Roman;serif"/>
          <w:b w:val="false"/>
          <w:color w:val="000000"/>
          <w:sz w:val="24"/>
          <w:u w:val="single"/>
        </w:rPr>
        <w:t>Article 41</w:t>
      </w:r>
      <w:r>
        <w:rPr>
          <w:color w:val="000000"/>
        </w:rPr>
        <w:t xml:space="preserve"> </w:t>
      </w:r>
      <w:r>
        <w:rPr>
          <w:rFonts w:ascii="Times New Roman;serif" w:hAnsi="Times New Roman;serif"/>
          <w:b w:val="false"/>
          <w:color w:val="000000"/>
          <w:sz w:val="24"/>
        </w:rPr>
        <w:t>hereof (it being agreed that if there shall not be at least three (3) years remaining in the Term as of the Anticipated Inclusion Date, then Tenant shall still have the right to lease the Offer Space if Tenant shall simultaneously exercise the Renewal Option and thereby have at least three (3)) years remaining in the Term (including any Renewal Term)). Tenant shall notify Landlord in the Acceptance Notice whether Tenant accepts or disputes Landlord’s Maximum Offer Determination (if applicable), and if Tenant disputes Landlord’s Maximum Offer Determination, the Acceptance Notice shall set forth Tenant’s good faith determination of the Fair Rental Value for the applicable Offer Space, which shall constitute the minimum that Tenant can claim as the Fair Rental Value for such space in any arbitration thereof (“</w:t>
      </w:r>
      <w:r>
        <w:rPr>
          <w:rFonts w:ascii="Times New Roman;serif" w:hAnsi="Times New Roman;serif"/>
          <w:b w:val="false"/>
          <w:color w:val="000000"/>
          <w:sz w:val="24"/>
          <w:u w:val="single"/>
        </w:rPr>
        <w:t>Tenant’s Minimum Offer Determination</w:t>
      </w:r>
      <w:r>
        <w:rPr>
          <w:color w:val="000000"/>
        </w:rPr>
        <w:t>”</w:t>
      </w:r>
      <w:r>
        <w:rPr>
          <w:rFonts w:ascii="Times New Roman;serif" w:hAnsi="Times New Roman;serif"/>
          <w:b w:val="false"/>
          <w:color w:val="000000"/>
          <w:sz w:val="24"/>
        </w:rPr>
        <w:t>). If Tenant fails to object to Landlord’s Maximum Offer Determination in the Acceptance Notice and to set forth therein Tenant’s Minimum Offer Determination, then Tenant shall be deemed to have accepted Landlord’s Maximum Offer Determination as the Fair Rental Value for the applicable Offer Space.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42.3. If Tenant timely delivers the Acceptance Notice, then, on the date on which Landlord delivers vacant, in good order and condition (including with the Building Systems serving the same in good working order), and broom-clean possession of the Offer Space to Tenant (the “</w:t>
      </w:r>
      <w:r>
        <w:rPr>
          <w:rFonts w:ascii="Times New Roman;serif" w:hAnsi="Times New Roman;serif"/>
          <w:b w:val="false"/>
          <w:color w:val="000000"/>
          <w:sz w:val="24"/>
          <w:u w:val="single"/>
        </w:rPr>
        <w:t>Offer Space Inclusion Date</w:t>
      </w:r>
      <w:r>
        <w:rPr>
          <w:color w:val="000000"/>
        </w:rPr>
        <w:t>”</w:t>
      </w:r>
      <w:r>
        <w:rPr>
          <w:rFonts w:ascii="Times New Roman;serif" w:hAnsi="Times New Roman;serif"/>
          <w:b w:val="false"/>
          <w:color w:val="000000"/>
          <w:sz w:val="24"/>
        </w:rPr>
        <w:t xml:space="preserve">), the Offer Space shall become part of the Premises, upon all of the terms and conditions set forth in this Lease, except (i) the Fixed Rent for the Offer Space shall be as determined pursuant to </w:t>
      </w:r>
      <w:r>
        <w:rPr>
          <w:rFonts w:ascii="Times New Roman;serif" w:hAnsi="Times New Roman;serif"/>
          <w:b w:val="false"/>
          <w:color w:val="000000"/>
          <w:sz w:val="24"/>
          <w:u w:val="single"/>
        </w:rPr>
        <w:t>Section 42.2(B)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42.4</w:t>
      </w:r>
      <w:r>
        <w:rPr>
          <w:rFonts w:ascii="Times New Roman;serif" w:hAnsi="Times New Roman;serif"/>
          <w:b w:val="false"/>
          <w:color w:val="000000"/>
          <w:sz w:val="24"/>
        </w:rPr>
        <w:t xml:space="preserve">, (ii) unless otherwise specified by Landlord in the Offer Notice, Landlord shall not be required to perform any work, pay a Landlord’s contribution or a work allowance or any other amount, or render any services to make the Building or the applicable Offer Space ready for Tenant’s use or occupancy, and Tenant shall accept the applicable Offer Space vacant, free of any possessory interest thereon, in good order and condition (including with the Building Systems serving the same in good working order), broom clean and otherwise in its “as is” condition as of the date </w:t>
      </w:r>
    </w:p>
    <w:p>
      <w:pPr>
        <w:pStyle w:val="TextBody"/>
        <w:bidi w:val="0"/>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the Offer Notice, reasonable wear and tear excepted; (iii) Tenant shall deliver an additional Security Deposit equal to the number of months of Fixed Rent then held by Landlord under </w:t>
      </w:r>
      <w:r>
        <w:rPr>
          <w:rFonts w:ascii="Times New Roman;serif" w:hAnsi="Times New Roman;serif"/>
          <w:b w:val="false"/>
          <w:color w:val="000000"/>
          <w:sz w:val="24"/>
          <w:u w:val="single"/>
        </w:rPr>
        <w:t>Article 35</w:t>
      </w:r>
      <w:r>
        <w:rPr>
          <w:rFonts w:ascii="Times New Roman;serif" w:hAnsi="Times New Roman;serif"/>
          <w:b w:val="false"/>
          <w:color w:val="000000"/>
          <w:sz w:val="24"/>
        </w:rPr>
        <w:t>, multiplied by the Fixed Rent for the Offer Space; (iv) Tenant shall receive an allocation of condenser water applicable to the Offer Space (it being agreed that the applicable Maximum Number of Tons shall be fifteen (15) tons per full floor of the Offer Space); and (v) as may be otherwise reasonably set forth in the Offer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42.4. If in the Acceptance Notice Tenant disputes Landlord’s determination of Fair Rental Value, and Landlord and Tenant fail to agree as to the amount thereof within thirty (30) days after the giving of the Acceptance Notice, then the dispute shall be resolved by arbitration as set forth in </w:t>
      </w:r>
      <w:r>
        <w:rPr>
          <w:rFonts w:ascii="Times New Roman;serif" w:hAnsi="Times New Roman;serif"/>
          <w:b w:val="false"/>
          <w:color w:val="000000"/>
          <w:sz w:val="24"/>
          <w:u w:val="single"/>
        </w:rPr>
        <w:t>Article 41</w:t>
      </w:r>
      <w:r>
        <w:rPr>
          <w:rFonts w:ascii="Times New Roman;serif" w:hAnsi="Times New Roman;serif"/>
          <w:b w:val="false"/>
          <w:color w:val="000000"/>
          <w:sz w:val="24"/>
        </w:rPr>
        <w:t>. If the dispute shall not have been resolved on or before the Offer Space Inclusion Date, then pending such resolution, Tenant shall pay, as Fixed Rent for the Offer Space, an amount equal to the average of Landlord’s Maximum Offer Determination and Tenant’s Minimum Offer Determination. If such resolution shall be in favor of Tenant, then within thirty (30) days after the final determination of Fair Rental Value, Landlord shall refund to Tenant any overpayment and if such resolution shall be in favor of Landlord, then within thirty (30) days after the final determination of Fair Rental Value for the Renewal Term, Tenant shall pay to Landlord the amount of any underpayment.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42.5. If Landlord is unable to deliver possession of the Offer Space to Tenant for any reason on or before the Anticipated Inclusion Date, the Offer Space Inclusion Date shall be the date on which Landlord is able to so deliver possession and Landlord shall have no liability to Tenant therefor and this Lease shall not in any way be impaired. If an existing tenant of the Offer Space holds over, Landlord shall use commercially reasonable efforts, which may include the commencement of an eviction action against such holdover tenant, if such action is determined by Landlord to be commercially reasonable in the circumstances, to obtain possession of the Offer Space. Notwithstanding anything to the contrary contained herein, if Landlord is unable to deliver possession of the Offer Space to Tenant by the date that is twelve (12) months after the Anticipated Inclusion Date (the “</w:t>
      </w:r>
      <w:r>
        <w:rPr>
          <w:rFonts w:ascii="Times New Roman;serif" w:hAnsi="Times New Roman;serif"/>
          <w:b w:val="false"/>
          <w:color w:val="000000"/>
          <w:sz w:val="24"/>
          <w:u w:val="single"/>
        </w:rPr>
        <w:t>Offer Space Outside Date</w:t>
      </w:r>
      <w:r>
        <w:rPr>
          <w:color w:val="000000"/>
        </w:rPr>
        <w:t>”</w:t>
      </w:r>
      <w:r>
        <w:rPr>
          <w:rFonts w:ascii="Times New Roman;serif" w:hAnsi="Times New Roman;serif"/>
          <w:b w:val="false"/>
          <w:color w:val="000000"/>
          <w:sz w:val="24"/>
        </w:rPr>
        <w:t xml:space="preserve">), then Tenant shall have the right, as Tenant’s sole and exclusive remedy for such delay, at any time within the thirty (30) day period next following the Offer Space Outside Date (but before the Offer Space Inclusion Date shall have occurred), but not thereafter (with time being of the essence), to rescind Tenant’s exercise of the Offer Space Option upon written notice to Landlord, effective the tenth (10th) day after such notice is given, failing which Tenant shall be deemed to have waived Tenant’s right to rescind such exercise of the Offer Space Option. The parties hereto acknowledge and agree that such rescission right shall be Tenant’s sole and exclusive remedy if the Offer Space Inclusion Date shall not have occurred on or before the Offer Space Outside Date, and that Landlord shall have no other liability for failure to give Tenant possession of the Offer Space. This </w:t>
      </w:r>
      <w:r>
        <w:rPr>
          <w:rFonts w:ascii="Times New Roman;serif" w:hAnsi="Times New Roman;serif"/>
          <w:b w:val="false"/>
          <w:color w:val="000000"/>
          <w:sz w:val="24"/>
          <w:u w:val="single"/>
        </w:rPr>
        <w:t>Section 42.5</w:t>
      </w:r>
      <w:r>
        <w:rPr>
          <w:color w:val="000000"/>
        </w:rPr>
        <w:t xml:space="preserve"> </w:t>
      </w:r>
      <w:r>
        <w:rPr>
          <w:rFonts w:ascii="Times New Roman;serif" w:hAnsi="Times New Roman;serif"/>
          <w:b w:val="false"/>
          <w:color w:val="000000"/>
          <w:sz w:val="24"/>
        </w:rPr>
        <w:t>constitutes “an express provision to the contrary” within the meaning of Section 223-a of the New York Real Property Law and any other law of like import now or hereafter in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42.6. If, after receiving an Offer Notice as set forth above, Tenant fails timely to give an Acceptance Notice, then (i) Landlord may enter into one or more leases of the applicable Offer Space with third parties on such terms and conditions as Landlord shall determine, the applicable Offer Space Option shall be null and void and of no further force and effect with respect to the applicable Offer Space and Landlord shall have no further obligation </w:t>
      </w:r>
    </w:p>
    <w:p>
      <w:pPr>
        <w:pStyle w:val="TextBody"/>
        <w:bidi w:val="0"/>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offer such Offer Space to Tenant, and (ii) Tenant shall, as soon as reasonably practicable after demand by Landlord, execute an instrument reasonably satisfactory to Landlord and Tenant confirming Tenant’s waiver of such Offer Space Option.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42.7. Promptly after the occurrence of an Offer Space Inclusion Date, Landlord and Tenant shall confirm the occurrence thereof and the inclusion of the applicable Offer Space in the Premises by executing an instrument reasonably satisfactory to Landlord and Tenant; provided, however, that failure by Landlord or Tenant to execute such instrument shall not affect the inclusion of the Offer Space in the Premises in accordance with this </w:t>
      </w:r>
      <w:r>
        <w:rPr>
          <w:rFonts w:ascii="Times New Roman;serif" w:hAnsi="Times New Roman;serif"/>
          <w:b w:val="false"/>
          <w:color w:val="000000"/>
          <w:sz w:val="24"/>
          <w:u w:val="single"/>
        </w:rPr>
        <w:t>Article 42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42.8. The rights granted to Tenant in this </w:t>
      </w:r>
      <w:r>
        <w:rPr>
          <w:rFonts w:ascii="Times New Roman;serif" w:hAnsi="Times New Roman;serif"/>
          <w:b w:val="false"/>
          <w:color w:val="000000"/>
          <w:sz w:val="24"/>
          <w:u w:val="single"/>
        </w:rPr>
        <w:t>Article 42</w:t>
      </w:r>
      <w:r>
        <w:rPr>
          <w:color w:val="000000"/>
        </w:rPr>
        <w:t xml:space="preserve"> </w:t>
      </w:r>
      <w:r>
        <w:rPr>
          <w:rFonts w:ascii="Times New Roman;serif" w:hAnsi="Times New Roman;serif"/>
          <w:b w:val="false"/>
          <w:color w:val="000000"/>
          <w:sz w:val="24"/>
        </w:rPr>
        <w:t>shall be personal to the Tenant named in this Lease (or its Permitted Transferee), and may not be assigned to any other Tenant.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Landlord and Tenant have duly executed this Lease as of the day and year first above written.</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LANDLORD:</w:t>
        <w:br/>
        <w:br/>
        <w:t>1250 BROADWAY ASSOCIATES LLC, a Delaware limited liability company</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Wendy Mosler </w:t>
      </w:r>
      <w:r>
        <w:rPr>
          <w:rFonts w:ascii="Times New Roman;serif" w:hAnsi="Times New Roman;serif"/>
          <w:b w:val="false"/>
          <w:color w:val="000000"/>
          <w:sz w:val="24"/>
        </w:rPr>
        <w:br/>
        <w:t xml:space="preserve">    Name:    Wendy Mosler </w:t>
        <w:br/>
        <w:t>    Title: President     </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TENANT:</w:t>
        <w:br/>
        <w:br/>
        <w:t>MAGNITE, INC., a Delaware corporation</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Barrett</w:t>
      </w:r>
      <w:r>
        <w:rPr>
          <w:rFonts w:ascii="Times New Roman;serif" w:hAnsi="Times New Roman;serif"/>
          <w:b w:val="false"/>
          <w:color w:val="000000"/>
          <w:sz w:val="24"/>
        </w:rPr>
        <w:br/>
        <w:t xml:space="preserve">    Name:    Michael Barrett </w:t>
        <w:br/>
        <w:t>    Title: Chief Executive Office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Tenant’s Federal Employer Identification Number </w:t>
        <w:br/>
        <w:br/>
        <w:br/>
        <w:t>_________________________________</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0520"/>
                <wp:effectExtent l="0" t="0" r="0" b="0"/>
                <wp:wrapNone/>
                <wp:docPr id="196" name="Frame1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A-1</w:t>
        <w:br/>
        <w:br/>
        <w:t>FLOOR PLAN OF THE EIGHTH FLOOR PREMISES</w:t>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60705"/>
                <wp:effectExtent l="0" t="0" r="0" b="0"/>
                <wp:wrapNone/>
                <wp:docPr id="197" name="Frame19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A-2</w:t>
        <w:br/>
        <w:br/>
        <w:t>FLOOR PLAN OF THE NINTH FLOOR PREMISES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0" w:after="3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B</w:t>
      </w:r>
    </w:p>
    <w:p>
      <w:pPr>
        <w:pStyle w:val="TextBody"/>
        <w:bidi w:val="0"/>
        <w:spacing w:lineRule="auto" w:line="288" w:before="0" w:after="3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BUILDING ALTERATION RULES AND REGULATIONS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C</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GENERAL CLEANING SPECIFICATIONS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C-1</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D</w:t>
        <w:br/>
        <w:br/>
        <w:t xml:space="preserve">FORM OF EXISTING MORTGAGEE SNDA </w:t>
      </w: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p>
                  </w:txbxContent>
                </v:textbox>
                <w10:wrap type="none"/>
              </v:rect>
            </w:pict>
          </mc:Fallback>
        </mc:AlternateContent>
      </w:r>
    </w:p>
    <w:p>
      <w:pPr>
        <w:pStyle w:val="TextBody"/>
        <w:bidi w:val="0"/>
        <w:spacing w:lineRule="auto" w:line="288" w:before="0" w:after="48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E</w:t>
        <w:br/>
        <w:br/>
        <w:t>RULES AND REGULATIONS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p>
                  </w:txbxContent>
                </v:textbox>
                <w10:wrap type="none"/>
              </v:rect>
            </w:pict>
          </mc:Fallback>
        </mc:AlternateContent>
      </w:r>
    </w:p>
    <w:p>
      <w:pPr>
        <w:pStyle w:val="TextBody"/>
        <w:bidi w:val="0"/>
        <w:spacing w:lineRule="auto" w:line="288" w:before="0" w:after="48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F</w:t>
        <w:br/>
        <w:br/>
        <w:t>HVAC SPECIFICATIONS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F-1</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4"/>
          <w:u w:val="single"/>
        </w:rPr>
        <w:t>SCHEDULE G</w:t>
        <w:br/>
      </w:r>
      <w:r>
        <w:rPr>
          <w:rFonts w:ascii="Times New Roman;serif" w:hAnsi="Times New Roman;serif"/>
          <w:b w:val="false"/>
          <w:color w:val="000000"/>
          <w:sz w:val="24"/>
        </w:rPr>
        <w:br/>
      </w:r>
      <w:r>
        <w:rPr>
          <w:rFonts w:ascii="Times New Roman;serif" w:hAnsi="Times New Roman;serif"/>
          <w:b w:val="false"/>
          <w:color w:val="000000"/>
          <w:sz w:val="24"/>
          <w:u w:val="single"/>
        </w:rPr>
        <w:t>OVERTIME RATES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G-1</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4"/>
          <w:u w:val="single"/>
        </w:rPr>
        <w:t>SCHEDULE H</w:t>
        <w:br/>
      </w:r>
      <w:r>
        <w:rPr>
          <w:rFonts w:ascii="Times New Roman;serif" w:hAnsi="Times New Roman;serif"/>
          <w:b w:val="false"/>
          <w:color w:val="000000"/>
          <w:sz w:val="24"/>
        </w:rPr>
        <w:br/>
      </w:r>
      <w:r>
        <w:rPr>
          <w:rFonts w:ascii="Times New Roman;serif" w:hAnsi="Times New Roman;serif"/>
          <w:b w:val="false"/>
          <w:color w:val="000000"/>
          <w:sz w:val="24"/>
          <w:u w:val="single"/>
        </w:rPr>
        <w:t>LOBBY ELEVATOR BANK SIGNAGE SPECIFICATIONS</w:t>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19</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H-1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H-1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MAGNITE,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INSIDER TRADING POLICY</w:t>
      </w:r>
    </w:p>
    <w:p>
      <w:pPr>
        <w:pStyle w:val="TextBody"/>
        <w:bidi w:val="0"/>
        <w:spacing w:before="0" w:after="240"/>
        <w:jc w:val="center"/>
        <w:rPr/>
      </w:pPr>
      <w:r>
        <w:rPr/>
      </w:r>
    </w:p>
    <w:p>
      <w:pPr>
        <w:pStyle w:val="TextBody"/>
        <w:bidi w:val="0"/>
        <w:spacing w:lineRule="auto" w:line="288" w:before="0" w:after="240"/>
        <w:ind w:left="0" w:right="0" w:hanging="720"/>
        <w:jc w:val="left"/>
        <w:rPr/>
      </w:pPr>
      <w:r>
        <w:rPr>
          <w:rFonts w:ascii="Times New Roman;serif" w:hAnsi="Times New Roman;serif"/>
          <w:b w:val="false"/>
          <w:color w:val="000000"/>
          <w:sz w:val="24"/>
        </w:rPr>
        <w:t>1.    </w:t>
      </w:r>
      <w:r>
        <w:rPr>
          <w:rFonts w:ascii="Times New Roman;serif" w:hAnsi="Times New Roman;serif"/>
          <w:b/>
          <w:color w:val="000000"/>
          <w:sz w:val="24"/>
        </w:rPr>
        <w:t>BACKGROUND AND PURPOSE.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federal securities laws prohibit any member of the Board of Directors (the “</w:t>
      </w:r>
      <w:r>
        <w:rPr>
          <w:rFonts w:ascii="Times New Roman;serif" w:hAnsi="Times New Roman;serif"/>
          <w:b/>
          <w:color w:val="000000"/>
          <w:sz w:val="24"/>
        </w:rPr>
        <w:t>Directors</w:t>
      </w:r>
      <w:r>
        <w:rPr>
          <w:color w:val="000000"/>
        </w:rPr>
        <w:t>”</w:t>
      </w:r>
      <w:r>
        <w:rPr>
          <w:rFonts w:ascii="Times New Roman;serif" w:hAnsi="Times New Roman;serif"/>
          <w:b w:val="false"/>
          <w:color w:val="000000"/>
          <w:sz w:val="24"/>
        </w:rPr>
        <w:t>) of Magnite, Inc. (together with its subsidiaries,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any employee of the Company from purchasing, selling, gifting, or otherwise trading Company securities (which include stocks, bonds, debentures, options, puts and calls) on the basis of “</w:t>
      </w:r>
      <w:r>
        <w:rPr>
          <w:rFonts w:ascii="Times New Roman;serif" w:hAnsi="Times New Roman;serif"/>
          <w:b/>
          <w:color w:val="000000"/>
          <w:sz w:val="24"/>
        </w:rPr>
        <w:t>material nonpublic information</w:t>
      </w:r>
      <w:r>
        <w:rPr>
          <w:color w:val="000000"/>
        </w:rPr>
        <w:t xml:space="preserve">” </w:t>
      </w:r>
      <w:r>
        <w:rPr>
          <w:rFonts w:ascii="Times New Roman;serif" w:hAnsi="Times New Roman;serif"/>
          <w:b w:val="false"/>
          <w:color w:val="000000"/>
          <w:sz w:val="24"/>
        </w:rPr>
        <w:t>concerning the Company, or from disclosing material nonpublic information to others who might trade on the basis of that information. You are responsible for seeing that you do not violate federal or state securities laws or this Policy. We designed this Policy to promote compliance with the federal securities laws and to help protect the Company and you from the serious liabilities and penalties that can result from violations of these laws. These laws impose severe sanctions on individuals who violate them. In addition, the SEC has the authority to impose large fines on the Company and on the Directors, executive officers and controlling stockholders if the Company’s employees engage in insider trading and the Company has failed to take appropriate steps to prevent it (so-called “</w:t>
      </w:r>
      <w:r>
        <w:rPr>
          <w:rFonts w:ascii="Times New Roman;serif" w:hAnsi="Times New Roman;serif"/>
          <w:b/>
          <w:color w:val="000000"/>
          <w:sz w:val="24"/>
        </w:rPr>
        <w:t>Controlling Person</w:t>
      </w:r>
      <w:r>
        <w:rPr>
          <w:color w:val="000000"/>
        </w:rPr>
        <w:t xml:space="preserve">” </w:t>
      </w:r>
      <w:r>
        <w:rPr>
          <w:rFonts w:ascii="Times New Roman;serif" w:hAnsi="Times New Roman;serif"/>
          <w:b w:val="false"/>
          <w:color w:val="000000"/>
          <w:sz w:val="24"/>
        </w:rPr>
        <w:t xml:space="preserve">liability). </w:t>
      </w:r>
    </w:p>
    <w:p>
      <w:pPr>
        <w:pStyle w:val="TextBody"/>
        <w:bidi w:val="0"/>
        <w:spacing w:lineRule="auto" w:line="288" w:before="0" w:after="240"/>
        <w:ind w:left="0" w:right="0" w:firstLine="720"/>
        <w:jc w:val="left"/>
        <w:rPr/>
      </w:pPr>
      <w:r>
        <w:rPr>
          <w:rFonts w:ascii="Times New Roman;serif" w:hAnsi="Times New Roman;serif"/>
          <w:b w:val="false"/>
          <w:color w:val="000000"/>
          <w:sz w:val="24"/>
        </w:rPr>
        <w:t>Information is generally considered “</w:t>
      </w:r>
      <w:r>
        <w:rPr>
          <w:rFonts w:ascii="Times New Roman;serif" w:hAnsi="Times New Roman;serif"/>
          <w:b/>
          <w:color w:val="000000"/>
          <w:sz w:val="24"/>
        </w:rPr>
        <w:t>material</w:t>
      </w:r>
      <w:r>
        <w:rPr>
          <w:color w:val="000000"/>
        </w:rPr>
        <w:t xml:space="preserve">” </w:t>
      </w:r>
      <w:r>
        <w:rPr>
          <w:rFonts w:ascii="Times New Roman;serif" w:hAnsi="Times New Roman;serif"/>
          <w:b w:val="false"/>
          <w:color w:val="000000"/>
          <w:sz w:val="24"/>
        </w:rPr>
        <w:t>if there is a likelihood a reasonable investor would consider such information important in making a decision to buy, hold, or sell securities. Either positive or negative information may be material. Information regarding the following subjects is often considered to be material and should be carefully assessed in context: actual financial results prior to general release; revenue or earnings estimates or other forecasts; extraordinary management developments; securities offerings; significant reductions in force or layoffs; major price or marketing changes; addition or loss of significant customers or business; significant customer disputes; commencement or termination of significant commercial relationships; development of new products or technologies; strategic plans; decision to increase, decrease, commence, resume or terminate payment of dividends; acquisitions or dispositions, including mergers and tender offers; purchase or sale of substantial assets; significant borrowing; liquidity problems; significant contingent liabilities; significant changes in debt ratings; business interruptions as a result of an accident, fire or natural disaster; data or security breaches or cyber-related incidents and vulnerabilities; and significant litigation or investigations by government bodies. The foregoing is not an exhaustive list; information regarding many other subjects may also be material.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4"/>
        </w:rPr>
        <w:t>Nonpublic</w:t>
      </w:r>
      <w:r>
        <w:rPr>
          <w:color w:val="000000"/>
        </w:rPr>
        <w:t xml:space="preserve">” </w:t>
      </w:r>
      <w:r>
        <w:rPr>
          <w:rFonts w:ascii="Times New Roman;serif" w:hAnsi="Times New Roman;serif"/>
          <w:b w:val="false"/>
          <w:color w:val="000000"/>
          <w:sz w:val="24"/>
        </w:rPr>
        <w:t>information is information that is not generally known or available to the public. We consider information to be available to the public only when: (i) it has been released by the Company through appropriate channels (e.g., by means of an SEC filing, a press release or a widely disseminated statement from a senior officer); and (ii) enough time has elapsed to permit the investment market to absorb and evaluate the information. As a general rule, you should consider information to be nonpublic until two full trading days have lapsed following public disclosure.</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67665"/>
                <wp:effectExtent l="0" t="0" r="0" b="0"/>
                <wp:wrapNone/>
                <wp:docPr id="206" name="Frame2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1 of 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1 of 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If you are unsure of whether you possess material nonpublic information, please contact the Company’s Chief Legal Officer or his or her designee, who will address your concerns. For purposes of enforcement of this Policy, the Chief Legal Officer or his or her designee shall serve as the Company’s Compliance Officer for purposes of this policy. This insider trading policy (the “</w:t>
      </w:r>
      <w:r>
        <w:rPr>
          <w:rFonts w:ascii="Times New Roman;serif" w:hAnsi="Times New Roman;serif"/>
          <w:b/>
          <w:color w:val="000000"/>
          <w:sz w:val="24"/>
        </w:rPr>
        <w:t>Policy</w:t>
      </w:r>
      <w:r>
        <w:rPr>
          <w:color w:val="000000"/>
        </w:rPr>
        <w:t>”</w:t>
      </w:r>
      <w:r>
        <w:rPr>
          <w:rFonts w:ascii="Times New Roman;serif" w:hAnsi="Times New Roman;serif"/>
          <w:b w:val="false"/>
          <w:color w:val="000000"/>
          <w:sz w:val="24"/>
        </w:rPr>
        <w:t>) is being adopted in light of these legal requirements, and with the following goals: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preventing inadvertent violations of the insider trading laws;</w:t>
      </w:r>
    </w:p>
    <w:p>
      <w:pPr>
        <w:pStyle w:val="TextBody"/>
        <w:bidi w:val="0"/>
        <w:spacing w:lineRule="auto" w:line="288" w:before="240" w:after="240"/>
        <w:ind w:left="0" w:right="0" w:hanging="360"/>
        <w:jc w:val="left"/>
        <w:rPr/>
      </w:pPr>
      <w:r>
        <w:rPr>
          <w:color w:val="000000"/>
        </w:rPr>
        <w:t>●    </w:t>
      </w:r>
      <w:r>
        <w:rPr>
          <w:rFonts w:ascii="Times New Roman;serif" w:hAnsi="Times New Roman;serif"/>
          <w:b w:val="false"/>
          <w:color w:val="000000"/>
          <w:sz w:val="24"/>
        </w:rPr>
        <w:t>avoiding embarrassing proxy disclosure of reporting violations by persons (</w:t>
      </w:r>
      <w:r>
        <w:rPr>
          <w:rFonts w:ascii="Times New Roman;serif" w:hAnsi="Times New Roman;serif"/>
          <w:b w:val="false"/>
          <w:i/>
          <w:color w:val="000000"/>
          <w:sz w:val="24"/>
        </w:rPr>
        <w:t>i.e.</w:t>
      </w:r>
      <w:r>
        <w:rPr>
          <w:rFonts w:ascii="Times New Roman;serif" w:hAnsi="Times New Roman;serif"/>
          <w:b w:val="false"/>
          <w:color w:val="000000"/>
          <w:sz w:val="24"/>
        </w:rPr>
        <w:t>, the Section 16 Officers) subject to Section 16 of the Securities Exchange Act of 1934, as amended (the “</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avoiding even the appearance of impropriety on the part of those employed by, or associated with, the Company;</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protecting the Company from Controlling Person liability; and</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protecting the reputation of the Company, its Directors and its employees.</w:t>
      </w:r>
    </w:p>
    <w:p>
      <w:pPr>
        <w:pStyle w:val="TextBody"/>
        <w:bidi w:val="0"/>
        <w:spacing w:lineRule="auto" w:line="288" w:before="0" w:after="240"/>
        <w:ind w:left="0" w:right="0" w:hanging="720"/>
        <w:jc w:val="left"/>
        <w:rPr/>
      </w:pPr>
      <w:r>
        <w:rPr>
          <w:rFonts w:ascii="Times New Roman;serif" w:hAnsi="Times New Roman;serif"/>
          <w:b w:val="false"/>
          <w:color w:val="000000"/>
          <w:sz w:val="24"/>
        </w:rPr>
        <w:t>2.    </w:t>
      </w:r>
      <w:r>
        <w:rPr>
          <w:rFonts w:ascii="Times New Roman;serif" w:hAnsi="Times New Roman;serif"/>
          <w:b/>
          <w:color w:val="000000"/>
          <w:sz w:val="24"/>
        </w:rPr>
        <w:t>PROHIBITION ON TRADING WHILE AWARE OF MATERIAL NONPUBLIC INFORMATION; PROHIBITION ON TIPPING OTHERS.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2.1    This Section 2 of the Policy applies to the following persons: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Directors;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employees;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all family members or life partners of Directors and employees who share the same address as, are financially dependent on, or whose transactions in the Company’s securities are influenced, controlled or directed by the Director or employee; </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corporations, partnerships, trusts or other entities owned or controlled by any of the above persons; and</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those consultants that may be designated by the Company from time to time.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2.2    Persons covered by this Section 2 </w:t>
      </w:r>
      <w:r>
        <w:rPr>
          <w:rFonts w:ascii="Times New Roman;serif" w:hAnsi="Times New Roman;serif"/>
          <w:b w:val="false"/>
          <w:color w:val="000000"/>
          <w:sz w:val="24"/>
          <w:u w:val="single"/>
        </w:rPr>
        <w:t>may</w:t>
      </w:r>
      <w:r>
        <w:rPr>
          <w:color w:val="000000"/>
        </w:rPr>
        <w:t xml:space="preserve"> </w:t>
      </w:r>
      <w:r>
        <w:rPr>
          <w:rFonts w:ascii="Times New Roman;serif" w:hAnsi="Times New Roman;serif"/>
          <w:b w:val="false"/>
          <w:color w:val="000000"/>
          <w:sz w:val="24"/>
          <w:u w:val="single"/>
        </w:rPr>
        <w:t>not</w:t>
      </w:r>
      <w:r>
        <w:rPr>
          <w:rFonts w:ascii="Times New Roman;serif" w:hAnsi="Times New Roman;serif"/>
          <w:b w:val="false"/>
          <w:color w:val="000000"/>
          <w:sz w:val="24"/>
        </w:rPr>
        <w:t>:</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purchase, sell, pledge, gift, donate, or otherwise transact in any securities of the Company while aware of any material nonpublic information concerning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60655"/>
                <wp:effectExtent l="0" t="0" r="0" b="0"/>
                <wp:wrapNone/>
                <wp:docPr id="207" name="Frame2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2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2 of 8</w:t>
                      </w:r>
                    </w:p>
                  </w:txbxContent>
                </v:textbox>
                <w10:wrap type="none"/>
              </v:rect>
            </w:pict>
          </mc:Fallback>
        </mc:AlternateContent>
      </w:r>
    </w:p>
    <w:p>
      <w:pPr>
        <w:pStyle w:val="TextBody"/>
        <w:bidi w:val="0"/>
        <w:spacing w:lineRule="auto" w:line="288" w:before="240" w:after="240"/>
        <w:ind w:left="0" w:right="0" w:hanging="360"/>
        <w:jc w:val="left"/>
        <w:rPr/>
      </w:pPr>
      <w:r>
        <w:rPr>
          <w:color w:val="000000"/>
        </w:rPr>
        <w:t>●    </w:t>
      </w:r>
      <w:r>
        <w:rPr>
          <w:rFonts w:ascii="Times New Roman;serif" w:hAnsi="Times New Roman;serif"/>
          <w:b w:val="false"/>
          <w:color w:val="000000"/>
          <w:sz w:val="24"/>
        </w:rPr>
        <w:t xml:space="preserve">disclose to any other person (inside or outside of the Company) any material nonpublic information concerning the Company or suggest, while aware of material nonpublic information about the Company that anyone purchase or sell any Company securities;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this Policy does not restrict legitimate business communications to Company personnel who require the information in order to perform their business duties;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purchase, sell, pledge, donate or otherwise transact in any securities of another company while aware of any material nonpublic information concerning such other company, which information was learned in the course of service as a Director or employee (or as a family member or life partner of a Director or employee) of the Company; or</w:t>
      </w:r>
    </w:p>
    <w:p>
      <w:pPr>
        <w:pStyle w:val="TextBody"/>
        <w:bidi w:val="0"/>
        <w:spacing w:lineRule="auto" w:line="288" w:before="240" w:after="240"/>
        <w:ind w:left="0" w:right="0" w:hanging="360"/>
        <w:jc w:val="left"/>
        <w:rPr/>
      </w:pPr>
      <w:r>
        <w:rPr>
          <w:color w:val="000000"/>
        </w:rPr>
        <w:t>●    </w:t>
      </w:r>
      <w:r>
        <w:rPr>
          <w:rFonts w:ascii="Times New Roman;serif" w:hAnsi="Times New Roman;serif"/>
          <w:b w:val="false"/>
          <w:color w:val="000000"/>
          <w:sz w:val="24"/>
        </w:rPr>
        <w:t xml:space="preserve">disclose to any other person any material nonpublic information concerning another company, which information was learned in the course of service as a Director or employee (or as a family member or life partner of a Director or employee) of the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this Policy does not restrict legitimate business communications to Company personnel who require the information in order to perform their business duties.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2.3    There is no exception for small transactions or transactions that may seem necessary or justifiable for independent reasons, such as the need to raise money for an emergency expenditure.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2.4    The prohibition on purchases, sales, pledges, gifts, or other acquisitions or dispositions of Company securities, while aware of “material nonpublic information” concerning the Company, does not apply to Exempt Transactions (as defined in Section 3.3).</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2.5    The prohibitions on disclosure of material nonpublic information concerning the Company, and material nonpublic information concerning another company learned in the course of services to the Company, do not limit other obligations to maintain confidentiality of confidential information of the Company or third parties with which the Company does business. </w:t>
      </w:r>
    </w:p>
    <w:p>
      <w:pPr>
        <w:pStyle w:val="TextBody"/>
        <w:bidi w:val="0"/>
        <w:spacing w:lineRule="auto" w:line="288" w:before="0" w:after="240"/>
        <w:ind w:left="0" w:right="0" w:hanging="720"/>
        <w:jc w:val="left"/>
        <w:rPr/>
      </w:pPr>
      <w:r>
        <w:rPr>
          <w:rFonts w:ascii="Times New Roman;serif" w:hAnsi="Times New Roman;serif"/>
          <w:b w:val="false"/>
          <w:color w:val="000000"/>
          <w:sz w:val="24"/>
        </w:rPr>
        <w:t>3.    </w:t>
      </w:r>
      <w:r>
        <w:rPr>
          <w:rFonts w:ascii="Times New Roman;serif" w:hAnsi="Times New Roman;serif"/>
          <w:b/>
          <w:color w:val="000000"/>
          <w:sz w:val="24"/>
        </w:rPr>
        <w:t>BLACKOUT PERIODS.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3.1    The prohibitions in Section 3.2 of the Policy apply to the following persons: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Directors;</w:t>
      </w:r>
    </w:p>
    <w:p>
      <w:pPr>
        <w:pStyle w:val="TextBody"/>
        <w:bidi w:val="0"/>
        <w:spacing w:lineRule="auto" w:line="288" w:before="240" w:after="240"/>
        <w:ind w:left="0" w:right="0" w:hanging="360"/>
        <w:jc w:val="left"/>
        <w:rPr/>
      </w:pPr>
      <w:r>
        <w:rPr>
          <w:color w:val="000000"/>
        </w:rPr>
        <w:t>●    </w:t>
      </w:r>
      <w:r>
        <w:rPr>
          <w:rFonts w:ascii="Times New Roman;serif" w:hAnsi="Times New Roman;serif"/>
          <w:b w:val="false"/>
          <w:color w:val="000000"/>
          <w:sz w:val="24"/>
        </w:rPr>
        <w:t>all Section 16 officers, as defined by the Securities Exchange Commission rules (“</w:t>
      </w:r>
      <w:r>
        <w:rPr>
          <w:rFonts w:ascii="Times New Roman;serif" w:hAnsi="Times New Roman;serif"/>
          <w:b/>
          <w:color w:val="000000"/>
          <w:sz w:val="24"/>
        </w:rPr>
        <w:t>Section 16 Officers</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60655"/>
                <wp:effectExtent l="0" t="0" r="0" b="0"/>
                <wp:wrapNone/>
                <wp:docPr id="208" name="Frame2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3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3 of 8</w:t>
                      </w:r>
                    </w:p>
                  </w:txbxContent>
                </v:textbox>
                <w10:wrap type="none"/>
              </v:rect>
            </w:pict>
          </mc:Fallback>
        </mc:AlternateContent>
      </w:r>
    </w:p>
    <w:p>
      <w:pPr>
        <w:pStyle w:val="TextBody"/>
        <w:bidi w:val="0"/>
        <w:spacing w:lineRule="auto" w:line="288" w:before="240" w:after="240"/>
        <w:ind w:left="0" w:right="0" w:hanging="360"/>
        <w:jc w:val="left"/>
        <w:rPr/>
      </w:pPr>
      <w:r>
        <w:rPr>
          <w:color w:val="000000"/>
        </w:rPr>
        <w:t>●    </w:t>
      </w:r>
      <w:r>
        <w:rPr>
          <w:rFonts w:ascii="Times New Roman;serif" w:hAnsi="Times New Roman;serif"/>
          <w:b w:val="false"/>
          <w:color w:val="000000"/>
          <w:sz w:val="24"/>
        </w:rPr>
        <w:t>such other employees as are designated from time to time by the Board or its Nominating &amp; Governance Committee, or the Chief Legal Officer (“</w:t>
      </w:r>
      <w:r>
        <w:rPr>
          <w:rFonts w:ascii="Times New Roman;serif" w:hAnsi="Times New Roman;serif"/>
          <w:b/>
          <w:color w:val="000000"/>
          <w:sz w:val="24"/>
        </w:rPr>
        <w:t>Other Designated Employees</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family members or life partners of Directors, Section 16 Officers and Other Designated Employees who share the same address as, are financially dependent on, or whose transactions in the Company’s securities are influenced, controlled or directed by the Director, Section 16 Officer or Other Designated Employee; and</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corporations, partnerships, trusts or other entities owned or controlled by any of the above persons; and</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those consultants that may be designated by the Company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3.2    No person described in Section 3.1 may purchase, sell, pledge, donate, or otherwise transact in any securities of the Company during the following time periods (each, a “</w:t>
      </w:r>
      <w:r>
        <w:rPr>
          <w:rFonts w:ascii="Times New Roman;serif" w:hAnsi="Times New Roman;serif"/>
          <w:b/>
          <w:color w:val="000000"/>
          <w:sz w:val="24"/>
        </w:rPr>
        <w:t>Corporate Blackout Period</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beginning upon the close of regular trading hours on the fifteenth day of the last month of each fiscal quarter (or the previous trading day if the fifteenth is not a trading day) and ending upon the day after the completion of two full-day trading sessions of the principal exchange or market system upon which the Company’s common stock trades following the filing of the SEC report on Form 10-Q or Form 10-K that includes financial statements for the most recently completed fiscal quarter or year of the Company; </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beginning at the time of any public earnings-related announcement or public announcement of a significant corporate transaction or event and ending upon the completion of the second full trading day after such announcement; or</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during such other periods as may be established from time to time by the Board or its Nominating &amp; Governance Committee, or the Chief Legal Officer in light of particular events or developments affecting the Company.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addition, no person covered by this Section 3 shall inform a person not covered by this Section 3 that a Corporate Blackout Period imposed as a result of particular events or developments is in effect.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3.3    The </w:t>
      </w:r>
      <w:r>
        <w:rPr>
          <w:rFonts w:ascii="Times New Roman;serif" w:hAnsi="Times New Roman;serif"/>
          <w:b w:val="false"/>
          <w:color w:val="000000"/>
          <w:sz w:val="24"/>
          <w:u w:val="single"/>
        </w:rPr>
        <w:t>prohibitions</w:t>
      </w:r>
      <w:r>
        <w:rPr>
          <w:color w:val="000000"/>
        </w:rPr>
        <w:t xml:space="preserve"> </w:t>
      </w:r>
      <w:r>
        <w:rPr>
          <w:rFonts w:ascii="Times New Roman;serif" w:hAnsi="Times New Roman;serif"/>
          <w:b w:val="false"/>
          <w:color w:val="000000"/>
          <w:sz w:val="24"/>
        </w:rPr>
        <w:t xml:space="preserve">in Section 3.2 </w:t>
      </w:r>
      <w:r>
        <w:rPr>
          <w:rFonts w:ascii="Times New Roman;serif" w:hAnsi="Times New Roman;serif"/>
          <w:b w:val="false"/>
          <w:color w:val="000000"/>
          <w:sz w:val="24"/>
          <w:u w:val="single"/>
        </w:rPr>
        <w:t>do</w:t>
      </w:r>
      <w:r>
        <w:rPr>
          <w:color w:val="000000"/>
        </w:rPr>
        <w:t xml:space="preserve"> </w:t>
      </w:r>
      <w:r>
        <w:rPr>
          <w:rFonts w:ascii="Times New Roman;serif" w:hAnsi="Times New Roman;serif"/>
          <w:b w:val="false"/>
          <w:color w:val="000000"/>
          <w:sz w:val="24"/>
          <w:u w:val="single"/>
        </w:rPr>
        <w:t>not</w:t>
      </w:r>
      <w:r>
        <w:rPr>
          <w:color w:val="000000"/>
        </w:rPr>
        <w:t xml:space="preserve"> </w:t>
      </w:r>
      <w:r>
        <w:rPr>
          <w:rFonts w:ascii="Times New Roman;serif" w:hAnsi="Times New Roman;serif"/>
          <w:b w:val="false"/>
          <w:color w:val="000000"/>
          <w:sz w:val="24"/>
          <w:u w:val="single"/>
        </w:rPr>
        <w:t>apply</w:t>
      </w:r>
      <w:r>
        <w:rPr>
          <w:color w:val="000000"/>
        </w:rPr>
        <w:t xml:space="preserve"> </w:t>
      </w:r>
      <w:r>
        <w:rPr>
          <w:rFonts w:ascii="Times New Roman;serif" w:hAnsi="Times New Roman;serif"/>
          <w:b w:val="false"/>
          <w:color w:val="000000"/>
          <w:sz w:val="24"/>
        </w:rPr>
        <w:t>to any of the following (each, an “</w:t>
      </w:r>
      <w:r>
        <w:rPr>
          <w:rFonts w:ascii="Times New Roman;serif" w:hAnsi="Times New Roman;serif"/>
          <w:b/>
          <w:color w:val="000000"/>
          <w:sz w:val="24"/>
        </w:rPr>
        <w:t>Exempt Transaction</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60655"/>
                <wp:effectExtent l="0" t="0" r="0" b="0"/>
                <wp:wrapNone/>
                <wp:docPr id="209" name="Frame2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4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4 of 8</w:t>
                      </w:r>
                    </w:p>
                  </w:txbxContent>
                </v:textbox>
                <w10:wrap type="none"/>
              </v:rect>
            </w:pict>
          </mc:Fallback>
        </mc:AlternateContent>
      </w:r>
    </w:p>
    <w:p>
      <w:pPr>
        <w:pStyle w:val="TextBody"/>
        <w:bidi w:val="0"/>
        <w:spacing w:lineRule="auto" w:line="288" w:before="240" w:after="240"/>
        <w:ind w:left="0" w:right="0" w:hanging="360"/>
        <w:jc w:val="left"/>
        <w:rPr/>
      </w:pPr>
      <w:r>
        <w:rPr>
          <w:color w:val="000000"/>
        </w:rPr>
        <w:t>●    </w:t>
      </w:r>
      <w:r>
        <w:rPr>
          <w:rFonts w:ascii="Times New Roman;serif" w:hAnsi="Times New Roman;serif"/>
          <w:b w:val="false"/>
          <w:color w:val="000000"/>
          <w:sz w:val="24"/>
        </w:rPr>
        <w:t xml:space="preserve">purchases made under an employee stock purchase plan operated by the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securities so acquired may not be sold during a Corporate Blackout Period or otherwise in violation of this Policy;</w:t>
      </w:r>
    </w:p>
    <w:p>
      <w:pPr>
        <w:pStyle w:val="TextBody"/>
        <w:bidi w:val="0"/>
        <w:spacing w:lineRule="auto" w:line="288" w:before="240" w:after="240"/>
        <w:ind w:left="0" w:right="0" w:hanging="360"/>
        <w:jc w:val="left"/>
        <w:rPr/>
      </w:pPr>
      <w:r>
        <w:rPr>
          <w:color w:val="000000"/>
        </w:rPr>
        <w:t>●    </w:t>
      </w:r>
      <w:r>
        <w:rPr>
          <w:rFonts w:ascii="Times New Roman;serif" w:hAnsi="Times New Roman;serif"/>
          <w:b w:val="false"/>
          <w:color w:val="000000"/>
          <w:sz w:val="24"/>
        </w:rPr>
        <w:t xml:space="preserve">(i) “cash” exercises of stock options in payment of the exercise price and any applicable taxes, in a manner permitted by the Company, (ii) the surrender of shares to the Company, or automatic and non-discretionary sales by a broker pursuant to a pre-established plan or agreement to cover the tax obligations of the employee in connection with the vesting of awards (which for the avoidance of doubt does not have to be a Trading Plan as defined below, but rather can be a Company-wide approach as permitted by the Company’s equity incentive plans and award agreements thereunder), and (iii) an award of Company securities pursuant a Company equity incentive plan;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securities acquired under this provision may not be sold (either outright or in connection with a “cashless” exercise transaction through a broker) during a Corporate Blackout Period (unless pursuant to a Trading Plan as defined below) or otherwise in violation of this Policy; an acquisition of Company securities pursuant to a stock split, stock dividend or pro rata distribution to Company stockholders; </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an acquisition or disposition of Company securities pursuant to a domestic relations order, as defined in the Internal Revenue Code; </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transfers to any trust for the direct or indirect benefit of the transferee or his or her family, or other transfers for estate or tax planning purposes that do not change beneficial ownership; and </w:t>
      </w:r>
    </w:p>
    <w:p>
      <w:pPr>
        <w:pStyle w:val="TextBody"/>
        <w:bidi w:val="0"/>
        <w:spacing w:lineRule="auto" w:line="288" w:before="240" w:after="240"/>
        <w:ind w:left="0" w:right="0" w:hanging="360"/>
        <w:jc w:val="left"/>
        <w:rPr/>
      </w:pPr>
      <w:r>
        <w:rPr>
          <w:color w:val="000000"/>
        </w:rPr>
        <w:t>●    </w:t>
      </w:r>
      <w:r>
        <w:rPr>
          <w:rFonts w:ascii="Times New Roman;serif" w:hAnsi="Times New Roman;serif"/>
          <w:b w:val="false"/>
          <w:color w:val="000000"/>
          <w:sz w:val="24"/>
        </w:rPr>
        <w:t>purchases or sales made pursuant to a binding contract, written plan or specific instruction that is adopted and operated in compliance with Rule 10b5-1 under the Exchange Act (a “</w:t>
      </w:r>
      <w:r>
        <w:rPr>
          <w:rFonts w:ascii="Times New Roman;serif" w:hAnsi="Times New Roman;serif"/>
          <w:b/>
          <w:color w:val="000000"/>
          <w:sz w:val="24"/>
        </w:rPr>
        <w:t>Trading Plan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such Trading Plan: (1) is in writing; (2) satisfies the requirements of our 10b5-1 Trading Plans: Requirements and Best Practices guidelines; and (3) was submitted to the Company for review and approval by the Company; or transfers pursuant to an arrangement made before the transferor became subject to this Policy and not involving exercise of discretion by the transferor during a Corporate Blackout Period.</w:t>
      </w:r>
    </w:p>
    <w:p>
      <w:pPr>
        <w:pStyle w:val="TextBody"/>
        <w:bidi w:val="0"/>
        <w:spacing w:lineRule="auto" w:line="288" w:before="0" w:after="240"/>
        <w:ind w:left="0" w:right="0" w:hanging="720"/>
        <w:jc w:val="left"/>
        <w:rPr/>
      </w:pPr>
      <w:r>
        <w:rPr>
          <w:rFonts w:ascii="Times New Roman;serif" w:hAnsi="Times New Roman;serif"/>
          <w:b w:val="false"/>
          <w:color w:val="000000"/>
          <w:sz w:val="24"/>
        </w:rPr>
        <w:t>4.    </w:t>
      </w:r>
      <w:r>
        <w:rPr>
          <w:rFonts w:ascii="Times New Roman;serif" w:hAnsi="Times New Roman;serif"/>
          <w:b/>
          <w:color w:val="000000"/>
          <w:sz w:val="24"/>
        </w:rPr>
        <w:t>PRE-CLEARANCE OF SECURITIES TRANSACTIONS.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4.1    This Section 4 of the Policy applies to the following persons:</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60655"/>
                <wp:effectExtent l="0" t="0" r="0" b="0"/>
                <wp:wrapNone/>
                <wp:docPr id="210" name="Frame2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5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5 of 8</w:t>
                      </w:r>
                    </w:p>
                  </w:txbxContent>
                </v:textbox>
                <w10:wrap type="none"/>
              </v:rect>
            </w:pict>
          </mc:Fallback>
        </mc:AlternateConten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Directors;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Section 16 Officers;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Other Designated Employees; </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all family members or life partners of Directors, Section 16 Officers and Other Designated Employees who share the same address as, are financially dependent on, or whose transactions in the Company’s securities are influenced, controlled or directed by the Director, Section 16 Officers or Other Designated Employees; </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corporations, partnerships, trusts or other entities owned or controlled by any of the above persons; and</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those consultants that may be designated by the Company from time to time.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4.2    No person covered by this Section 4 may purchase, sell or otherwise transact in securities of the Company unless such transaction is first </w:t>
      </w:r>
      <w:r>
        <w:rPr>
          <w:rFonts w:ascii="Times New Roman;serif" w:hAnsi="Times New Roman;serif"/>
          <w:b w:val="false"/>
          <w:color w:val="000000"/>
          <w:sz w:val="24"/>
          <w:u w:val="single"/>
        </w:rPr>
        <w:t>pre-cleared</w:t>
      </w:r>
      <w:r>
        <w:rPr>
          <w:color w:val="000000"/>
        </w:rPr>
        <w:t xml:space="preserve"> </w:t>
      </w:r>
      <w:r>
        <w:rPr>
          <w:rFonts w:ascii="Times New Roman;serif" w:hAnsi="Times New Roman;serif"/>
          <w:b w:val="false"/>
          <w:color w:val="000000"/>
          <w:sz w:val="24"/>
        </w:rPr>
        <w:t xml:space="preserve">by the Company’s Chief Legal Officer or their designee. However, this pre-clearance requirement does not apply to Exempt Transactions. If a transaction is approved under the Policy, the transaction should be executed reasonably promptly after the approval is obtained. Notwithstanding the foregoing, the proposed trade may not be executed if the person acquires material nonpublic information concerning the Company prior to executing the trade. If a proposed transaction is not approved under the pre-clearance policy, the person should refrain from initiating any transaction in Company securities, and should not inform anyone within or outside of the Company of the restriction. </w:t>
      </w:r>
    </w:p>
    <w:p>
      <w:pPr>
        <w:pStyle w:val="TextBody"/>
        <w:bidi w:val="0"/>
        <w:spacing w:lineRule="auto" w:line="288" w:before="0" w:after="240"/>
        <w:ind w:left="0" w:right="0" w:firstLine="720"/>
        <w:jc w:val="left"/>
        <w:rPr/>
      </w:pPr>
      <w:r>
        <w:rPr>
          <w:rFonts w:ascii="Times New Roman;serif" w:hAnsi="Times New Roman;serif"/>
          <w:b w:val="false"/>
          <w:color w:val="000000"/>
          <w:sz w:val="24"/>
        </w:rPr>
        <w:t>4.3    Each Director and Section 16 Officer shall also notify the Chief Legal Officer or his or her designee of the occurrence of any purchase, sale or other acquisition or disposition of securities of the Company (including an Exempt Transaction) as soon as possible following the transaction, but in any event, within one business day after the transaction. This notification, which may be oral, in writing or via e-mail, should describe the type of transaction that occurred (</w:t>
      </w:r>
      <w:r>
        <w:rPr>
          <w:rFonts w:ascii="Times New Roman;serif" w:hAnsi="Times New Roman;serif"/>
          <w:b w:val="false"/>
          <w:i/>
          <w:color w:val="000000"/>
          <w:sz w:val="24"/>
        </w:rPr>
        <w:t>i.e.</w:t>
      </w:r>
      <w:r>
        <w:rPr>
          <w:rFonts w:ascii="Times New Roman;serif" w:hAnsi="Times New Roman;serif"/>
          <w:b w:val="false"/>
          <w:color w:val="000000"/>
          <w:sz w:val="24"/>
        </w:rPr>
        <w:t xml:space="preserve">, an open market purchase, a privately negotiated sale, an option exercise, etc.), the date of the transaction, the number of shares covered by the transaction, the purchase or sale price (if applicable), and whether the transaction was effected by the Director, or executive officer, other employees or consultants as are designated from time to time, or by a relative or affiliated entity of the foregoing. For purposes of this Section 4.3, a purchase, sale or other acquisition or disposition shall be deemed to occur at the time that the person becomes irrevocably committed to it; in the case of an open market purchase or sale, this occurs when the trade is executed (not when it settles). </w:t>
      </w:r>
    </w:p>
    <w:p>
      <w:pPr>
        <w:pStyle w:val="TextBody"/>
        <w:bidi w:val="0"/>
        <w:spacing w:lineRule="auto" w:line="288" w:before="0" w:after="240"/>
        <w:ind w:left="0" w:right="0" w:hanging="720"/>
        <w:jc w:val="left"/>
        <w:rPr/>
      </w:pPr>
      <w:r>
        <w:rPr>
          <w:rFonts w:ascii="Times New Roman;serif" w:hAnsi="Times New Roman;serif"/>
          <w:b w:val="false"/>
          <w:color w:val="000000"/>
          <w:sz w:val="24"/>
        </w:rPr>
        <w:t>5.    </w:t>
      </w:r>
      <w:r>
        <w:rPr>
          <w:rFonts w:ascii="Times New Roman;serif" w:hAnsi="Times New Roman;serif"/>
          <w:b/>
          <w:color w:val="000000"/>
          <w:sz w:val="24"/>
        </w:rPr>
        <w:t>OTHER PROHIBITIONS ON TRADING ACTIVITIES.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5.1    This Section 5 of the Policy applies to the following persons:</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60655"/>
                <wp:effectExtent l="0" t="0" r="0" b="0"/>
                <wp:wrapNone/>
                <wp:docPr id="211" name="Frame2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6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6 of 8</w:t>
                      </w:r>
                    </w:p>
                  </w:txbxContent>
                </v:textbox>
                <w10:wrap type="none"/>
              </v:rect>
            </w:pict>
          </mc:Fallback>
        </mc:AlternateConten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Directors;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Section 16 Officers;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Other Designated Employees;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all family members or life partners of Directors, Section 16 Officers and Other Designated Employees who share the same address as, are financially dependent on, or whose transactions in the Company’s securities are influenced, controlled or directed by the Director, Section 16 Officers or Other Designated Employees; </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all corporations, partnerships, trusts or other entities owned or controlled by any of the above persons; and</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those consultants that may be designated by the Company from time to time.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5.2    Persons covered by this Section 5 </w:t>
      </w:r>
      <w:r>
        <w:rPr>
          <w:rFonts w:ascii="Times New Roman;serif" w:hAnsi="Times New Roman;serif"/>
          <w:b w:val="false"/>
          <w:color w:val="000000"/>
          <w:sz w:val="24"/>
          <w:u w:val="single"/>
        </w:rPr>
        <w:t>may</w:t>
      </w:r>
      <w:r>
        <w:rPr>
          <w:color w:val="000000"/>
        </w:rPr>
        <w:t xml:space="preserve"> </w:t>
      </w:r>
      <w:r>
        <w:rPr>
          <w:rFonts w:ascii="Times New Roman;serif" w:hAnsi="Times New Roman;serif"/>
          <w:b w:val="false"/>
          <w:color w:val="000000"/>
          <w:sz w:val="24"/>
          <w:u w:val="single"/>
        </w:rPr>
        <w:t>not</w:t>
      </w:r>
      <w:r>
        <w:rPr>
          <w:color w:val="000000"/>
        </w:rPr>
        <w:t xml:space="preserve"> </w:t>
      </w:r>
      <w:r>
        <w:rPr>
          <w:rFonts w:ascii="Times New Roman;serif" w:hAnsi="Times New Roman;serif"/>
          <w:b w:val="false"/>
          <w:color w:val="000000"/>
          <w:sz w:val="24"/>
        </w:rPr>
        <w:t>engage in any of the following types of transactions:</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 xml:space="preserve">short sales and margin purchases of Company securities; </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pledges of Company securities as collateral;</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transactions that are designed to hedge or offset any decrease in the market value of Company securities, including prepaid variable forward contracts, equity swaps, futures, collars, exchange funds, options, puts, and calls; or</w:t>
      </w:r>
    </w:p>
    <w:p>
      <w:pPr>
        <w:pStyle w:val="TextBody"/>
        <w:bidi w:val="0"/>
        <w:spacing w:lineRule="auto" w:line="288" w:before="240" w:after="240"/>
        <w:ind w:left="0" w:right="0" w:hanging="360"/>
        <w:jc w:val="left"/>
        <w:rPr>
          <w:color w:val="000000"/>
        </w:rPr>
      </w:pPr>
      <w:r>
        <w:rPr>
          <w:color w:val="000000"/>
        </w:rPr>
        <w:t>●    </w:t>
      </w:r>
      <w:r>
        <w:rPr>
          <w:rFonts w:ascii="Times New Roman;serif" w:hAnsi="Times New Roman;serif"/>
          <w:b w:val="false"/>
          <w:color w:val="000000"/>
          <w:sz w:val="24"/>
        </w:rPr>
        <w:t>purchases or sales of puts, calls or other derivative securities involving the Company’s equity securities for speculative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5.3    If a person covered by this Section 5 is in possession of material, non-public information when his or her service terminates, that person may not trade in the Company’s securities until that information has become public or is no longer material.</w:t>
      </w:r>
    </w:p>
    <w:p>
      <w:pPr>
        <w:pStyle w:val="TextBody"/>
        <w:bidi w:val="0"/>
        <w:spacing w:lineRule="auto" w:line="288" w:before="0" w:after="240"/>
        <w:ind w:left="0" w:right="0" w:hanging="720"/>
        <w:jc w:val="left"/>
        <w:rPr/>
      </w:pPr>
      <w:r>
        <w:rPr>
          <w:rFonts w:ascii="Times New Roman;serif" w:hAnsi="Times New Roman;serif"/>
          <w:b w:val="false"/>
          <w:color w:val="000000"/>
          <w:sz w:val="24"/>
        </w:rPr>
        <w:t>6.    </w:t>
      </w:r>
      <w:r>
        <w:rPr>
          <w:rFonts w:ascii="Times New Roman;serif" w:hAnsi="Times New Roman;serif"/>
          <w:b/>
          <w:color w:val="000000"/>
          <w:sz w:val="24"/>
        </w:rPr>
        <w:t>ADVANCE NOTICE.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6.1    This Section 6 of the Policy applies to all of the persons covered by Section 2 of the Policy who are not also subject to the pre-clearance requirements in Section 4.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6.2    Each person subject to this Section 6 must notify the Chief Legal Officer or their designee at least two business days in advance of any purchase or sale of the securities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60655"/>
                <wp:effectExtent l="0" t="0" r="0" b="0"/>
                <wp:wrapNone/>
                <wp:docPr id="212" name="Frame2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7 of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7 of 8</w:t>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color w:val="000000"/>
          <w:sz w:val="24"/>
        </w:rPr>
        <w:t>7.    </w:t>
      </w:r>
      <w:r>
        <w:rPr>
          <w:rFonts w:ascii="Times New Roman;serif" w:hAnsi="Times New Roman;serif"/>
          <w:b/>
          <w:color w:val="000000"/>
          <w:sz w:val="24"/>
        </w:rPr>
        <w:t>PENALTIES FOR VIOLATION.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Violation of any of the foregoing rules is grounds for disciplinary action by the Company, including employment termination.</w:t>
      </w:r>
    </w:p>
    <w:p>
      <w:pPr>
        <w:pStyle w:val="TextBody"/>
        <w:bidi w:val="0"/>
        <w:spacing w:lineRule="auto" w:line="288" w:before="0" w:after="240"/>
        <w:ind w:left="0" w:right="0" w:hanging="720"/>
        <w:jc w:val="left"/>
        <w:rPr/>
      </w:pPr>
      <w:r>
        <w:rPr>
          <w:rFonts w:ascii="Times New Roman;serif" w:hAnsi="Times New Roman;serif"/>
          <w:b w:val="false"/>
          <w:color w:val="000000"/>
          <w:sz w:val="24"/>
        </w:rPr>
        <w:t>8.    </w:t>
      </w:r>
      <w:r>
        <w:rPr>
          <w:rFonts w:ascii="Times New Roman;serif" w:hAnsi="Times New Roman;serif"/>
          <w:b/>
          <w:color w:val="000000"/>
          <w:sz w:val="24"/>
        </w:rPr>
        <w:t>COMPANY ASSISTANCE AND EDUCATION.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8.1    The Company shall take reasonable steps designed to ensure that all Directors and employees of the Company are educated about, and periodically reminded of, the federal securities law restrictions and Company policies regarding insider trading.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8.2    The Company may provide assistance to Directors and Section 16 Officers in connection with the filing of Forms 3, 4 and 5 under Section 16 of the Exchange Act. However, the ultimate responsibility, and liability, for timely filing remains with the Directors and Section 16 Officers. </w:t>
      </w:r>
    </w:p>
    <w:p>
      <w:pPr>
        <w:pStyle w:val="TextBody"/>
        <w:bidi w:val="0"/>
        <w:spacing w:lineRule="auto" w:line="288" w:before="0" w:after="240"/>
        <w:ind w:left="0" w:right="0" w:hanging="720"/>
        <w:jc w:val="left"/>
        <w:rPr/>
      </w:pPr>
      <w:r>
        <w:rPr>
          <w:rFonts w:ascii="Times New Roman;serif" w:hAnsi="Times New Roman;serif"/>
          <w:b w:val="false"/>
          <w:color w:val="000000"/>
          <w:sz w:val="24"/>
        </w:rPr>
        <w:t>9.    </w:t>
      </w:r>
      <w:r>
        <w:rPr>
          <w:rFonts w:ascii="Times New Roman;serif" w:hAnsi="Times New Roman;serif"/>
          <w:b/>
          <w:color w:val="000000"/>
          <w:sz w:val="24"/>
        </w:rPr>
        <w:t>APPLICABILITY.</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No person subject to this Policy shall be determined to have been in possession of material nonpublic information solely by virtue of the fact that such person is subject to this Policy.</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in the Company’s securities.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60655"/>
                <wp:effectExtent l="0" t="0" r="0" b="0"/>
                <wp:wrapNone/>
                <wp:docPr id="213" name="Frame2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8 of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8 of 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List of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Australia PTY Limited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Holdings Pty Ltd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CTV Pty Ltd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SpotX Australia Pty Ltd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Servicos De Internet Ltda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Canada,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Rubicon Project Canada ULC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SARL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GmbH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Advertising Solutions India Private Limited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S.R.L.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K.K.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SpotX Japan G.K.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Netherlands B.V.</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CTV (NZ) Limited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Singapore Pte Ltd.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Spain, S.L.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AB</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Ltd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SpotX Limited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Apex,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Bell,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Rubicon Project Unlatch,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Magnite Hopper,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Project Daylight,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Rubicon Project Daylight, Inc.</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CONSENT OF INDEPENDENT REGISTERED PUBLIC ACCOUNTING FIRM</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 consent to the incorporation by reference in Registration Statement Nos. 333-195972, 333-201174, 333-204012, 333-219563, 333-237613 and 333-263222 on Form S-8 of our reports dated February 25, 2026, relating to the financial statements of Magnite, Inc. and the effectiveness of Magnite, Inc.’s internal control over financial reporting appearing in this Annual Report on Form 10-K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Los Angeles, California</w:t>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Rules 13a-14(a) and 15d-14(a),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Michael Barrett,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w:t>
      </w:r>
      <w:r>
        <w:rPr>
          <w:rFonts w:ascii="Times New Roman;serif" w:hAnsi="Times New Roman;serif"/>
          <w:b w:val="false"/>
          <w:color w:val="000000"/>
          <w:sz w:val="18"/>
        </w:rPr>
        <w:t>I have reviewed this Annual Report on Form 10-K of Magnite, Inc.;</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b.</w:t>
      </w:r>
      <w:r>
        <w:rPr>
          <w:color w:val="000000"/>
        </w:rPr>
        <w:t>    </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c.</w:t>
      </w:r>
      <w:r>
        <w:rPr>
          <w:color w:val="000000"/>
        </w:rPr>
        <w:t>    </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d.</w:t>
      </w:r>
      <w:r>
        <w:rPr>
          <w:color w:val="000000"/>
        </w:rPr>
        <w:t>    </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 xml:space="preserve">a. </w:t>
      </w:r>
      <w:r>
        <w:rPr>
          <w:color w:val="000000"/>
        </w:rPr>
        <w:t>    </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rPr/>
      </w:pPr>
      <w:r>
        <w:rPr/>
      </w:r>
    </w:p>
    <w:p>
      <w:pPr>
        <w:pStyle w:val="TextBody"/>
        <w:bidi w:val="0"/>
        <w:spacing w:lineRule="auto" w:line="288" w:before="0" w:after="280"/>
        <w:ind w:left="0" w:right="0" w:hanging="540"/>
        <w:jc w:val="left"/>
        <w:rPr/>
      </w:pPr>
      <w:r>
        <w:rPr>
          <w:color w:val="000000"/>
        </w:rPr>
        <w:t> </w:t>
      </w:r>
      <w:r>
        <w:rPr>
          <w:rFonts w:ascii="Times New Roman;serif" w:hAnsi="Times New Roman;serif"/>
          <w:b w:val="false"/>
          <w:color w:val="000000"/>
          <w:sz w:val="18"/>
        </w:rPr>
        <w:t xml:space="preserve">b. </w:t>
      </w:r>
      <w:r>
        <w:rPr>
          <w:color w:val="000000"/>
        </w:rPr>
        <w:t>    </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bl>
      <w:tblPr>
        <w:tblW w:w="4827" w:type="dxa"/>
        <w:jc w:val="center"/>
        <w:tblInd w:w="0" w:type="dxa"/>
        <w:tblLayout w:type="fixed"/>
        <w:tblCellMar>
          <w:top w:w="28" w:type="dxa"/>
          <w:left w:w="28" w:type="dxa"/>
          <w:bottom w:w="28" w:type="dxa"/>
          <w:right w:w="28" w:type="dxa"/>
        </w:tblCellMar>
      </w:tblPr>
      <w:tblGrid>
        <w:gridCol w:w="656"/>
        <w:gridCol w:w="578"/>
        <w:gridCol w:w="580"/>
        <w:gridCol w:w="274"/>
        <w:gridCol w:w="274"/>
        <w:gridCol w:w="276"/>
        <w:gridCol w:w="638"/>
        <w:gridCol w:w="638"/>
        <w:gridCol w:w="913"/>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Barrett</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February 25, 2026</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Michael Barrett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color w:val="000000"/>
        </w:rPr>
        <w:t> </w:t>
      </w:r>
      <w:r>
        <w:rPr>
          <w:rFonts w:ascii="Times New Roman;serif" w:hAnsi="Times New Roman;serif"/>
          <w:b/>
          <w:color w:val="000000"/>
          <w:sz w:val="18"/>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Rules 13a-14(a) and 15d-14(a),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David Day, certify that: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18"/>
        </w:rPr>
        <w:t>I have reviewed this Annual Report on Form 10-K of Magnite, Inc.;</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8"/>
        </w:rPr>
        <w:t xml:space="preserve">5. </w:t>
      </w:r>
      <w:r>
        <w:rPr>
          <w:color w:val="000000"/>
        </w:rPr>
        <w:t>    </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783" w:type="dxa"/>
        <w:jc w:val="center"/>
        <w:tblInd w:w="0" w:type="dxa"/>
        <w:tblLayout w:type="fixed"/>
        <w:tblCellMar>
          <w:top w:w="28" w:type="dxa"/>
          <w:left w:w="28" w:type="dxa"/>
          <w:bottom w:w="28" w:type="dxa"/>
          <w:right w:w="28" w:type="dxa"/>
        </w:tblCellMar>
      </w:tblPr>
      <w:tblGrid>
        <w:gridCol w:w="656"/>
        <w:gridCol w:w="578"/>
        <w:gridCol w:w="580"/>
        <w:gridCol w:w="274"/>
        <w:gridCol w:w="274"/>
        <w:gridCol w:w="276"/>
        <w:gridCol w:w="627"/>
        <w:gridCol w:w="627"/>
        <w:gridCol w:w="891"/>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David Day</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February 25, 2026</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David Day</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18"/>
        </w:rPr>
      </w:pPr>
      <w:r>
        <w:rPr>
          <w:rFonts w:ascii="Times New Roman;serif" w:hAnsi="Times New Roman;serif"/>
          <w:b/>
          <w:color w:val="000000"/>
          <w:sz w:val="18"/>
        </w:rPr>
        <w:t>Exhibit 32</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CERTIFICATIONS OF PRINCIPAL EXECUTIVE OFFICER AND PRINCIPAL FINANCIAL OFFICER PURSUANT TO 18 U.S.C. SECTION 1350,</w:t>
      </w:r>
    </w:p>
    <w:p>
      <w:pPr>
        <w:pStyle w:val="TextBody"/>
        <w:bidi w:val="0"/>
        <w:spacing w:lineRule="auto" w:line="417" w:before="0" w:after="0"/>
        <w:jc w:val="center"/>
        <w:rPr>
          <w:color w:val="000000"/>
        </w:rPr>
      </w:pPr>
      <w:r>
        <w:rPr>
          <w:color w:val="000000"/>
        </w:rPr>
        <w:t> </w:t>
      </w:r>
      <w:r>
        <w:rPr>
          <w:rFonts w:ascii="Times New Roman;serif" w:hAnsi="Times New Roman;serif"/>
          <w:b/>
          <w:color w:val="000000"/>
          <w:sz w:val="18"/>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Section 906 of the Sarbanes-Oxley Act of 2002 (18 U.S.C. 1350), Michael Barrett, Chief Executive Officer (Principal Executive Officer) of Magnite, Inc. (the "Company"), and David Day, Chief Financial Officer (Principal Financial Officer) of the Company, each hereby certifies that, to the best of his knowledge:</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18"/>
        </w:rPr>
        <w:t>Our Annual Report on Form 10-K for the quarter ended December 31, 2025, to which this certification is attached as Exhibit 32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18"/>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Date February 25, 2026 </w:t>
      </w:r>
    </w:p>
    <w:tbl>
      <w:tblPr>
        <w:tblW w:w="2531" w:type="dxa"/>
        <w:jc w:val="center"/>
        <w:tblInd w:w="0" w:type="dxa"/>
        <w:tblLayout w:type="fixed"/>
        <w:tblCellMar>
          <w:top w:w="28" w:type="dxa"/>
          <w:left w:w="28" w:type="dxa"/>
          <w:bottom w:w="28" w:type="dxa"/>
          <w:right w:w="28" w:type="dxa"/>
        </w:tblCellMar>
      </w:tblPr>
      <w:tblGrid>
        <w:gridCol w:w="124"/>
        <w:gridCol w:w="109"/>
        <w:gridCol w:w="109"/>
        <w:gridCol w:w="638"/>
        <w:gridCol w:w="638"/>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Barrett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Michael Barrett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tbl>
      <w:tblPr>
        <w:tblW w:w="2487" w:type="dxa"/>
        <w:jc w:val="center"/>
        <w:tblInd w:w="0" w:type="dxa"/>
        <w:tblLayout w:type="fixed"/>
        <w:tblCellMar>
          <w:top w:w="28" w:type="dxa"/>
          <w:left w:w="28" w:type="dxa"/>
          <w:bottom w:w="28" w:type="dxa"/>
          <w:right w:w="28" w:type="dxa"/>
        </w:tblCellMar>
      </w:tblPr>
      <w:tblGrid>
        <w:gridCol w:w="124"/>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David Day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David Day</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595974/000119312519321262/d689169dex21.htm" TargetMode="External"/><Relationship Id="rId4" Type="http://schemas.openxmlformats.org/officeDocument/2006/relationships/hyperlink" Target="https://www.sec.gov/Archives/edgar/data/1595974/000138713121001803/ex2-1.htm" TargetMode="External"/><Relationship Id="rId5" Type="http://schemas.openxmlformats.org/officeDocument/2006/relationships/hyperlink" Target="https://www.sec.gov/Archives/edgar/data/1595974/000159597421000028/a21spaamendment.htm" TargetMode="External"/><Relationship Id="rId6" Type="http://schemas.openxmlformats.org/officeDocument/2006/relationships/hyperlink" Target="https://www.sec.gov/Archives/edgar/data/1595974/000159597414000004/rubi20140331exhibit31.htm" TargetMode="External"/><Relationship Id="rId7" Type="http://schemas.openxmlformats.org/officeDocument/2006/relationships/hyperlink" Target="https://www.sec.gov/Archives/edgar/data/1595974/000138713120006046/ex3-1.htm" TargetMode="External"/><Relationship Id="rId8" Type="http://schemas.openxmlformats.org/officeDocument/2006/relationships/hyperlink" Target="https://www.sec.gov/Archives/edgar/data/1595974/000159597422000018/exhibit31-magnitefifthamen.htm" TargetMode="External"/><Relationship Id="rId9" Type="http://schemas.openxmlformats.org/officeDocument/2006/relationships/hyperlink" Target="https://www.sec.gov/Archives/edgar/data/1595974/000159597421000016/exhibit41.htm" TargetMode="External"/><Relationship Id="rId10" Type="http://schemas.openxmlformats.org/officeDocument/2006/relationships/hyperlink" Target="https://www.sec.gov/Archives/edgar/data/1595974/000119312521087690/d124179dex41.htm" TargetMode="External"/><Relationship Id="rId11" Type="http://schemas.openxmlformats.org/officeDocument/2006/relationships/hyperlink" Target="https://www.sec.gov/Archives/edgar/data/1595974/000119312521087690/d124179dex41.htm" TargetMode="External"/><Relationship Id="rId12" Type="http://schemas.openxmlformats.org/officeDocument/2006/relationships/hyperlink" Target="https://www.sec.gov/Archives/edgar/data/1595974/000162828016014095/ex1012014equityincentivepl.htm" TargetMode="External"/><Relationship Id="rId13" Type="http://schemas.openxmlformats.org/officeDocument/2006/relationships/hyperlink" Target="https://www.sec.gov/Archives/edgar/data/1595974/000162828015001546/exhibit102b-2014planglobal.htm" TargetMode="External"/><Relationship Id="rId14" Type="http://schemas.openxmlformats.org/officeDocument/2006/relationships/hyperlink" Target="https://www.sec.gov/Archives/edgar/data/1595974/000162828015001546/exhibit102c2014planglobalr.htm" TargetMode="External"/><Relationship Id="rId15" Type="http://schemas.openxmlformats.org/officeDocument/2006/relationships/hyperlink" Target="https://www.sec.gov/Archives/edgar/data/1595974/000162828015001546/exhibit102d-nonxempeedirec.htm" TargetMode="External"/><Relationship Id="rId16" Type="http://schemas.openxmlformats.org/officeDocument/2006/relationships/hyperlink" Target="https://www.sec.gov/Archives/edgar/data/1595974/000162828015001546/exhibit102e-nonxemployeedi.htm" TargetMode="External"/><Relationship Id="rId17" Type="http://schemas.openxmlformats.org/officeDocument/2006/relationships/hyperlink" Target="https://www.sec.gov/Archives/edgar/data/1595974/000159597424000014/exhibit1007-2014eippsunoti.htm" TargetMode="External"/><Relationship Id="rId18" Type="http://schemas.openxmlformats.org/officeDocument/2006/relationships/hyperlink" Target="https://www.sec.gov/Archives/edgar/data/1595974/000162828016014095/ex1022014inducementgranteq.htm" TargetMode="External"/><Relationship Id="rId19" Type="http://schemas.openxmlformats.org/officeDocument/2006/relationships/hyperlink" Target="https://www.sec.gov/Archives/edgar/data/1595974/000138713120003794/ex99-2.htm" TargetMode="External"/><Relationship Id="rId20" Type="http://schemas.openxmlformats.org/officeDocument/2006/relationships/hyperlink" Target="https://www.sec.gov/Archives/edgar/data/1595974/000159597423000031/exhibit101-arequityplan.htm" TargetMode="External"/><Relationship Id="rId21" Type="http://schemas.openxmlformats.org/officeDocument/2006/relationships/hyperlink" Target="https://www.sec.gov/Archives/edgar/data/1595974/000159597424000014/exhibit1011-ar2014optionno.htm" TargetMode="External"/><Relationship Id="rId22" Type="http://schemas.openxmlformats.org/officeDocument/2006/relationships/hyperlink" Target="https://www.sec.gov/Archives/edgar/data/1595974/000159597424000014/exhibit1012-ar20144yrsugra.htm" TargetMode="External"/><Relationship Id="rId23" Type="http://schemas.openxmlformats.org/officeDocument/2006/relationships/hyperlink" Target="https://www.sec.gov/Archives/edgar/data/1595974/000159597424000014/exhibit1013-ar2014psuaward.htm" TargetMode="External"/><Relationship Id="rId24" Type="http://schemas.openxmlformats.org/officeDocument/2006/relationships/hyperlink" Target="https://www.sec.gov/Archives/edgar/data/1595974/000159597424000014/exhibit1014-ar2014annualbo.htm" TargetMode="External"/><Relationship Id="rId25" Type="http://schemas.openxmlformats.org/officeDocument/2006/relationships/hyperlink" Target="https://www.sec.gov/Archives/edgar/data/1595974/000159597423000031/exhibit102-arespp.htm" TargetMode="External"/><Relationship Id="rId26" Type="http://schemas.openxmlformats.org/officeDocument/2006/relationships/hyperlink" Target="https://www.sec.gov/Archives/edgar/data/1595974/000119312514107181/d652651dex1017.htm" TargetMode="External"/><Relationship Id="rId27" Type="http://schemas.openxmlformats.org/officeDocument/2006/relationships/hyperlink" Target="https://www.sec.gov/Archives/edgar/data/1595974/000159597420000026/exhibit1023.htm" TargetMode="External"/><Relationship Id="rId28" Type="http://schemas.openxmlformats.org/officeDocument/2006/relationships/hyperlink" Target="https://www.sec.gov/Archives/edgar/data/1595974/000159597420000026/exhibit1023.htm" TargetMode="External"/><Relationship Id="rId29" Type="http://schemas.openxmlformats.org/officeDocument/2006/relationships/hyperlink" Target="https://www.sec.gov/Archives/edgar/data/1595974/000162828017002792/exhibit101.htm" TargetMode="External"/><Relationship Id="rId30" Type="http://schemas.openxmlformats.org/officeDocument/2006/relationships/hyperlink" Target="https://www.sec.gov/Archives/edgar/data/1595974/000162828017002792/exhibit102.htm" TargetMode="External"/><Relationship Id="rId31" Type="http://schemas.openxmlformats.org/officeDocument/2006/relationships/hyperlink" Target="https://www.sec.gov/Archives/edgar/data/1595974/000159597420000130/saltzseveranceagreemen.htm" TargetMode="External"/><Relationship Id="rId32" Type="http://schemas.openxmlformats.org/officeDocument/2006/relationships/hyperlink" Target="https://www.sec.gov/Archives/edgar/data/1595974/000159597421000016/exhibit1016.htm" TargetMode="External"/><Relationship Id="rId33" Type="http://schemas.openxmlformats.org/officeDocument/2006/relationships/hyperlink" Target="https://www.sec.gov/Archives/edgar/data/1595974/000159597422000010/exhibit1016-zillowmagnites.htm" TargetMode="External"/><Relationship Id="rId34" Type="http://schemas.openxmlformats.org/officeDocument/2006/relationships/hyperlink" Target="https://www.sec.gov/Archives/edgar/data/1595974/000159597425000043/exhibit101firstamendmentsu.htm" TargetMode="External"/><Relationship Id="rId35" Type="http://schemas.openxmlformats.org/officeDocument/2006/relationships/hyperlink" Target="https://www.sec.gov/Archives/edgar/data/1595974/000159597425000043/exhibit101firstamendmentsu.htm" TargetMode="External"/><Relationship Id="rId36" Type="http://schemas.openxmlformats.org/officeDocument/2006/relationships/hyperlink" Target="https://www.sec.gov/Archives/edgar/data/1595974/000159597425000043/exhibit101firstamendmentsu.htm" TargetMode="External"/><Relationship Id="rId37" Type="http://schemas.openxmlformats.org/officeDocument/2006/relationships/hyperlink" Target="https://www.sec.gov/Archives/edgar/data/1595974/000159597425000043/exhibit101firstamendmentsu.htm" TargetMode="External"/><Relationship Id="rId38" Type="http://schemas.openxmlformats.org/officeDocument/2006/relationships/hyperlink" Target="https://www.sec.gov/Archives/edgar/data/1595974/000159597425000043/exhibit101firstamendmentsu.htm" TargetMode="External"/><Relationship Id="rId39" Type="http://schemas.openxmlformats.org/officeDocument/2006/relationships/hyperlink" Target="https://www.sec.gov/Archives/edgar/data/1595974/000119312521087690/d124179dex101.htm" TargetMode="External"/><Relationship Id="rId40" Type="http://schemas.openxmlformats.org/officeDocument/2006/relationships/hyperlink" Target="https://www.sec.gov/Archives/edgar/data/1595974/000159597421000045/exhibit101magniteincrement.htm" TargetMode="External"/><Relationship Id="rId41" Type="http://schemas.openxmlformats.org/officeDocument/2006/relationships/hyperlink" Target="https://www.sec.gov/Archives/edgar/data/1595974/000159597424000014/exhibit1028-creditagreemen.htm" TargetMode="External"/><Relationship Id="rId42" Type="http://schemas.openxmlformats.org/officeDocument/2006/relationships/hyperlink" Target="https://www.sec.gov/Archives/edgar/data/1595974/000119312524221440/d895917dex101.htm" TargetMode="External"/><Relationship Id="rId43" Type="http://schemas.openxmlformats.org/officeDocument/2006/relationships/hyperlink" Target="https://www.sec.gov/Archives/edgar/data/1595974/000119312525056671/d942988dex101.htm" TargetMode="External"/><Relationship Id="rId44" Type="http://schemas.openxmlformats.org/officeDocument/2006/relationships/hyperlink" Target="https://www.sec.gov/Archives/edgar/data/1595974/000159597424000014/exhibit97magniteclawbackpo.htm" TargetMode="External"/><Relationship Id="rId45" Type="http://schemas.openxmlformats.org/officeDocument/2006/relationships/hyperlink" Target="https://www.sec.gov/Archives/edgar/data/1595974/000159597421000045/exhibit101magniteincrement.htm" TargetMode="External"/><Relationship Id="rId46" Type="http://schemas.openxmlformats.org/officeDocument/2006/relationships/hyperlink" Target="https://www.sec.gov/Archives/edgar/data/1595974/000159597424000014/exhibit1028-creditagreemen.htm" TargetMode="External"/><Relationship Id="rId47" Type="http://schemas.openxmlformats.org/officeDocument/2006/relationships/hyperlink" Target="https://www.sec.gov/Archives/edgar/data/1595974/000159597424000014/exhibit97magniteclawbackpo.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114</Pages>
  <Words>120621</Words>
  <Characters>654713</Characters>
  <CharactersWithSpaces>774097</CharactersWithSpaces>
  <Paragraphs>5181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