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4"/>
          <w:szCs w:val="24"/>
          <w:color w:val="auto"/>
        </w:rPr>
      </w:pPr>
    </w:p>
    <w:p>
      <w:pPr>
        <w:spacing w:after="0" w:line="3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0"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7"/>
          <w:szCs w:val="17"/>
          <w:b w:val="1"/>
          <w:bCs w:val="1"/>
          <w:color w:val="auto"/>
        </w:rPr>
        <w:t>__________________</w:t>
      </w:r>
    </w:p>
    <w:p>
      <w:pPr>
        <w:spacing w:after="0" w:line="1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FORM 10-Q</w:t>
      </w:r>
    </w:p>
    <w:p>
      <w:pPr>
        <w:spacing w:after="0" w:line="36"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7"/>
          <w:szCs w:val="17"/>
          <w:b w:val="1"/>
          <w:bCs w:val="1"/>
          <w:color w:val="auto"/>
        </w:rPr>
        <w:t>__________________</w:t>
      </w:r>
    </w:p>
    <w:p>
      <w:pPr>
        <w:spacing w:after="0" w:line="1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(Mark One)</w:t>
      </w:r>
    </w:p>
    <w:p>
      <w:pPr>
        <w:spacing w:after="0" w:line="222" w:lineRule="exact"/>
        <w:rPr>
          <w:sz w:val="24"/>
          <w:szCs w:val="24"/>
          <w:color w:val="auto"/>
        </w:rPr>
      </w:pPr>
    </w:p>
    <w:p>
      <w:pPr>
        <w:ind w:left="1380" w:hanging="200"/>
        <w:spacing w:after="0"/>
        <w:tabs>
          <w:tab w:leader="none" w:pos="13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the quarterly period ended March 31, 2025</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OR</w:t>
      </w:r>
    </w:p>
    <w:p>
      <w:pPr>
        <w:spacing w:after="0" w:line="6" w:lineRule="exact"/>
        <w:rPr>
          <w:sz w:val="24"/>
          <w:szCs w:val="24"/>
          <w:color w:val="auto"/>
        </w:rPr>
      </w:pPr>
    </w:p>
    <w:p>
      <w:pPr>
        <w:jc w:val="center"/>
        <w:ind w:left="3260" w:right="1140" w:hanging="2108"/>
        <w:spacing w:after="0" w:line="272" w:lineRule="auto"/>
        <w:tabs>
          <w:tab w:leader="none" w:pos="1349"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_____________ to _____________</w:t>
      </w:r>
    </w:p>
    <w:p>
      <w:pPr>
        <w:spacing w:after="0" w:line="1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Commission File Number: 001-36384</w:t>
      </w:r>
    </w:p>
    <w:p>
      <w:pPr>
        <w:spacing w:after="0" w:line="32"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7"/>
          <w:szCs w:val="17"/>
          <w:b w:val="1"/>
          <w:bCs w:val="1"/>
          <w:color w:val="auto"/>
        </w:rPr>
        <w:t>__________________</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MAGNITE, INC.</w:t>
      </w:r>
    </w:p>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17"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7"/>
          <w:szCs w:val="17"/>
          <w:b w:val="1"/>
          <w:bCs w:val="1"/>
          <w:color w:val="auto"/>
        </w:rPr>
        <w:t>__________________</w:t>
      </w:r>
    </w:p>
    <w:p>
      <w:pPr>
        <w:sectPr>
          <w:pgSz w:w="11900" w:h="16838" w:orient="portrait"/>
          <w:cols w:equalWidth="0" w:num="1">
            <w:col w:w="11240"/>
          </w:cols>
          <w:pgMar w:left="320" w:top="226" w:right="339" w:bottom="1440" w:gutter="0" w:footer="0" w:header="0"/>
        </w:sectPr>
      </w:pPr>
    </w:p>
    <w:p>
      <w:pPr>
        <w:spacing w:after="0" w:line="119"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20-8881738</w:t>
      </w:r>
    </w:p>
    <w:p>
      <w:pPr>
        <w:spacing w:after="0" w:line="29" w:lineRule="exact"/>
        <w:rPr>
          <w:sz w:val="24"/>
          <w:szCs w:val="24"/>
          <w:color w:val="auto"/>
        </w:rPr>
      </w:pPr>
    </w:p>
    <w:p>
      <w:pPr>
        <w:sectPr>
          <w:pgSz w:w="11900" w:h="16838" w:orient="portrait"/>
          <w:cols w:equalWidth="0" w:num="2">
            <w:col w:w="7880" w:space="720"/>
            <w:col w:w="2640"/>
          </w:cols>
          <w:pgMar w:left="320" w:top="226" w:right="339" w:bottom="1440" w:gutter="0" w:footer="0" w:header="0"/>
          <w:type w:val="continuous"/>
        </w:sectPr>
      </w:pPr>
    </w:p>
    <w:p>
      <w:pPr>
        <w:jc w:val="center"/>
        <w:ind w:right="2580"/>
        <w:spacing w:after="0"/>
        <w:rPr>
          <w:sz w:val="20"/>
          <w:szCs w:val="20"/>
          <w:color w:val="auto"/>
        </w:rPr>
      </w:pPr>
      <w:r>
        <w:rPr>
          <w:rFonts w:ascii="Times New Roman" w:cs="Times New Roman" w:eastAsia="Times New Roman" w:hAnsi="Times New Roman"/>
          <w:sz w:val="17"/>
          <w:szCs w:val="17"/>
          <w:color w:val="auto"/>
        </w:rPr>
        <w:t>(State or other jurisdiction of incorporation or</w:t>
      </w:r>
    </w:p>
    <w:p>
      <w:pPr>
        <w:jc w:val="center"/>
        <w:ind w:right="2580"/>
        <w:spacing w:after="0"/>
        <w:rPr>
          <w:sz w:val="20"/>
          <w:szCs w:val="20"/>
          <w:color w:val="auto"/>
        </w:rPr>
      </w:pPr>
      <w:r>
        <w:rPr>
          <w:rFonts w:ascii="Times New Roman" w:cs="Times New Roman" w:eastAsia="Times New Roman" w:hAnsi="Times New Roman"/>
          <w:sz w:val="17"/>
          <w:szCs w:val="17"/>
          <w:color w:val="auto"/>
        </w:rPr>
        <w:t>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86" w:lineRule="exact"/>
        <w:rPr>
          <w:sz w:val="24"/>
          <w:szCs w:val="24"/>
          <w:color w:val="auto"/>
        </w:rPr>
      </w:pPr>
    </w:p>
    <w:p>
      <w:pPr>
        <w:sectPr>
          <w:pgSz w:w="11900" w:h="16838" w:orient="portrait"/>
          <w:cols w:equalWidth="0" w:num="2">
            <w:col w:w="7040" w:space="720"/>
            <w:col w:w="3480"/>
          </w:cols>
          <w:pgMar w:left="320" w:top="226"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1250 Broadway, 15th Floor</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New York, New York 10001</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offices, including zip code)</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8" w:lineRule="exact"/>
        <w:rPr>
          <w:sz w:val="24"/>
          <w:szCs w:val="24"/>
          <w:color w:val="auto"/>
        </w:rPr>
      </w:pPr>
    </w:p>
    <w:p>
      <w:pPr>
        <w:ind w:left="5500" w:hanging="413"/>
        <w:spacing w:after="0"/>
        <w:tabs>
          <w:tab w:leader="none" w:pos="550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243-2769</w:t>
      </w:r>
    </w:p>
    <w:p>
      <w:pPr>
        <w:spacing w:after="0" w:line="80" w:lineRule="exact"/>
        <w:rPr>
          <w:rFonts w:ascii="Times New Roman" w:cs="Times New Roman" w:eastAsia="Times New Roman" w:hAnsi="Times New Roman"/>
          <w:sz w:val="17"/>
          <w:szCs w:val="17"/>
          <w:b w:val="1"/>
          <w:bCs w:val="1"/>
          <w:color w:val="auto"/>
        </w:rPr>
      </w:pPr>
    </w:p>
    <w:p>
      <w:pPr>
        <w:ind w:left="50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______________</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ectPr>
          <w:pgSz w:w="11900" w:h="16838" w:orient="portrait"/>
          <w:cols w:equalWidth="0" w:num="1">
            <w:col w:w="11240"/>
          </w:cols>
          <w:pgMar w:left="320" w:top="226" w:right="339" w:bottom="1440" w:gutter="0" w:footer="0" w:header="0"/>
          <w:type w:val="continuous"/>
        </w:sectPr>
      </w:pPr>
    </w:p>
    <w:p>
      <w:pPr>
        <w:spacing w:after="0" w:line="140"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Trading Symbol(s)</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28" w:lineRule="exact"/>
        <w:rPr>
          <w:sz w:val="24"/>
          <w:szCs w:val="24"/>
          <w:color w:val="auto"/>
        </w:rPr>
      </w:pPr>
    </w:p>
    <w:p>
      <w:pPr>
        <w:sectPr>
          <w:pgSz w:w="11900" w:h="16838" w:orient="portrait"/>
          <w:cols w:equalWidth="0" w:num="3">
            <w:col w:w="3760" w:space="720"/>
            <w:col w:w="1980" w:space="720"/>
            <w:col w:w="4060"/>
          </w:cols>
          <w:pgMar w:left="320" w:top="226" w:right="339" w:bottom="1440" w:gutter="0" w:footer="0" w:header="0"/>
          <w:type w:val="continuous"/>
        </w:sectPr>
      </w:pPr>
    </w:p>
    <w:p>
      <w:pPr>
        <w:ind w:left="400"/>
        <w:spacing w:after="0"/>
        <w:rPr>
          <w:sz w:val="20"/>
          <w:szCs w:val="20"/>
          <w:color w:val="auto"/>
        </w:rPr>
      </w:pPr>
      <w:r>
        <w:rPr>
          <w:rFonts w:ascii="Times New Roman" w:cs="Times New Roman" w:eastAsia="Times New Roman" w:hAnsi="Times New Roman"/>
          <w:sz w:val="17"/>
          <w:szCs w:val="17"/>
          <w:b w:val="1"/>
          <w:bCs w:val="1"/>
          <w:color w:val="auto"/>
        </w:rPr>
        <w:t>Common stock, par value $0.00001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MGNI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Nasdaq Global Select Market</w:t>
      </w:r>
    </w:p>
    <w:p>
      <w:pPr>
        <w:spacing w:after="0" w:line="200" w:lineRule="exact"/>
        <w:rPr>
          <w:sz w:val="24"/>
          <w:szCs w:val="24"/>
          <w:color w:val="auto"/>
        </w:rPr>
      </w:pPr>
    </w:p>
    <w:p>
      <w:pPr>
        <w:sectPr>
          <w:pgSz w:w="11900" w:h="16838" w:orient="portrait"/>
          <w:cols w:equalWidth="0" w:num="3">
            <w:col w:w="4180" w:space="720"/>
            <w:col w:w="2000" w:space="720"/>
            <w:col w:w="3620"/>
          </w:cols>
          <w:pgMar w:left="320" w:top="226" w:right="339" w:bottom="1440" w:gutter="0" w:footer="0" w:header="0"/>
          <w:type w:val="continuous"/>
        </w:sectPr>
      </w:pPr>
    </w:p>
    <w:p>
      <w:pPr>
        <w:spacing w:after="0" w:line="13"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49" w:lineRule="exact"/>
        <w:rPr>
          <w:sz w:val="24"/>
          <w:szCs w:val="24"/>
          <w:color w:val="auto"/>
        </w:rPr>
      </w:pPr>
    </w:p>
    <w:p>
      <w:pPr>
        <w:jc w:val="both"/>
        <w:spacing w:after="0" w:line="22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35" w:lineRule="exact"/>
        <w:rPr>
          <w:sz w:val="24"/>
          <w:szCs w:val="24"/>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6" w:right="339" w:bottom="1440" w:gutter="0" w:footer="0" w:header="0"/>
          <w:type w:val="continuous"/>
        </w:sectPr>
      </w:pPr>
    </w:p>
    <w:p>
      <w:pPr>
        <w:spacing w:after="0" w:line="3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4"/>
          <w:szCs w:val="24"/>
          <w:color w:val="auto"/>
        </w:rPr>
      </w:pPr>
      <w:r>
        <w:rPr>
          <w:sz w:val="24"/>
          <w:szCs w:val="24"/>
          <w:color w:val="auto"/>
        </w:rPr>
        <w:br w:type="column"/>
      </w:r>
    </w:p>
    <w:p>
      <w:pPr>
        <w:jc w:val="center"/>
        <w:ind w:right="3580"/>
        <w:spacing w:after="0" w:line="16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64" w:lineRule="exact"/>
        <w:rPr>
          <w:sz w:val="24"/>
          <w:szCs w:val="24"/>
          <w:color w:val="auto"/>
        </w:rPr>
      </w:pPr>
    </w:p>
    <w:p>
      <w:pPr>
        <w:sectPr>
          <w:pgSz w:w="11900" w:h="16838" w:orient="portrait"/>
          <w:cols w:equalWidth="0" w:num="3">
            <w:col w:w="4720" w:space="720"/>
            <w:col w:w="4920" w:space="720"/>
            <w:col w:w="160"/>
          </w:cols>
          <w:pgMar w:left="320" w:top="226" w:right="339" w:bottom="1440" w:gutter="0" w:footer="0" w:header="0"/>
          <w:type w:val="continuous"/>
        </w:sectPr>
      </w:pPr>
    </w:p>
    <w:p>
      <w:pPr>
        <w:spacing w:after="0" w:line="4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69" w:lineRule="exact"/>
        <w:rPr>
          <w:sz w:val="24"/>
          <w:szCs w:val="24"/>
          <w:color w:val="auto"/>
        </w:rPr>
      </w:pPr>
    </w:p>
    <w:p>
      <w:pPr>
        <w:sectPr>
          <w:pgSz w:w="11900" w:h="16838" w:orient="portrait"/>
          <w:cols w:equalWidth="0" w:num="4">
            <w:col w:w="4600" w:space="720"/>
            <w:col w:w="160" w:space="140"/>
            <w:col w:w="4740" w:space="720"/>
            <w:col w:w="160"/>
          </w:cols>
          <w:pgMar w:left="320" w:top="226" w:right="339" w:bottom="1440" w:gutter="0" w:footer="0" w:header="0"/>
          <w:type w:val="continuous"/>
        </w:sectPr>
      </w:pPr>
    </w:p>
    <w:p>
      <w:pPr>
        <w:spacing w:after="0" w:line="40"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95" w:lineRule="exact"/>
        <w:rPr>
          <w:sz w:val="24"/>
          <w:szCs w:val="24"/>
          <w:color w:val="auto"/>
        </w:rPr>
      </w:pPr>
    </w:p>
    <w:p>
      <w:pPr>
        <w:sectPr>
          <w:pgSz w:w="11900" w:h="16838" w:orient="portrait"/>
          <w:cols w:equalWidth="0" w:num="2">
            <w:col w:w="10360" w:space="720"/>
            <w:col w:w="160"/>
          </w:cols>
          <w:pgMar w:left="320" w:top="226" w:right="339" w:bottom="1440" w:gutter="0" w:footer="0" w:header="0"/>
          <w:type w:val="continuous"/>
        </w:sectPr>
      </w:pPr>
    </w:p>
    <w:p>
      <w:pPr>
        <w:spacing w:after="0" w:line="17" w:lineRule="exact"/>
        <w:rPr>
          <w:sz w:val="24"/>
          <w:szCs w:val="24"/>
          <w:color w:val="auto"/>
        </w:rPr>
      </w:pPr>
    </w:p>
    <w:p>
      <w:pPr>
        <w:ind w:right="480"/>
        <w:spacing w:after="0" w:line="228"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right="2580"/>
        <w:spacing w:after="0" w:line="27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Indicate the number of shares outstanding of each of the registrant's classes of common stock, as of the latest practicable date.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17"/>
                <w:szCs w:val="17"/>
                <w:color w:val="auto"/>
              </w:rPr>
            </w:pPr>
          </w:p>
        </w:tc>
        <w:tc>
          <w:tcPr>
            <w:tcW w:w="41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Class</w:t>
            </w:r>
          </w:p>
        </w:tc>
        <w:tc>
          <w:tcPr>
            <w:tcW w:w="5580" w:type="dxa"/>
            <w:vAlign w:val="bottom"/>
            <w:gridSpan w:val="2"/>
          </w:tcPr>
          <w:p>
            <w:pPr>
              <w:jc w:val="center"/>
              <w:ind w:right="1480"/>
              <w:spacing w:after="0"/>
              <w:rPr>
                <w:sz w:val="20"/>
                <w:szCs w:val="20"/>
                <w:color w:val="auto"/>
              </w:rPr>
            </w:pPr>
            <w:r>
              <w:rPr>
                <w:rFonts w:ascii="Times New Roman" w:cs="Times New Roman" w:eastAsia="Times New Roman" w:hAnsi="Times New Roman"/>
                <w:sz w:val="15"/>
                <w:szCs w:val="15"/>
                <w:b w:val="1"/>
                <w:bCs w:val="1"/>
                <w:color w:val="auto"/>
              </w:rPr>
              <w:t>Outstanding as of May 1, 2025</w:t>
            </w:r>
          </w:p>
        </w:tc>
      </w:tr>
      <w:tr>
        <w:trPr>
          <w:trHeight w:val="223"/>
        </w:trPr>
        <w:tc>
          <w:tcPr>
            <w:tcW w:w="1480" w:type="dxa"/>
            <w:vAlign w:val="bottom"/>
          </w:tcPr>
          <w:p>
            <w:pPr>
              <w:spacing w:after="0"/>
              <w:rPr>
                <w:sz w:val="19"/>
                <w:szCs w:val="19"/>
                <w:color w:val="auto"/>
              </w:rPr>
            </w:pPr>
          </w:p>
        </w:tc>
        <w:tc>
          <w:tcPr>
            <w:tcW w:w="4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Common Stock, $0.00001 par value</w:t>
            </w:r>
          </w:p>
        </w:tc>
        <w:tc>
          <w:tcPr>
            <w:tcW w:w="100" w:type="dxa"/>
            <w:vAlign w:val="bottom"/>
          </w:tcPr>
          <w:p>
            <w:pPr>
              <w:spacing w:after="0"/>
              <w:rPr>
                <w:sz w:val="19"/>
                <w:szCs w:val="19"/>
                <w:color w:val="auto"/>
              </w:rPr>
            </w:pPr>
          </w:p>
        </w:tc>
        <w:tc>
          <w:tcPr>
            <w:tcW w:w="4100" w:type="dxa"/>
            <w:vAlign w:val="bottom"/>
            <w:tcBorders>
              <w:top w:val="single" w:sz="8" w:color="auto"/>
            </w:tcBorders>
          </w:tcPr>
          <w:p>
            <w:pPr>
              <w:jc w:val="right"/>
              <w:ind w:right="1538"/>
              <w:spacing w:after="0"/>
              <w:rPr>
                <w:sz w:val="20"/>
                <w:szCs w:val="20"/>
                <w:color w:val="auto"/>
              </w:rPr>
            </w:pPr>
            <w:r>
              <w:rPr>
                <w:rFonts w:ascii="Times New Roman" w:cs="Times New Roman" w:eastAsia="Times New Roman" w:hAnsi="Times New Roman"/>
                <w:sz w:val="17"/>
                <w:szCs w:val="17"/>
                <w:b w:val="1"/>
                <w:bCs w:val="1"/>
                <w:color w:val="auto"/>
              </w:rPr>
              <w:t>141,110,559</w:t>
            </w:r>
          </w:p>
        </w:tc>
        <w:tc>
          <w:tcPr>
            <w:tcW w:w="1480" w:type="dxa"/>
            <w:vAlign w:val="bottom"/>
          </w:tcPr>
          <w:p>
            <w:pPr>
              <w:spacing w:after="0"/>
              <w:rPr>
                <w:sz w:val="19"/>
                <w:szCs w:val="19"/>
                <w:color w:val="auto"/>
              </w:rPr>
            </w:pPr>
          </w:p>
        </w:tc>
      </w:tr>
      <w:tr>
        <w:trPr>
          <w:trHeight w:val="797"/>
        </w:trPr>
        <w:tc>
          <w:tcPr>
            <w:tcW w:w="148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030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939"/>
        </w:trPr>
        <w:tc>
          <w:tcPr>
            <w:tcW w:w="1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360" w:type="dxa"/>
            <w:vAlign w:val="bottom"/>
            <w:gridSpan w:val="10"/>
          </w:tcPr>
          <w:p>
            <w:pPr>
              <w:jc w:val="center"/>
              <w:ind w:right="4000"/>
              <w:spacing w:after="0"/>
              <w:rPr>
                <w:sz w:val="20"/>
                <w:szCs w:val="20"/>
                <w:color w:val="auto"/>
              </w:rPr>
            </w:pPr>
            <w:r>
              <w:rPr>
                <w:rFonts w:ascii="Times New Roman" w:cs="Times New Roman" w:eastAsia="Times New Roman" w:hAnsi="Times New Roman"/>
                <w:sz w:val="17"/>
                <w:szCs w:val="17"/>
                <w:b w:val="1"/>
                <w:bCs w:val="1"/>
                <w:color w:val="auto"/>
              </w:rPr>
              <w:t>MAGNITE, INC.</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20" w:type="dxa"/>
            <w:vAlign w:val="bottom"/>
            <w:gridSpan w:val="11"/>
          </w:tcPr>
          <w:p>
            <w:pPr>
              <w:jc w:val="center"/>
              <w:ind w:right="2320"/>
              <w:spacing w:after="0"/>
              <w:rPr>
                <w:sz w:val="20"/>
                <w:szCs w:val="20"/>
                <w:color w:val="auto"/>
              </w:rPr>
            </w:pPr>
            <w:r>
              <w:rPr>
                <w:rFonts w:ascii="Times New Roman" w:cs="Times New Roman" w:eastAsia="Times New Roman" w:hAnsi="Times New Roman"/>
                <w:sz w:val="17"/>
                <w:szCs w:val="17"/>
                <w:b w:val="1"/>
                <w:bCs w:val="1"/>
                <w:color w:val="auto"/>
              </w:rPr>
              <w:t>QUARTERLY REPORT ON FORM 10-Q</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20" w:type="dxa"/>
            <w:vAlign w:val="bottom"/>
            <w:gridSpan w:val="11"/>
          </w:tcPr>
          <w:p>
            <w:pPr>
              <w:jc w:val="center"/>
              <w:ind w:right="234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35"/>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gridSpan w:val="6"/>
          </w:tcPr>
          <w:p>
            <w:pPr>
              <w:ind w:left="100"/>
              <w:spacing w:after="0"/>
              <w:rPr>
                <w:sz w:val="20"/>
                <w:szCs w:val="20"/>
                <w:color w:val="auto"/>
              </w:rPr>
            </w:pPr>
            <w:r>
              <w:rPr>
                <w:rFonts w:ascii="Times New Roman" w:cs="Times New Roman" w:eastAsia="Times New Roman" w:hAnsi="Times New Roman"/>
                <w:sz w:val="17"/>
                <w:szCs w:val="17"/>
                <w:b w:val="1"/>
                <w:bCs w:val="1"/>
                <w:color w:val="auto"/>
              </w:rPr>
              <w:t>Page No.</w:t>
            </w:r>
          </w:p>
        </w:tc>
      </w:tr>
      <w:tr>
        <w:trPr>
          <w:trHeight w:val="173"/>
        </w:trPr>
        <w:tc>
          <w:tcPr>
            <w:tcW w:w="1120" w:type="dxa"/>
            <w:vAlign w:val="bottom"/>
          </w:tcPr>
          <w:p>
            <w:pPr>
              <w:ind w:left="120"/>
              <w:spacing w:after="0" w:line="173" w:lineRule="exact"/>
              <w:rPr>
                <w:sz w:val="20"/>
                <w:szCs w:val="20"/>
                <w:color w:val="auto"/>
              </w:rPr>
            </w:pPr>
            <w:r>
              <w:rPr>
                <w:rFonts w:ascii="Times New Roman" w:cs="Times New Roman" w:eastAsia="Times New Roman" w:hAnsi="Times New Roman"/>
                <w:sz w:val="17"/>
                <w:szCs w:val="17"/>
                <w:color w:val="auto"/>
              </w:rPr>
              <w:t>Part I.</w:t>
            </w:r>
          </w:p>
        </w:tc>
        <w:tc>
          <w:tcPr>
            <w:tcW w:w="9180" w:type="dxa"/>
            <w:vAlign w:val="bottom"/>
            <w:gridSpan w:val="18"/>
          </w:tcPr>
          <w:p>
            <w:pPr>
              <w:spacing w:after="0" w:line="173" w:lineRule="exact"/>
              <w:rPr>
                <w:sz w:val="20"/>
                <w:szCs w:val="20"/>
                <w:color w:val="auto"/>
              </w:rPr>
            </w:pPr>
            <w:r>
              <w:rPr>
                <w:rFonts w:ascii="Times New Roman" w:cs="Times New Roman" w:eastAsia="Times New Roman" w:hAnsi="Times New Roman"/>
                <w:sz w:val="17"/>
                <w:szCs w:val="17"/>
                <w:color w:val="0000FF"/>
              </w:rPr>
              <w:t>FINANCIAL INFORMATION</w:t>
            </w:r>
          </w:p>
        </w:tc>
        <w:tc>
          <w:tcPr>
            <w:tcW w:w="500" w:type="dxa"/>
            <w:vAlign w:val="bottom"/>
            <w:tcBorders>
              <w:top w:val="single" w:sz="8" w:color="auto"/>
            </w:tcBorders>
            <w:gridSpan w:val="4"/>
          </w:tcPr>
          <w:p>
            <w:pPr>
              <w:jc w:val="center"/>
              <w:ind w:left="254"/>
              <w:spacing w:after="0" w:line="173" w:lineRule="exact"/>
              <w:rPr>
                <w:sz w:val="20"/>
                <w:szCs w:val="20"/>
                <w:color w:val="auto"/>
              </w:rPr>
            </w:pPr>
            <w:r>
              <w:rPr>
                <w:rFonts w:ascii="Times New Roman" w:cs="Times New Roman" w:eastAsia="Times New Roman" w:hAnsi="Times New Roman"/>
                <w:sz w:val="17"/>
                <w:szCs w:val="17"/>
                <w:color w:val="0000FF"/>
                <w:w w:val="93"/>
              </w:rPr>
              <w:t>3</w:t>
            </w:r>
          </w:p>
        </w:tc>
        <w:tc>
          <w:tcPr>
            <w:tcW w:w="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1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Item 1.</w:t>
            </w:r>
          </w:p>
        </w:tc>
        <w:tc>
          <w:tcPr>
            <w:tcW w:w="408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Condensed Consolidated Financial Statements (Unaudited)</w:t>
            </w:r>
          </w:p>
        </w:tc>
        <w:tc>
          <w:tcPr>
            <w:tcW w:w="5100" w:type="dxa"/>
            <w:vAlign w:val="bottom"/>
            <w:gridSpan w:val="9"/>
          </w:tcPr>
          <w:p>
            <w:pPr>
              <w:spacing w:after="0"/>
              <w:rPr>
                <w:sz w:val="17"/>
                <w:szCs w:val="17"/>
                <w:color w:val="auto"/>
              </w:rPr>
            </w:pPr>
          </w:p>
        </w:tc>
        <w:tc>
          <w:tcPr>
            <w:tcW w:w="500" w:type="dxa"/>
            <w:vAlign w:val="bottom"/>
            <w:gridSpan w:val="4"/>
          </w:tcPr>
          <w:p>
            <w:pPr>
              <w:jc w:val="center"/>
              <w:ind w:left="254"/>
              <w:spacing w:after="0"/>
              <w:rPr>
                <w:sz w:val="20"/>
                <w:szCs w:val="20"/>
                <w:color w:val="auto"/>
              </w:rPr>
            </w:pPr>
            <w:r>
              <w:rPr>
                <w:rFonts w:ascii="Times New Roman" w:cs="Times New Roman" w:eastAsia="Times New Roman" w:hAnsi="Times New Roman"/>
                <w:sz w:val="17"/>
                <w:szCs w:val="17"/>
                <w:color w:val="0000FF"/>
                <w:w w:val="93"/>
              </w:rPr>
              <w:t>3</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1120" w:type="dxa"/>
            <w:vAlign w:val="bottom"/>
          </w:tcPr>
          <w:p>
            <w:pPr>
              <w:spacing w:after="0"/>
              <w:rPr>
                <w:sz w:val="17"/>
                <w:szCs w:val="17"/>
                <w:color w:val="auto"/>
              </w:rPr>
            </w:pPr>
          </w:p>
        </w:tc>
        <w:tc>
          <w:tcPr>
            <w:tcW w:w="616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Condensed Consolidated Balance Sheets as of March 31, 2025 and December 31, 2024</w:t>
            </w:r>
          </w:p>
        </w:tc>
        <w:tc>
          <w:tcPr>
            <w:tcW w:w="3020" w:type="dxa"/>
            <w:vAlign w:val="bottom"/>
            <w:gridSpan w:val="5"/>
          </w:tcPr>
          <w:p>
            <w:pPr>
              <w:spacing w:after="0"/>
              <w:rPr>
                <w:sz w:val="17"/>
                <w:szCs w:val="17"/>
                <w:color w:val="auto"/>
              </w:rPr>
            </w:pPr>
          </w:p>
        </w:tc>
        <w:tc>
          <w:tcPr>
            <w:tcW w:w="500" w:type="dxa"/>
            <w:vAlign w:val="bottom"/>
            <w:gridSpan w:val="4"/>
          </w:tcPr>
          <w:p>
            <w:pPr>
              <w:jc w:val="center"/>
              <w:ind w:left="254"/>
              <w:spacing w:after="0"/>
              <w:rPr>
                <w:sz w:val="20"/>
                <w:szCs w:val="20"/>
                <w:color w:val="auto"/>
              </w:rPr>
            </w:pPr>
            <w:r>
              <w:rPr>
                <w:rFonts w:ascii="Times New Roman" w:cs="Times New Roman" w:eastAsia="Times New Roman" w:hAnsi="Times New Roman"/>
                <w:sz w:val="17"/>
                <w:szCs w:val="17"/>
                <w:color w:val="0000FF"/>
                <w:w w:val="93"/>
              </w:rPr>
              <w:t>3</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1120" w:type="dxa"/>
            <w:vAlign w:val="bottom"/>
          </w:tcPr>
          <w:p>
            <w:pPr>
              <w:spacing w:after="0"/>
              <w:rPr>
                <w:sz w:val="17"/>
                <w:szCs w:val="17"/>
                <w:color w:val="auto"/>
              </w:rPr>
            </w:pPr>
          </w:p>
        </w:tc>
        <w:tc>
          <w:tcPr>
            <w:tcW w:w="810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Condensed Consolidated Statements of Operations for the Three Months Ended March 31, 2025 and March 31, 2024</w:t>
            </w:r>
          </w:p>
        </w:tc>
        <w:tc>
          <w:tcPr>
            <w:tcW w:w="1080" w:type="dxa"/>
            <w:vAlign w:val="bottom"/>
            <w:gridSpan w:val="3"/>
          </w:tcPr>
          <w:p>
            <w:pPr>
              <w:spacing w:after="0"/>
              <w:rPr>
                <w:sz w:val="17"/>
                <w:szCs w:val="17"/>
                <w:color w:val="auto"/>
              </w:rPr>
            </w:pPr>
          </w:p>
        </w:tc>
        <w:tc>
          <w:tcPr>
            <w:tcW w:w="500" w:type="dxa"/>
            <w:vAlign w:val="bottom"/>
            <w:gridSpan w:val="4"/>
          </w:tcPr>
          <w:p>
            <w:pPr>
              <w:jc w:val="center"/>
              <w:ind w:left="254"/>
              <w:spacing w:after="0"/>
              <w:rPr>
                <w:sz w:val="20"/>
                <w:szCs w:val="20"/>
                <w:color w:val="auto"/>
              </w:rPr>
            </w:pPr>
            <w:r>
              <w:rPr>
                <w:rFonts w:ascii="Times New Roman" w:cs="Times New Roman" w:eastAsia="Times New Roman" w:hAnsi="Times New Roman"/>
                <w:sz w:val="17"/>
                <w:szCs w:val="17"/>
                <w:color w:val="0000FF"/>
                <w:w w:val="93"/>
              </w:rPr>
              <w:t>4</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1120" w:type="dxa"/>
            <w:vAlign w:val="bottom"/>
          </w:tcPr>
          <w:p>
            <w:pPr>
              <w:spacing w:after="0"/>
              <w:rPr>
                <w:sz w:val="17"/>
                <w:szCs w:val="17"/>
                <w:color w:val="auto"/>
              </w:rPr>
            </w:pPr>
          </w:p>
        </w:tc>
        <w:tc>
          <w:tcPr>
            <w:tcW w:w="918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Income (Loss) for the Three Ended March 31, 2025 and March 31, 2024</w:t>
            </w:r>
          </w:p>
        </w:tc>
        <w:tc>
          <w:tcPr>
            <w:tcW w:w="500" w:type="dxa"/>
            <w:vAlign w:val="bottom"/>
            <w:gridSpan w:val="4"/>
          </w:tcPr>
          <w:p>
            <w:pPr>
              <w:jc w:val="center"/>
              <w:ind w:left="254"/>
              <w:spacing w:after="0"/>
              <w:rPr>
                <w:sz w:val="20"/>
                <w:szCs w:val="20"/>
                <w:color w:val="auto"/>
              </w:rPr>
            </w:pPr>
            <w:r>
              <w:rPr>
                <w:rFonts w:ascii="Times New Roman" w:cs="Times New Roman" w:eastAsia="Times New Roman" w:hAnsi="Times New Roman"/>
                <w:sz w:val="17"/>
                <w:szCs w:val="17"/>
                <w:color w:val="0000FF"/>
                <w:w w:val="93"/>
              </w:rPr>
              <w:t>5</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1120" w:type="dxa"/>
            <w:vAlign w:val="bottom"/>
          </w:tcPr>
          <w:p>
            <w:pPr>
              <w:spacing w:after="0"/>
              <w:rPr>
                <w:sz w:val="17"/>
                <w:szCs w:val="17"/>
                <w:color w:val="auto"/>
              </w:rPr>
            </w:pPr>
          </w:p>
        </w:tc>
        <w:tc>
          <w:tcPr>
            <w:tcW w:w="918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Condensed Consolidated Statements of Stockholders' Equity for the Three Months Ended March 31, 2025 and March 31, 2024</w:t>
            </w:r>
          </w:p>
        </w:tc>
        <w:tc>
          <w:tcPr>
            <w:tcW w:w="500" w:type="dxa"/>
            <w:vAlign w:val="bottom"/>
            <w:gridSpan w:val="4"/>
          </w:tcPr>
          <w:p>
            <w:pPr>
              <w:jc w:val="center"/>
              <w:ind w:left="254"/>
              <w:spacing w:after="0"/>
              <w:rPr>
                <w:sz w:val="20"/>
                <w:szCs w:val="20"/>
                <w:color w:val="auto"/>
              </w:rPr>
            </w:pPr>
            <w:r>
              <w:rPr>
                <w:rFonts w:ascii="Times New Roman" w:cs="Times New Roman" w:eastAsia="Times New Roman" w:hAnsi="Times New Roman"/>
                <w:sz w:val="17"/>
                <w:szCs w:val="17"/>
                <w:color w:val="0000FF"/>
                <w:w w:val="93"/>
              </w:rPr>
              <w:t>6</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1120" w:type="dxa"/>
            <w:vAlign w:val="bottom"/>
          </w:tcPr>
          <w:p>
            <w:pPr>
              <w:spacing w:after="0"/>
              <w:rPr>
                <w:sz w:val="17"/>
                <w:szCs w:val="17"/>
                <w:color w:val="auto"/>
              </w:rPr>
            </w:pPr>
          </w:p>
        </w:tc>
        <w:tc>
          <w:tcPr>
            <w:tcW w:w="872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for the Three Months Ended March 31, 2025 and March 31, 2024</w:t>
            </w:r>
          </w:p>
        </w:tc>
        <w:tc>
          <w:tcPr>
            <w:tcW w:w="460" w:type="dxa"/>
            <w:vAlign w:val="bottom"/>
            <w:gridSpan w:val="2"/>
          </w:tcPr>
          <w:p>
            <w:pPr>
              <w:spacing w:after="0"/>
              <w:rPr>
                <w:sz w:val="17"/>
                <w:szCs w:val="17"/>
                <w:color w:val="auto"/>
              </w:rPr>
            </w:pPr>
          </w:p>
        </w:tc>
        <w:tc>
          <w:tcPr>
            <w:tcW w:w="500" w:type="dxa"/>
            <w:vAlign w:val="bottom"/>
            <w:gridSpan w:val="4"/>
          </w:tcPr>
          <w:p>
            <w:pPr>
              <w:jc w:val="center"/>
              <w:ind w:left="254"/>
              <w:spacing w:after="0"/>
              <w:rPr>
                <w:sz w:val="20"/>
                <w:szCs w:val="20"/>
                <w:color w:val="auto"/>
              </w:rPr>
            </w:pPr>
            <w:r>
              <w:rPr>
                <w:rFonts w:ascii="Times New Roman" w:cs="Times New Roman" w:eastAsia="Times New Roman" w:hAnsi="Times New Roman"/>
                <w:sz w:val="17"/>
                <w:szCs w:val="17"/>
                <w:color w:val="0000FF"/>
                <w:w w:val="93"/>
              </w:rPr>
              <w:t>7</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1120" w:type="dxa"/>
            <w:vAlign w:val="bottom"/>
          </w:tcPr>
          <w:p>
            <w:pPr>
              <w:spacing w:after="0"/>
              <w:rPr>
                <w:sz w:val="17"/>
                <w:szCs w:val="17"/>
                <w:color w:val="auto"/>
              </w:rPr>
            </w:pPr>
          </w:p>
        </w:tc>
        <w:tc>
          <w:tcPr>
            <w:tcW w:w="810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w:t>
            </w:r>
          </w:p>
        </w:tc>
        <w:tc>
          <w:tcPr>
            <w:tcW w:w="1080" w:type="dxa"/>
            <w:vAlign w:val="bottom"/>
            <w:gridSpan w:val="3"/>
          </w:tcPr>
          <w:p>
            <w:pPr>
              <w:spacing w:after="0"/>
              <w:rPr>
                <w:sz w:val="17"/>
                <w:szCs w:val="17"/>
                <w:color w:val="auto"/>
              </w:rPr>
            </w:pPr>
          </w:p>
        </w:tc>
        <w:tc>
          <w:tcPr>
            <w:tcW w:w="500" w:type="dxa"/>
            <w:vAlign w:val="bottom"/>
            <w:gridSpan w:val="4"/>
          </w:tcPr>
          <w:p>
            <w:pPr>
              <w:jc w:val="center"/>
              <w:ind w:left="254"/>
              <w:spacing w:after="0"/>
              <w:rPr>
                <w:sz w:val="20"/>
                <w:szCs w:val="20"/>
                <w:color w:val="auto"/>
              </w:rPr>
            </w:pPr>
            <w:r>
              <w:rPr>
                <w:rFonts w:ascii="Times New Roman" w:cs="Times New Roman" w:eastAsia="Times New Roman" w:hAnsi="Times New Roman"/>
                <w:sz w:val="17"/>
                <w:szCs w:val="17"/>
                <w:color w:val="0000FF"/>
                <w:w w:val="93"/>
              </w:rPr>
              <w:t>9</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1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Item 2.</w:t>
            </w:r>
          </w:p>
        </w:tc>
        <w:tc>
          <w:tcPr>
            <w:tcW w:w="918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8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0000FF"/>
                <w:w w:val="93"/>
              </w:rPr>
              <w:t>26</w:t>
            </w:r>
          </w:p>
        </w:tc>
        <w:tc>
          <w:tcPr>
            <w:tcW w:w="10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0" w:type="dxa"/>
            <w:vAlign w:val="bottom"/>
            <w:gridSpan w:val="7"/>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1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Item 3.</w:t>
            </w:r>
          </w:p>
        </w:tc>
        <w:tc>
          <w:tcPr>
            <w:tcW w:w="918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8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0000FF"/>
                <w:w w:val="93"/>
              </w:rPr>
              <w:t>41</w:t>
            </w:r>
          </w:p>
        </w:tc>
        <w:tc>
          <w:tcPr>
            <w:tcW w:w="10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60" w:type="dxa"/>
            <w:vAlign w:val="bottom"/>
            <w:gridSpan w:val="4"/>
            <w:shd w:val="clear" w:color="auto" w:fill="0000FF"/>
          </w:tcPr>
          <w:p>
            <w:pPr>
              <w:spacing w:after="0" w:line="20" w:lineRule="exact"/>
              <w:rPr>
                <w:sz w:val="1"/>
                <w:szCs w:val="1"/>
                <w:color w:val="auto"/>
              </w:rPr>
            </w:pPr>
          </w:p>
        </w:tc>
        <w:tc>
          <w:tcPr>
            <w:tcW w:w="5020" w:type="dxa"/>
            <w:vAlign w:val="bottom"/>
            <w:gridSpan w:val="8"/>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1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Item 4.</w:t>
            </w:r>
          </w:p>
        </w:tc>
        <w:tc>
          <w:tcPr>
            <w:tcW w:w="17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7480" w:type="dxa"/>
            <w:vAlign w:val="bottom"/>
            <w:gridSpan w:val="13"/>
          </w:tcPr>
          <w:p>
            <w:pPr>
              <w:spacing w:after="0"/>
              <w:rPr>
                <w:sz w:val="17"/>
                <w:szCs w:val="17"/>
                <w:color w:val="auto"/>
              </w:rPr>
            </w:pPr>
          </w:p>
        </w:tc>
        <w:tc>
          <w:tcPr>
            <w:tcW w:w="8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0000FF"/>
                <w:w w:val="93"/>
              </w:rPr>
              <w:t>42</w:t>
            </w:r>
          </w:p>
        </w:tc>
        <w:tc>
          <w:tcPr>
            <w:tcW w:w="10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502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1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Part II.</w:t>
            </w:r>
          </w:p>
        </w:tc>
        <w:tc>
          <w:tcPr>
            <w:tcW w:w="918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8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0000FF"/>
                <w:w w:val="93"/>
              </w:rPr>
              <w:t>42</w:t>
            </w:r>
          </w:p>
        </w:tc>
        <w:tc>
          <w:tcPr>
            <w:tcW w:w="10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502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1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Item 1.</w:t>
            </w:r>
          </w:p>
        </w:tc>
        <w:tc>
          <w:tcPr>
            <w:tcW w:w="18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7380" w:type="dxa"/>
            <w:vAlign w:val="bottom"/>
            <w:gridSpan w:val="12"/>
          </w:tcPr>
          <w:p>
            <w:pPr>
              <w:spacing w:after="0"/>
              <w:rPr>
                <w:sz w:val="17"/>
                <w:szCs w:val="17"/>
                <w:color w:val="auto"/>
              </w:rPr>
            </w:pPr>
          </w:p>
        </w:tc>
        <w:tc>
          <w:tcPr>
            <w:tcW w:w="8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0000FF"/>
                <w:w w:val="93"/>
              </w:rPr>
              <w:t>42</w:t>
            </w:r>
          </w:p>
        </w:tc>
        <w:tc>
          <w:tcPr>
            <w:tcW w:w="10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900" w:type="dxa"/>
            <w:vAlign w:val="bottom"/>
            <w:tcBorders>
              <w:left w:val="single" w:sz="8" w:color="0000FF"/>
            </w:tcBorders>
            <w:gridSpan w:val="6"/>
          </w:tcPr>
          <w:p>
            <w:pPr>
              <w:spacing w:after="0" w:line="20" w:lineRule="exact"/>
              <w:rPr>
                <w:sz w:val="1"/>
                <w:szCs w:val="1"/>
                <w:color w:val="auto"/>
              </w:rPr>
            </w:pPr>
          </w:p>
        </w:tc>
        <w:tc>
          <w:tcPr>
            <w:tcW w:w="502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1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Item 1A.</w:t>
            </w:r>
          </w:p>
        </w:tc>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380" w:type="dxa"/>
            <w:vAlign w:val="bottom"/>
          </w:tcPr>
          <w:p>
            <w:pPr>
              <w:spacing w:after="0"/>
              <w:rPr>
                <w:sz w:val="17"/>
                <w:szCs w:val="17"/>
                <w:color w:val="auto"/>
              </w:rPr>
            </w:pPr>
          </w:p>
        </w:tc>
        <w:tc>
          <w:tcPr>
            <w:tcW w:w="7920" w:type="dxa"/>
            <w:vAlign w:val="bottom"/>
            <w:gridSpan w:val="14"/>
          </w:tcPr>
          <w:p>
            <w:pPr>
              <w:spacing w:after="0"/>
              <w:rPr>
                <w:sz w:val="17"/>
                <w:szCs w:val="17"/>
                <w:color w:val="auto"/>
              </w:rPr>
            </w:pPr>
          </w:p>
        </w:tc>
        <w:tc>
          <w:tcPr>
            <w:tcW w:w="8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0000FF"/>
                <w:w w:val="93"/>
              </w:rPr>
              <w:t>43</w:t>
            </w:r>
          </w:p>
        </w:tc>
        <w:tc>
          <w:tcPr>
            <w:tcW w:w="10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502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1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Item 2.</w:t>
            </w:r>
          </w:p>
        </w:tc>
        <w:tc>
          <w:tcPr>
            <w:tcW w:w="918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8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0000FF"/>
                <w:w w:val="93"/>
              </w:rPr>
              <w:t>43</w:t>
            </w:r>
          </w:p>
        </w:tc>
        <w:tc>
          <w:tcPr>
            <w:tcW w:w="10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920" w:type="dxa"/>
            <w:vAlign w:val="bottom"/>
            <w:tcBorders>
              <w:left w:val="single" w:sz="8" w:color="0000FF"/>
            </w:tcBorders>
            <w:gridSpan w:val="1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1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Item 5.</w:t>
            </w:r>
          </w:p>
        </w:tc>
        <w:tc>
          <w:tcPr>
            <w:tcW w:w="918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8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0000FF"/>
                <w:w w:val="93"/>
              </w:rPr>
              <w:t>44</w:t>
            </w:r>
          </w:p>
        </w:tc>
        <w:tc>
          <w:tcPr>
            <w:tcW w:w="10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920" w:type="dxa"/>
            <w:vAlign w:val="bottom"/>
            <w:gridSpan w:val="1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1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Item 6.</w:t>
            </w:r>
          </w:p>
        </w:tc>
        <w:tc>
          <w:tcPr>
            <w:tcW w:w="12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Exhibits</w:t>
            </w:r>
          </w:p>
        </w:tc>
        <w:tc>
          <w:tcPr>
            <w:tcW w:w="7920" w:type="dxa"/>
            <w:vAlign w:val="bottom"/>
            <w:gridSpan w:val="14"/>
          </w:tcPr>
          <w:p>
            <w:pPr>
              <w:spacing w:after="0"/>
              <w:rPr>
                <w:sz w:val="17"/>
                <w:szCs w:val="17"/>
                <w:color w:val="auto"/>
              </w:rPr>
            </w:pPr>
          </w:p>
        </w:tc>
        <w:tc>
          <w:tcPr>
            <w:tcW w:w="8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0000FF"/>
                <w:w w:val="93"/>
              </w:rPr>
              <w:t>46</w:t>
            </w:r>
          </w:p>
        </w:tc>
        <w:tc>
          <w:tcPr>
            <w:tcW w:w="10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11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Signatures</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0000FF"/>
                <w:w w:val="93"/>
              </w:rPr>
              <w:t>47</w:t>
            </w:r>
          </w:p>
        </w:tc>
        <w:tc>
          <w:tcPr>
            <w:tcW w:w="100" w:type="dxa"/>
            <w:vAlign w:val="bottom"/>
          </w:tcPr>
          <w:p>
            <w:pPr>
              <w:spacing w:after="0"/>
              <w:rPr>
                <w:sz w:val="17"/>
                <w:szCs w:val="17"/>
                <w:color w:val="auto"/>
              </w:rPr>
            </w:pPr>
          </w:p>
        </w:tc>
      </w:tr>
      <w:tr>
        <w:trPr>
          <w:trHeight w:val="831"/>
        </w:trPr>
        <w:tc>
          <w:tcPr>
            <w:tcW w:w="1120" w:type="dxa"/>
            <w:vAlign w:val="bottom"/>
          </w:tcPr>
          <w:p>
            <w:pPr>
              <w:spacing w:after="0"/>
              <w:rPr>
                <w:sz w:val="24"/>
                <w:szCs w:val="24"/>
                <w:color w:val="auto"/>
              </w:rPr>
            </w:pPr>
          </w:p>
        </w:tc>
        <w:tc>
          <w:tcPr>
            <w:tcW w:w="6000" w:type="dxa"/>
            <w:vAlign w:val="bottom"/>
            <w:gridSpan w:val="12"/>
          </w:tcPr>
          <w:p>
            <w:pPr>
              <w:jc w:val="center"/>
              <w:ind w:left="2914"/>
              <w:spacing w:after="0"/>
              <w:rPr>
                <w:sz w:val="20"/>
                <w:szCs w:val="20"/>
                <w:color w:val="auto"/>
              </w:rPr>
            </w:pPr>
            <w:r>
              <w:rPr>
                <w:rFonts w:ascii="Times New Roman" w:cs="Times New Roman" w:eastAsia="Times New Roman" w:hAnsi="Times New Roman"/>
                <w:sz w:val="17"/>
                <w:szCs w:val="17"/>
                <w:color w:val="auto"/>
                <w:w w:val="93"/>
              </w:rPr>
              <w:t>2</w:t>
            </w: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8"/>
        </w:trPr>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Condensed Consolidated Financial Statements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MAGNITE,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par values)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5"/>
                <w:szCs w:val="15"/>
                <w:color w:val="auto"/>
              </w:rPr>
            </w:pPr>
          </w:p>
        </w:tc>
        <w:tc>
          <w:tcPr>
            <w:tcW w:w="15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2"/>
        </w:trPr>
        <w:tc>
          <w:tcPr>
            <w:tcW w:w="7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429,708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483,220</w:t>
            </w:r>
          </w:p>
        </w:tc>
        <w:tc>
          <w:tcPr>
            <w:tcW w:w="0" w:type="dxa"/>
            <w:vAlign w:val="bottom"/>
          </w:tcPr>
          <w:p>
            <w:pPr>
              <w:spacing w:after="0"/>
              <w:rPr>
                <w:sz w:val="1"/>
                <w:szCs w:val="1"/>
                <w:color w:val="auto"/>
              </w:rPr>
            </w:pPr>
          </w:p>
        </w:tc>
      </w:tr>
      <w:tr>
        <w:trPr>
          <w:trHeight w:val="258"/>
        </w:trPr>
        <w:tc>
          <w:tcPr>
            <w:tcW w:w="7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receivable, net</w:t>
            </w:r>
          </w:p>
        </w:tc>
        <w:tc>
          <w:tcPr>
            <w:tcW w:w="240" w:type="dxa"/>
            <w:vAlign w:val="bottom"/>
          </w:tcPr>
          <w:p>
            <w:pPr>
              <w:spacing w:after="0"/>
              <w:rPr>
                <w:sz w:val="22"/>
                <w:szCs w:val="22"/>
                <w:color w:val="auto"/>
              </w:rPr>
            </w:pPr>
          </w:p>
        </w:tc>
        <w:tc>
          <w:tcPr>
            <w:tcW w:w="14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1,053,153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1,200,046</w:t>
            </w:r>
          </w:p>
        </w:tc>
        <w:tc>
          <w:tcPr>
            <w:tcW w:w="0" w:type="dxa"/>
            <w:vAlign w:val="bottom"/>
          </w:tcPr>
          <w:p>
            <w:pPr>
              <w:spacing w:after="0"/>
              <w:rPr>
                <w:sz w:val="1"/>
                <w:szCs w:val="1"/>
                <w:color w:val="auto"/>
              </w:rPr>
            </w:pPr>
          </w:p>
        </w:tc>
      </w:tr>
      <w:tr>
        <w:trPr>
          <w:trHeight w:val="258"/>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32,207</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19,914</w:t>
            </w:r>
          </w:p>
        </w:tc>
        <w:tc>
          <w:tcPr>
            <w:tcW w:w="0" w:type="dxa"/>
            <w:vAlign w:val="bottom"/>
          </w:tcPr>
          <w:p>
            <w:pPr>
              <w:spacing w:after="0"/>
              <w:rPr>
                <w:sz w:val="1"/>
                <w:szCs w:val="1"/>
                <w:color w:val="auto"/>
              </w:rPr>
            </w:pPr>
          </w:p>
        </w:tc>
      </w:tr>
      <w:tr>
        <w:trPr>
          <w:trHeight w:val="238"/>
        </w:trPr>
        <w:tc>
          <w:tcPr>
            <w:tcW w:w="77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CURRENT ASSETS</w:t>
            </w:r>
          </w:p>
        </w:tc>
        <w:tc>
          <w:tcPr>
            <w:tcW w:w="240" w:type="dxa"/>
            <w:vAlign w:val="bottom"/>
          </w:tcPr>
          <w:p>
            <w:pPr>
              <w:spacing w:after="0"/>
              <w:rPr>
                <w:sz w:val="20"/>
                <w:szCs w:val="20"/>
                <w:color w:val="auto"/>
              </w:rPr>
            </w:pPr>
          </w:p>
        </w:tc>
        <w:tc>
          <w:tcPr>
            <w:tcW w:w="14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1,515,068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1,703,180</w:t>
            </w:r>
          </w:p>
        </w:tc>
        <w:tc>
          <w:tcPr>
            <w:tcW w:w="0" w:type="dxa"/>
            <w:vAlign w:val="bottom"/>
          </w:tcPr>
          <w:p>
            <w:pPr>
              <w:spacing w:after="0"/>
              <w:rPr>
                <w:sz w:val="1"/>
                <w:szCs w:val="1"/>
                <w:color w:val="auto"/>
              </w:rPr>
            </w:pPr>
          </w:p>
        </w:tc>
      </w:tr>
      <w:tr>
        <w:trPr>
          <w:trHeight w:val="258"/>
        </w:trPr>
        <w:tc>
          <w:tcPr>
            <w:tcW w:w="7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79,134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68,730</w:t>
            </w:r>
          </w:p>
        </w:tc>
        <w:tc>
          <w:tcPr>
            <w:tcW w:w="0" w:type="dxa"/>
            <w:vAlign w:val="bottom"/>
          </w:tcPr>
          <w:p>
            <w:pPr>
              <w:spacing w:after="0"/>
              <w:rPr>
                <w:sz w:val="1"/>
                <w:szCs w:val="1"/>
                <w:color w:val="auto"/>
              </w:rPr>
            </w:pPr>
          </w:p>
        </w:tc>
      </w:tr>
      <w:tr>
        <w:trPr>
          <w:trHeight w:val="258"/>
        </w:trPr>
        <w:tc>
          <w:tcPr>
            <w:tcW w:w="77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Right-of-use lease assets</w:t>
            </w:r>
          </w:p>
        </w:tc>
        <w:tc>
          <w:tcPr>
            <w:tcW w:w="240" w:type="dxa"/>
            <w:vAlign w:val="bottom"/>
          </w:tcPr>
          <w:p>
            <w:pPr>
              <w:spacing w:after="0"/>
              <w:rPr>
                <w:sz w:val="22"/>
                <w:szCs w:val="22"/>
                <w:color w:val="auto"/>
              </w:rPr>
            </w:pPr>
          </w:p>
        </w:tc>
        <w:tc>
          <w:tcPr>
            <w:tcW w:w="14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55,752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50,329</w:t>
            </w:r>
          </w:p>
        </w:tc>
        <w:tc>
          <w:tcPr>
            <w:tcW w:w="0" w:type="dxa"/>
            <w:vAlign w:val="bottom"/>
          </w:tcPr>
          <w:p>
            <w:pPr>
              <w:spacing w:after="0"/>
              <w:rPr>
                <w:sz w:val="1"/>
                <w:szCs w:val="1"/>
                <w:color w:val="auto"/>
              </w:rPr>
            </w:pPr>
          </w:p>
        </w:tc>
      </w:tr>
      <w:tr>
        <w:trPr>
          <w:trHeight w:val="258"/>
        </w:trPr>
        <w:tc>
          <w:tcPr>
            <w:tcW w:w="7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Internal use software development costs, net</w:t>
            </w: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26,689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26,625</w:t>
            </w:r>
          </w:p>
        </w:tc>
        <w:tc>
          <w:tcPr>
            <w:tcW w:w="0" w:type="dxa"/>
            <w:vAlign w:val="bottom"/>
          </w:tcPr>
          <w:p>
            <w:pPr>
              <w:spacing w:after="0"/>
              <w:rPr>
                <w:sz w:val="1"/>
                <w:szCs w:val="1"/>
                <w:color w:val="auto"/>
              </w:rPr>
            </w:pPr>
          </w:p>
        </w:tc>
      </w:tr>
      <w:tr>
        <w:trPr>
          <w:trHeight w:val="258"/>
        </w:trPr>
        <w:tc>
          <w:tcPr>
            <w:tcW w:w="77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Intangible assets, net</w:t>
            </w:r>
          </w:p>
        </w:tc>
        <w:tc>
          <w:tcPr>
            <w:tcW w:w="240" w:type="dxa"/>
            <w:vAlign w:val="bottom"/>
          </w:tcPr>
          <w:p>
            <w:pPr>
              <w:spacing w:after="0"/>
              <w:rPr>
                <w:sz w:val="22"/>
                <w:szCs w:val="22"/>
                <w:color w:val="auto"/>
              </w:rPr>
            </w:pPr>
          </w:p>
        </w:tc>
        <w:tc>
          <w:tcPr>
            <w:tcW w:w="14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13,926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21,309</w:t>
            </w:r>
          </w:p>
        </w:tc>
        <w:tc>
          <w:tcPr>
            <w:tcW w:w="0" w:type="dxa"/>
            <w:vAlign w:val="bottom"/>
          </w:tcPr>
          <w:p>
            <w:pPr>
              <w:spacing w:after="0"/>
              <w:rPr>
                <w:sz w:val="1"/>
                <w:szCs w:val="1"/>
                <w:color w:val="auto"/>
              </w:rPr>
            </w:pPr>
          </w:p>
        </w:tc>
      </w:tr>
      <w:tr>
        <w:trPr>
          <w:trHeight w:val="258"/>
        </w:trPr>
        <w:tc>
          <w:tcPr>
            <w:tcW w:w="7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Goodwill</w:t>
            </w: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978,217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978,217</w:t>
            </w:r>
          </w:p>
        </w:tc>
        <w:tc>
          <w:tcPr>
            <w:tcW w:w="0" w:type="dxa"/>
            <w:vAlign w:val="bottom"/>
          </w:tcPr>
          <w:p>
            <w:pPr>
              <w:spacing w:after="0"/>
              <w:rPr>
                <w:sz w:val="1"/>
                <w:szCs w:val="1"/>
                <w:color w:val="auto"/>
              </w:rPr>
            </w:pPr>
          </w:p>
        </w:tc>
      </w:tr>
      <w:tr>
        <w:trPr>
          <w:trHeight w:val="258"/>
        </w:trPr>
        <w:tc>
          <w:tcPr>
            <w:tcW w:w="77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Other assets, non-current</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5,864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6,378</w:t>
            </w:r>
          </w:p>
        </w:tc>
        <w:tc>
          <w:tcPr>
            <w:tcW w:w="0" w:type="dxa"/>
            <w:vAlign w:val="bottom"/>
          </w:tcPr>
          <w:p>
            <w:pPr>
              <w:spacing w:after="0"/>
              <w:rPr>
                <w:sz w:val="1"/>
                <w:szCs w:val="1"/>
                <w:color w:val="auto"/>
              </w:rPr>
            </w:pPr>
          </w:p>
        </w:tc>
      </w:tr>
      <w:tr>
        <w:trPr>
          <w:trHeight w:val="237"/>
        </w:trPr>
        <w:tc>
          <w:tcPr>
            <w:tcW w:w="77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2,674,650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2,854,768</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7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7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1,306,517</w:t>
            </w:r>
          </w:p>
        </w:tc>
        <w:tc>
          <w:tcPr>
            <w:tcW w:w="100" w:type="dxa"/>
            <w:vAlign w:val="bottom"/>
          </w:tcPr>
          <w:p>
            <w:pPr>
              <w:spacing w:after="0"/>
              <w:rPr>
                <w:sz w:val="22"/>
                <w:szCs w:val="22"/>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1,466,377</w:t>
            </w:r>
          </w:p>
        </w:tc>
        <w:tc>
          <w:tcPr>
            <w:tcW w:w="0" w:type="dxa"/>
            <w:vAlign w:val="bottom"/>
          </w:tcPr>
          <w:p>
            <w:pPr>
              <w:spacing w:after="0"/>
              <w:rPr>
                <w:sz w:val="1"/>
                <w:szCs w:val="1"/>
                <w:color w:val="auto"/>
              </w:rPr>
            </w:pPr>
          </w:p>
        </w:tc>
      </w:tr>
      <w:tr>
        <w:trPr>
          <w:trHeight w:val="258"/>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Lease liabilities, current</w:t>
            </w: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16,229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16,086</w:t>
            </w:r>
          </w:p>
        </w:tc>
        <w:tc>
          <w:tcPr>
            <w:tcW w:w="0" w:type="dxa"/>
            <w:vAlign w:val="bottom"/>
          </w:tcPr>
          <w:p>
            <w:pPr>
              <w:spacing w:after="0"/>
              <w:rPr>
                <w:sz w:val="1"/>
                <w:szCs w:val="1"/>
                <w:color w:val="auto"/>
              </w:rPr>
            </w:pPr>
          </w:p>
        </w:tc>
      </w:tr>
      <w:tr>
        <w:trPr>
          <w:trHeight w:val="258"/>
        </w:trPr>
        <w:tc>
          <w:tcPr>
            <w:tcW w:w="7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Debt, current, net of debt issuance costs</w:t>
            </w:r>
          </w:p>
        </w:tc>
        <w:tc>
          <w:tcPr>
            <w:tcW w:w="240" w:type="dxa"/>
            <w:vAlign w:val="bottom"/>
          </w:tcPr>
          <w:p>
            <w:pPr>
              <w:spacing w:after="0"/>
              <w:rPr>
                <w:sz w:val="22"/>
                <w:szCs w:val="22"/>
                <w:color w:val="auto"/>
              </w:rPr>
            </w:pPr>
          </w:p>
        </w:tc>
        <w:tc>
          <w:tcPr>
            <w:tcW w:w="14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207,568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3,641</w:t>
            </w:r>
          </w:p>
        </w:tc>
        <w:tc>
          <w:tcPr>
            <w:tcW w:w="0" w:type="dxa"/>
            <w:vAlign w:val="bottom"/>
          </w:tcPr>
          <w:p>
            <w:pPr>
              <w:spacing w:after="0"/>
              <w:rPr>
                <w:sz w:val="1"/>
                <w:szCs w:val="1"/>
                <w:color w:val="auto"/>
              </w:rPr>
            </w:pPr>
          </w:p>
        </w:tc>
      </w:tr>
      <w:tr>
        <w:trPr>
          <w:trHeight w:val="258"/>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8,173</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9,880</w:t>
            </w:r>
          </w:p>
        </w:tc>
        <w:tc>
          <w:tcPr>
            <w:tcW w:w="0" w:type="dxa"/>
            <w:vAlign w:val="bottom"/>
          </w:tcPr>
          <w:p>
            <w:pPr>
              <w:spacing w:after="0"/>
              <w:rPr>
                <w:sz w:val="1"/>
                <w:szCs w:val="1"/>
                <w:color w:val="auto"/>
              </w:rPr>
            </w:pPr>
          </w:p>
        </w:tc>
      </w:tr>
      <w:tr>
        <w:trPr>
          <w:trHeight w:val="238"/>
        </w:trPr>
        <w:tc>
          <w:tcPr>
            <w:tcW w:w="77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40" w:type="dxa"/>
            <w:vAlign w:val="bottom"/>
          </w:tcPr>
          <w:p>
            <w:pPr>
              <w:spacing w:after="0"/>
              <w:rPr>
                <w:sz w:val="20"/>
                <w:szCs w:val="20"/>
                <w:color w:val="auto"/>
              </w:rPr>
            </w:pPr>
          </w:p>
        </w:tc>
        <w:tc>
          <w:tcPr>
            <w:tcW w:w="14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1,538,487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1,495,984</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Debt, non-current, net of debt discount and debt issuance costs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349,001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550,104</w:t>
            </w:r>
          </w:p>
        </w:tc>
        <w:tc>
          <w:tcPr>
            <w:tcW w:w="0" w:type="dxa"/>
            <w:vAlign w:val="bottom"/>
          </w:tcPr>
          <w:p>
            <w:pPr>
              <w:spacing w:after="0"/>
              <w:rPr>
                <w:sz w:val="1"/>
                <w:szCs w:val="1"/>
                <w:color w:val="auto"/>
              </w:rPr>
            </w:pPr>
          </w:p>
        </w:tc>
      </w:tr>
      <w:tr>
        <w:trPr>
          <w:trHeight w:val="258"/>
        </w:trPr>
        <w:tc>
          <w:tcPr>
            <w:tcW w:w="7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 liabilities, non-current</w:t>
            </w:r>
          </w:p>
        </w:tc>
        <w:tc>
          <w:tcPr>
            <w:tcW w:w="240" w:type="dxa"/>
            <w:vAlign w:val="bottom"/>
          </w:tcPr>
          <w:p>
            <w:pPr>
              <w:spacing w:after="0"/>
              <w:rPr>
                <w:sz w:val="22"/>
                <w:szCs w:val="22"/>
                <w:color w:val="auto"/>
              </w:rPr>
            </w:pPr>
          </w:p>
        </w:tc>
        <w:tc>
          <w:tcPr>
            <w:tcW w:w="14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43,759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38,983</w:t>
            </w:r>
          </w:p>
        </w:tc>
        <w:tc>
          <w:tcPr>
            <w:tcW w:w="0" w:type="dxa"/>
            <w:vAlign w:val="bottom"/>
          </w:tcPr>
          <w:p>
            <w:pPr>
              <w:spacing w:after="0"/>
              <w:rPr>
                <w:sz w:val="1"/>
                <w:szCs w:val="1"/>
                <w:color w:val="auto"/>
              </w:rPr>
            </w:pPr>
          </w:p>
        </w:tc>
      </w:tr>
      <w:tr>
        <w:trPr>
          <w:trHeight w:val="258"/>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 non-current</w:t>
            </w:r>
          </w:p>
        </w:tc>
        <w:tc>
          <w:tcPr>
            <w:tcW w:w="2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1,650</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1,479</w:t>
            </w:r>
          </w:p>
        </w:tc>
        <w:tc>
          <w:tcPr>
            <w:tcW w:w="0" w:type="dxa"/>
            <w:vAlign w:val="bottom"/>
          </w:tcPr>
          <w:p>
            <w:pPr>
              <w:spacing w:after="0"/>
              <w:rPr>
                <w:sz w:val="1"/>
                <w:szCs w:val="1"/>
                <w:color w:val="auto"/>
              </w:rPr>
            </w:pPr>
          </w:p>
        </w:tc>
      </w:tr>
      <w:tr>
        <w:trPr>
          <w:trHeight w:val="238"/>
        </w:trPr>
        <w:tc>
          <w:tcPr>
            <w:tcW w:w="77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TOTAL LIABILITIES</w:t>
            </w: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1,932,897</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2,086,550</w:t>
            </w:r>
          </w:p>
        </w:tc>
        <w:tc>
          <w:tcPr>
            <w:tcW w:w="0" w:type="dxa"/>
            <w:vAlign w:val="bottom"/>
          </w:tcPr>
          <w:p>
            <w:pPr>
              <w:spacing w:after="0"/>
              <w:rPr>
                <w:sz w:val="1"/>
                <w:szCs w:val="1"/>
                <w:color w:val="auto"/>
              </w:rPr>
            </w:pPr>
          </w:p>
        </w:tc>
      </w:tr>
      <w:tr>
        <w:trPr>
          <w:trHeight w:val="238"/>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11)</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Preferred stock, $0.00001 par value, 10,000 shares authorized at March 31, 2025 and December 31, 2024; 0</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shares issued and outstanding at March 31, 2025 and December 31, 2024</w:t>
            </w:r>
          </w:p>
        </w:tc>
        <w:tc>
          <w:tcPr>
            <w:tcW w:w="24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Common stock, $0.00001 par value; 500,000 shares authorized at March 31, 2025 and December 31, 2024;</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141,476 and 141,427 shares issued and outstanding at March 31, 2025 and December 31, 2024</w:t>
            </w:r>
          </w:p>
        </w:tc>
        <w:tc>
          <w:tcPr>
            <w:tcW w:w="240" w:type="dxa"/>
            <w:vAlign w:val="bottom"/>
          </w:tcPr>
          <w:p>
            <w:pPr>
              <w:spacing w:after="0"/>
              <w:rPr>
                <w:sz w:val="21"/>
                <w:szCs w:val="21"/>
                <w:color w:val="auto"/>
              </w:rPr>
            </w:pPr>
          </w:p>
        </w:tc>
        <w:tc>
          <w:tcPr>
            <w:tcW w:w="14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58"/>
        </w:trPr>
        <w:tc>
          <w:tcPr>
            <w:tcW w:w="7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1,416,149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1,433,809</w:t>
            </w:r>
          </w:p>
        </w:tc>
        <w:tc>
          <w:tcPr>
            <w:tcW w:w="0" w:type="dxa"/>
            <w:vAlign w:val="bottom"/>
          </w:tcPr>
          <w:p>
            <w:pPr>
              <w:spacing w:after="0"/>
              <w:rPr>
                <w:sz w:val="1"/>
                <w:szCs w:val="1"/>
                <w:color w:val="auto"/>
              </w:rPr>
            </w:pPr>
          </w:p>
        </w:tc>
      </w:tr>
      <w:tr>
        <w:trPr>
          <w:trHeight w:val="258"/>
        </w:trPr>
        <w:tc>
          <w:tcPr>
            <w:tcW w:w="77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40" w:type="dxa"/>
            <w:vAlign w:val="bottom"/>
          </w:tcPr>
          <w:p>
            <w:pPr>
              <w:spacing w:after="0"/>
              <w:rPr>
                <w:sz w:val="22"/>
                <w:szCs w:val="22"/>
                <w:color w:val="auto"/>
              </w:rPr>
            </w:pPr>
          </w:p>
        </w:tc>
        <w:tc>
          <w:tcPr>
            <w:tcW w:w="14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(3,592)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(4,421)</w:t>
            </w:r>
          </w:p>
        </w:tc>
        <w:tc>
          <w:tcPr>
            <w:tcW w:w="0" w:type="dxa"/>
            <w:vAlign w:val="bottom"/>
          </w:tcPr>
          <w:p>
            <w:pPr>
              <w:spacing w:after="0"/>
              <w:rPr>
                <w:sz w:val="1"/>
                <w:szCs w:val="1"/>
                <w:color w:val="auto"/>
              </w:rPr>
            </w:pPr>
          </w:p>
        </w:tc>
      </w:tr>
      <w:tr>
        <w:trPr>
          <w:trHeight w:val="258"/>
        </w:trPr>
        <w:tc>
          <w:tcPr>
            <w:tcW w:w="7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Accumulated deficit</w:t>
            </w:r>
          </w:p>
        </w:tc>
        <w:tc>
          <w:tcPr>
            <w:tcW w:w="2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(670,806)</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(661,172)</w:t>
            </w:r>
          </w:p>
        </w:tc>
        <w:tc>
          <w:tcPr>
            <w:tcW w:w="0" w:type="dxa"/>
            <w:vAlign w:val="bottom"/>
          </w:tcPr>
          <w:p>
            <w:pPr>
              <w:spacing w:after="0"/>
              <w:rPr>
                <w:sz w:val="1"/>
                <w:szCs w:val="1"/>
                <w:color w:val="auto"/>
              </w:rPr>
            </w:pPr>
          </w:p>
        </w:tc>
      </w:tr>
      <w:tr>
        <w:trPr>
          <w:trHeight w:val="238"/>
        </w:trPr>
        <w:tc>
          <w:tcPr>
            <w:tcW w:w="77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741,753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768,218</w:t>
            </w:r>
          </w:p>
        </w:tc>
        <w:tc>
          <w:tcPr>
            <w:tcW w:w="0" w:type="dxa"/>
            <w:vAlign w:val="bottom"/>
          </w:tcPr>
          <w:p>
            <w:pPr>
              <w:spacing w:after="0"/>
              <w:rPr>
                <w:sz w:val="1"/>
                <w:szCs w:val="1"/>
                <w:color w:val="auto"/>
              </w:rPr>
            </w:pPr>
          </w:p>
        </w:tc>
      </w:tr>
      <w:tr>
        <w:trPr>
          <w:trHeight w:val="237"/>
        </w:trPr>
        <w:tc>
          <w:tcPr>
            <w:tcW w:w="77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2,674,650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2,854,768</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MAGNITE,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60" w:type="dxa"/>
            <w:vAlign w:val="bottom"/>
            <w:gridSpan w:val="4"/>
          </w:tcPr>
          <w:p>
            <w:pPr>
              <w:jc w:val="right"/>
              <w:ind w:right="10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2"/>
        </w:trPr>
        <w:tc>
          <w:tcPr>
            <w:tcW w:w="7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60" w:type="dxa"/>
            <w:vAlign w:val="bottom"/>
          </w:tcPr>
          <w:p>
            <w:pPr>
              <w:spacing w:after="0"/>
              <w:rPr>
                <w:sz w:val="15"/>
                <w:szCs w:val="15"/>
                <w:color w:val="auto"/>
              </w:rPr>
            </w:pPr>
          </w:p>
        </w:tc>
        <w:tc>
          <w:tcPr>
            <w:tcW w:w="14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18"/>
        </w:trPr>
        <w:tc>
          <w:tcPr>
            <w:tcW w:w="7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155,771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149,319</w:t>
            </w:r>
          </w:p>
        </w:tc>
        <w:tc>
          <w:tcPr>
            <w:tcW w:w="0" w:type="dxa"/>
            <w:vAlign w:val="bottom"/>
          </w:tcPr>
          <w:p>
            <w:pPr>
              <w:spacing w:after="0"/>
              <w:rPr>
                <w:sz w:val="1"/>
                <w:szCs w:val="1"/>
                <w:color w:val="auto"/>
              </w:rPr>
            </w:pPr>
          </w:p>
        </w:tc>
      </w:tr>
      <w:tr>
        <w:trPr>
          <w:trHeight w:val="219"/>
        </w:trPr>
        <w:tc>
          <w:tcPr>
            <w:tcW w:w="7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of revenue</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65,902</w:t>
            </w:r>
          </w:p>
        </w:tc>
        <w:tc>
          <w:tcPr>
            <w:tcW w:w="0" w:type="dxa"/>
            <w:vAlign w:val="bottom"/>
          </w:tcPr>
          <w:p>
            <w:pPr>
              <w:spacing w:after="0"/>
              <w:rPr>
                <w:sz w:val="1"/>
                <w:szCs w:val="1"/>
                <w:color w:val="auto"/>
              </w:rPr>
            </w:pPr>
          </w:p>
        </w:tc>
      </w:tr>
      <w:tr>
        <w:trPr>
          <w:trHeight w:val="219"/>
        </w:trPr>
        <w:tc>
          <w:tcPr>
            <w:tcW w:w="7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Sales and marketing</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43,689</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Technology and development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26,891</w:t>
            </w:r>
          </w:p>
        </w:tc>
        <w:tc>
          <w:tcPr>
            <w:tcW w:w="0" w:type="dxa"/>
            <w:vAlign w:val="bottom"/>
          </w:tcPr>
          <w:p>
            <w:pPr>
              <w:spacing w:after="0"/>
              <w:rPr>
                <w:sz w:val="1"/>
                <w:szCs w:val="1"/>
                <w:color w:val="auto"/>
              </w:rPr>
            </w:pPr>
          </w:p>
        </w:tc>
      </w:tr>
      <w:tr>
        <w:trPr>
          <w:trHeight w:val="219"/>
        </w:trPr>
        <w:tc>
          <w:tcPr>
            <w:tcW w:w="7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23,938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26,665</w:t>
            </w:r>
          </w:p>
        </w:tc>
        <w:tc>
          <w:tcPr>
            <w:tcW w:w="0" w:type="dxa"/>
            <w:vAlign w:val="bottom"/>
          </w:tcPr>
          <w:p>
            <w:pPr>
              <w:spacing w:after="0"/>
              <w:rPr>
                <w:sz w:val="1"/>
                <w:szCs w:val="1"/>
                <w:color w:val="auto"/>
              </w:rPr>
            </w:pP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expenses</w:t>
            </w: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157,135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163,147</w:t>
            </w:r>
          </w:p>
        </w:tc>
        <w:tc>
          <w:tcPr>
            <w:tcW w:w="0" w:type="dxa"/>
            <w:vAlign w:val="bottom"/>
          </w:tcPr>
          <w:p>
            <w:pPr>
              <w:spacing w:after="0"/>
              <w:rPr>
                <w:sz w:val="1"/>
                <w:szCs w:val="1"/>
                <w:color w:val="auto"/>
              </w:rPr>
            </w:pPr>
          </w:p>
        </w:tc>
      </w:tr>
      <w:tr>
        <w:trPr>
          <w:trHeight w:val="212"/>
        </w:trPr>
        <w:tc>
          <w:tcPr>
            <w:tcW w:w="7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(13,828)</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expense, net</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7,958</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Foreign exchange (gain) loss, net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(2,315)</w:t>
            </w:r>
          </w:p>
        </w:tc>
        <w:tc>
          <w:tcPr>
            <w:tcW w:w="0" w:type="dxa"/>
            <w:vAlign w:val="bottom"/>
          </w:tcPr>
          <w:p>
            <w:pPr>
              <w:spacing w:after="0"/>
              <w:rPr>
                <w:sz w:val="1"/>
                <w:szCs w:val="1"/>
                <w:color w:val="auto"/>
              </w:rPr>
            </w:pPr>
          </w:p>
        </w:tc>
      </w:tr>
      <w:tr>
        <w:trPr>
          <w:trHeight w:val="219"/>
        </w:trPr>
        <w:tc>
          <w:tcPr>
            <w:tcW w:w="7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7,387</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income</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(1,292)</w:t>
            </w:r>
          </w:p>
        </w:tc>
        <w:tc>
          <w:tcPr>
            <w:tcW w:w="0" w:type="dxa"/>
            <w:vAlign w:val="bottom"/>
          </w:tcPr>
          <w:p>
            <w:pPr>
              <w:spacing w:after="0"/>
              <w:rPr>
                <w:sz w:val="1"/>
                <w:szCs w:val="1"/>
                <w:color w:val="auto"/>
              </w:rPr>
            </w:pPr>
          </w:p>
        </w:tc>
      </w:tr>
      <w:tr>
        <w:trPr>
          <w:trHeight w:val="212"/>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other expense, net</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11,738</w:t>
            </w:r>
          </w:p>
        </w:tc>
        <w:tc>
          <w:tcPr>
            <w:tcW w:w="0" w:type="dxa"/>
            <w:vAlign w:val="bottom"/>
          </w:tcPr>
          <w:p>
            <w:pPr>
              <w:spacing w:after="0"/>
              <w:rPr>
                <w:sz w:val="1"/>
                <w:szCs w:val="1"/>
                <w:color w:val="auto"/>
              </w:rPr>
            </w:pP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(25,566)</w:t>
            </w:r>
          </w:p>
        </w:tc>
        <w:tc>
          <w:tcPr>
            <w:tcW w:w="0" w:type="dxa"/>
            <w:vAlign w:val="bottom"/>
          </w:tcPr>
          <w:p>
            <w:pPr>
              <w:spacing w:after="0"/>
              <w:rPr>
                <w:sz w:val="1"/>
                <w:szCs w:val="1"/>
                <w:color w:val="auto"/>
              </w:rPr>
            </w:pPr>
          </w:p>
        </w:tc>
      </w:tr>
      <w:tr>
        <w:trPr>
          <w:trHeight w:val="219"/>
        </w:trPr>
        <w:tc>
          <w:tcPr>
            <w:tcW w:w="7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Benefit for income taxes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(7,809)</w:t>
            </w:r>
          </w:p>
        </w:tc>
        <w:tc>
          <w:tcPr>
            <w:tcW w:w="0" w:type="dxa"/>
            <w:vAlign w:val="bottom"/>
          </w:tcPr>
          <w:p>
            <w:pPr>
              <w:spacing w:after="0"/>
              <w:rPr>
                <w:sz w:val="1"/>
                <w:szCs w:val="1"/>
                <w:color w:val="auto"/>
              </w:rPr>
            </w:pP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(17,757)</w:t>
            </w:r>
          </w:p>
        </w:tc>
        <w:tc>
          <w:tcPr>
            <w:tcW w:w="0" w:type="dxa"/>
            <w:vAlign w:val="bottom"/>
          </w:tcPr>
          <w:p>
            <w:pPr>
              <w:spacing w:after="0"/>
              <w:rPr>
                <w:sz w:val="1"/>
                <w:szCs w:val="1"/>
                <w:color w:val="auto"/>
              </w:rPr>
            </w:pPr>
          </w:p>
        </w:tc>
      </w:tr>
      <w:tr>
        <w:trPr>
          <w:trHeight w:val="219"/>
        </w:trPr>
        <w:tc>
          <w:tcPr>
            <w:tcW w:w="7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per share:</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740" w:type="dxa"/>
            <w:vAlign w:val="bottom"/>
            <w:tcBorders>
              <w:bottom w:val="single" w:sz="8" w:color="CCEEFF"/>
            </w:tcBorders>
            <w:shd w:val="clear" w:color="auto" w:fill="CCEEFF"/>
          </w:tcPr>
          <w:p>
            <w:pPr>
              <w:ind w:left="320"/>
              <w:spacing w:after="0" w:line="194" w:lineRule="exact"/>
              <w:rPr>
                <w:sz w:val="20"/>
                <w:szCs w:val="20"/>
                <w:color w:val="auto"/>
              </w:rPr>
            </w:pPr>
            <w:r>
              <w:rPr>
                <w:rFonts w:ascii="Times New Roman" w:cs="Times New Roman" w:eastAsia="Times New Roman" w:hAnsi="Times New Roman"/>
                <w:sz w:val="17"/>
                <w:szCs w:val="17"/>
                <w:color w:val="auto"/>
              </w:rPr>
              <w:t>Basic and diluted</w:t>
            </w:r>
          </w:p>
        </w:tc>
        <w:tc>
          <w:tcPr>
            <w:tcW w:w="240" w:type="dxa"/>
            <w:vAlign w:val="bottom"/>
            <w:tcBorders>
              <w:bottom w:val="single" w:sz="8" w:color="auto"/>
            </w:tcBorders>
            <w:shd w:val="clear" w:color="auto" w:fill="CCEEFF"/>
          </w:tcPr>
          <w:p>
            <w:pPr>
              <w:jc w:val="right"/>
              <w:ind w:right="54"/>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(0.07)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4"/>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(0.13)</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Weighted average shares used to compute net loss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7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77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Basic and diluted</w:t>
            </w:r>
          </w:p>
        </w:tc>
        <w:tc>
          <w:tcPr>
            <w:tcW w:w="2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141,852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139,297</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MAGNITE,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 (LOSS)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0" w:type="dxa"/>
            <w:vAlign w:val="bottom"/>
            <w:gridSpan w:val="4"/>
          </w:tcPr>
          <w:p>
            <w:pPr>
              <w:jc w:val="right"/>
              <w:ind w:right="101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2"/>
        </w:trPr>
        <w:tc>
          <w:tcPr>
            <w:tcW w:w="7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1"/>
        </w:trPr>
        <w:tc>
          <w:tcPr>
            <w:tcW w:w="7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60" w:type="dxa"/>
            <w:vAlign w:val="bottom"/>
          </w:tcPr>
          <w:p>
            <w:pPr>
              <w:spacing w:after="0"/>
              <w:rPr>
                <w:sz w:val="15"/>
                <w:szCs w:val="15"/>
                <w:color w:val="auto"/>
              </w:rPr>
            </w:pPr>
          </w:p>
        </w:tc>
        <w:tc>
          <w:tcPr>
            <w:tcW w:w="142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18"/>
        </w:trPr>
        <w:tc>
          <w:tcPr>
            <w:tcW w:w="7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(17,757)</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9"/>
        </w:trPr>
        <w:tc>
          <w:tcPr>
            <w:tcW w:w="7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w:t>
            </w:r>
          </w:p>
        </w:tc>
      </w:tr>
      <w:tr>
        <w:trPr>
          <w:trHeight w:val="21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(1,015)</w:t>
            </w:r>
          </w:p>
        </w:tc>
      </w:tr>
      <w:tr>
        <w:trPr>
          <w:trHeight w:val="237"/>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loss</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(8,805)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(18,772)</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MAGNITE,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40" w:type="dxa"/>
            <w:vAlign w:val="bottom"/>
          </w:tcPr>
          <w:p>
            <w:pPr>
              <w:spacing w:after="0"/>
              <w:rPr>
                <w:sz w:val="13"/>
                <w:szCs w:val="13"/>
                <w:color w:val="auto"/>
              </w:rPr>
            </w:pPr>
          </w:p>
        </w:tc>
        <w:tc>
          <w:tcPr>
            <w:tcW w:w="1720" w:type="dxa"/>
            <w:vAlign w:val="bottom"/>
            <w:gridSpan w:val="5"/>
          </w:tcPr>
          <w:p>
            <w:pPr>
              <w:ind w:left="340"/>
              <w:spacing w:after="0" w:line="15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200" w:type="dxa"/>
            <w:vAlign w:val="bottom"/>
          </w:tcPr>
          <w:p>
            <w:pPr>
              <w:spacing w:after="0"/>
              <w:rPr>
                <w:sz w:val="13"/>
                <w:szCs w:val="13"/>
                <w:color w:val="auto"/>
              </w:rPr>
            </w:pPr>
          </w:p>
        </w:tc>
        <w:tc>
          <w:tcPr>
            <w:tcW w:w="84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5"/>
          </w:tcPr>
          <w:p>
            <w:pPr>
              <w:ind w:left="380"/>
              <w:spacing w:after="0" w:line="155"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180" w:type="dxa"/>
            <w:vAlign w:val="bottom"/>
          </w:tcPr>
          <w:p>
            <w:pPr>
              <w:spacing w:after="0"/>
              <w:rPr>
                <w:sz w:val="13"/>
                <w:szCs w:val="13"/>
                <w:color w:val="auto"/>
              </w:rPr>
            </w:pPr>
          </w:p>
        </w:tc>
        <w:tc>
          <w:tcPr>
            <w:tcW w:w="740" w:type="dxa"/>
            <w:vAlign w:val="bottom"/>
          </w:tcPr>
          <w:p>
            <w:pPr>
              <w:jc w:val="center"/>
              <w:ind w:right="124"/>
              <w:spacing w:after="0" w:line="155"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4"/>
        </w:trPr>
        <w:tc>
          <w:tcPr>
            <w:tcW w:w="384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040" w:type="dxa"/>
            <w:vAlign w:val="bottom"/>
            <w:gridSpan w:val="3"/>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000" w:type="dxa"/>
            <w:vAlign w:val="bottom"/>
            <w:gridSpan w:val="3"/>
            <w:vMerge w:val="restart"/>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2"/>
            <w:vMerge w:val="restart"/>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6"/>
              </w:rPr>
              <w:t>Stockholders’</w:t>
            </w:r>
          </w:p>
        </w:tc>
        <w:tc>
          <w:tcPr>
            <w:tcW w:w="0" w:type="dxa"/>
            <w:vAlign w:val="bottom"/>
          </w:tcPr>
          <w:p>
            <w:pPr>
              <w:spacing w:after="0"/>
              <w:rPr>
                <w:sz w:val="1"/>
                <w:szCs w:val="1"/>
                <w:color w:val="auto"/>
              </w:rPr>
            </w:pPr>
          </w:p>
        </w:tc>
      </w:tr>
      <w:tr>
        <w:trPr>
          <w:trHeight w:val="44"/>
        </w:trPr>
        <w:tc>
          <w:tcPr>
            <w:tcW w:w="3840" w:type="dxa"/>
            <w:vAlign w:val="bottom"/>
          </w:tcPr>
          <w:p>
            <w:pPr>
              <w:spacing w:after="0"/>
              <w:rPr>
                <w:sz w:val="3"/>
                <w:szCs w:val="3"/>
                <w:color w:val="auto"/>
              </w:rPr>
            </w:pPr>
          </w:p>
        </w:tc>
        <w:tc>
          <w:tcPr>
            <w:tcW w:w="780" w:type="dxa"/>
            <w:vAlign w:val="bottom"/>
            <w:vMerge w:val="restart"/>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vMerge w:val="restart"/>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restart"/>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vMerge w:val="restart"/>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780" w:type="dxa"/>
            <w:vAlign w:val="bottom"/>
            <w:vMerge w:val="restart"/>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vMerge w:val="restart"/>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restart"/>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vMerge w:val="restart"/>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384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at December 31, 2023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138,577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1,387,715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(683,958)</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701,683</w:t>
            </w:r>
          </w:p>
        </w:tc>
        <w:tc>
          <w:tcPr>
            <w:tcW w:w="0" w:type="dxa"/>
            <w:vAlign w:val="bottom"/>
          </w:tcPr>
          <w:p>
            <w:pPr>
              <w:spacing w:after="0"/>
              <w:rPr>
                <w:sz w:val="1"/>
                <w:szCs w:val="1"/>
                <w:color w:val="auto"/>
              </w:rPr>
            </w:pPr>
          </w:p>
        </w:tc>
      </w:tr>
      <w:tr>
        <w:trPr>
          <w:trHeight w:val="203"/>
        </w:trPr>
        <w:tc>
          <w:tcPr>
            <w:tcW w:w="38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Issuance of common stock related to RSU vesting</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2,363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Shares withheld related to net share settlement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(8,941)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(8,941)</w:t>
            </w:r>
          </w:p>
        </w:tc>
        <w:tc>
          <w:tcPr>
            <w:tcW w:w="0" w:type="dxa"/>
            <w:vAlign w:val="bottom"/>
          </w:tcPr>
          <w:p>
            <w:pPr>
              <w:spacing w:after="0"/>
              <w:rPr>
                <w:sz w:val="1"/>
                <w:szCs w:val="1"/>
                <w:color w:val="auto"/>
              </w:rPr>
            </w:pPr>
          </w:p>
        </w:tc>
      </w:tr>
      <w:tr>
        <w:trPr>
          <w:trHeight w:val="203"/>
        </w:trPr>
        <w:tc>
          <w:tcPr>
            <w:tcW w:w="38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Stock-based compensation</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21,407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21,407</w:t>
            </w:r>
          </w:p>
        </w:tc>
        <w:tc>
          <w:tcPr>
            <w:tcW w:w="0" w:type="dxa"/>
            <w:vAlign w:val="bottom"/>
          </w:tcPr>
          <w:p>
            <w:pPr>
              <w:spacing w:after="0"/>
              <w:rPr>
                <w:sz w:val="1"/>
                <w:szCs w:val="1"/>
                <w:color w:val="auto"/>
              </w:rPr>
            </w:pPr>
          </w:p>
        </w:tc>
      </w:tr>
      <w:tr>
        <w:trPr>
          <w:trHeight w:val="209"/>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comprehensive loss</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(1,015)</w:t>
            </w:r>
          </w:p>
        </w:tc>
        <w:tc>
          <w:tcPr>
            <w:tcW w:w="0" w:type="dxa"/>
            <w:vAlign w:val="bottom"/>
          </w:tcPr>
          <w:p>
            <w:pPr>
              <w:spacing w:after="0"/>
              <w:rPr>
                <w:sz w:val="1"/>
                <w:szCs w:val="1"/>
                <w:color w:val="auto"/>
              </w:rPr>
            </w:pPr>
          </w:p>
        </w:tc>
      </w:tr>
      <w:tr>
        <w:trPr>
          <w:trHeight w:val="203"/>
        </w:trPr>
        <w:tc>
          <w:tcPr>
            <w:tcW w:w="3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Net loss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(17,757)</w:t>
            </w: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(17,757)</w:t>
            </w:r>
          </w:p>
        </w:tc>
        <w:tc>
          <w:tcPr>
            <w:tcW w:w="0" w:type="dxa"/>
            <w:vAlign w:val="bottom"/>
          </w:tcPr>
          <w:p>
            <w:pPr>
              <w:spacing w:after="0"/>
              <w:rPr>
                <w:sz w:val="1"/>
                <w:szCs w:val="1"/>
                <w:color w:val="auto"/>
              </w:rPr>
            </w:pPr>
          </w:p>
        </w:tc>
      </w:tr>
      <w:tr>
        <w:trPr>
          <w:trHeight w:val="222"/>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at March 31, 2024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140,024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1,400,181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(3,091)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(701,715)</w:t>
            </w: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695,377</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840" w:type="dxa"/>
            <w:vAlign w:val="bottom"/>
          </w:tcPr>
          <w:p>
            <w:pPr>
              <w:spacing w:after="0"/>
              <w:rPr>
                <w:sz w:val="13"/>
                <w:szCs w:val="13"/>
                <w:color w:val="auto"/>
              </w:rPr>
            </w:pPr>
          </w:p>
        </w:tc>
        <w:tc>
          <w:tcPr>
            <w:tcW w:w="1720" w:type="dxa"/>
            <w:vAlign w:val="bottom"/>
            <w:gridSpan w:val="5"/>
          </w:tcPr>
          <w:p>
            <w:pPr>
              <w:ind w:left="340"/>
              <w:spacing w:after="0" w:line="153"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53"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200" w:type="dxa"/>
            <w:vAlign w:val="bottom"/>
          </w:tcPr>
          <w:p>
            <w:pPr>
              <w:spacing w:after="0"/>
              <w:rPr>
                <w:sz w:val="13"/>
                <w:szCs w:val="13"/>
                <w:color w:val="auto"/>
              </w:rPr>
            </w:pPr>
          </w:p>
        </w:tc>
        <w:tc>
          <w:tcPr>
            <w:tcW w:w="840" w:type="dxa"/>
            <w:vAlign w:val="bottom"/>
            <w:gridSpan w:val="2"/>
          </w:tcPr>
          <w:p>
            <w:pPr>
              <w:jc w:val="center"/>
              <w:ind w:right="320"/>
              <w:spacing w:after="0" w:line="153"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5"/>
          </w:tcPr>
          <w:p>
            <w:pPr>
              <w:ind w:left="380"/>
              <w:spacing w:after="0" w:line="153"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180" w:type="dxa"/>
            <w:vAlign w:val="bottom"/>
          </w:tcPr>
          <w:p>
            <w:pPr>
              <w:spacing w:after="0"/>
              <w:rPr>
                <w:sz w:val="13"/>
                <w:szCs w:val="13"/>
                <w:color w:val="auto"/>
              </w:rPr>
            </w:pPr>
          </w:p>
        </w:tc>
        <w:tc>
          <w:tcPr>
            <w:tcW w:w="740" w:type="dxa"/>
            <w:vAlign w:val="bottom"/>
          </w:tcPr>
          <w:p>
            <w:pPr>
              <w:jc w:val="center"/>
              <w:ind w:right="124"/>
              <w:spacing w:after="0" w:line="153"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4"/>
        </w:trPr>
        <w:tc>
          <w:tcPr>
            <w:tcW w:w="384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040" w:type="dxa"/>
            <w:vAlign w:val="bottom"/>
            <w:gridSpan w:val="3"/>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000" w:type="dxa"/>
            <w:vAlign w:val="bottom"/>
            <w:gridSpan w:val="3"/>
            <w:vMerge w:val="restart"/>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2"/>
            <w:vMerge w:val="restart"/>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6"/>
              </w:rPr>
              <w:t>Stockholders’</w:t>
            </w:r>
          </w:p>
        </w:tc>
        <w:tc>
          <w:tcPr>
            <w:tcW w:w="0" w:type="dxa"/>
            <w:vAlign w:val="bottom"/>
          </w:tcPr>
          <w:p>
            <w:pPr>
              <w:spacing w:after="0"/>
              <w:rPr>
                <w:sz w:val="1"/>
                <w:szCs w:val="1"/>
                <w:color w:val="auto"/>
              </w:rPr>
            </w:pPr>
          </w:p>
        </w:tc>
      </w:tr>
      <w:tr>
        <w:trPr>
          <w:trHeight w:val="44"/>
        </w:trPr>
        <w:tc>
          <w:tcPr>
            <w:tcW w:w="3840" w:type="dxa"/>
            <w:vAlign w:val="bottom"/>
          </w:tcPr>
          <w:p>
            <w:pPr>
              <w:spacing w:after="0"/>
              <w:rPr>
                <w:sz w:val="3"/>
                <w:szCs w:val="3"/>
                <w:color w:val="auto"/>
              </w:rPr>
            </w:pPr>
          </w:p>
        </w:tc>
        <w:tc>
          <w:tcPr>
            <w:tcW w:w="8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3"/>
                <w:szCs w:val="3"/>
                <w:color w:val="auto"/>
              </w:rPr>
            </w:pPr>
          </w:p>
        </w:tc>
        <w:tc>
          <w:tcPr>
            <w:tcW w:w="7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8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3"/>
                <w:szCs w:val="3"/>
                <w:color w:val="auto"/>
              </w:rPr>
            </w:pPr>
          </w:p>
        </w:tc>
        <w:tc>
          <w:tcPr>
            <w:tcW w:w="7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9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38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16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17"/>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at December 31, 2024</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141,427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1,433,809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(661,172)</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768,218</w:t>
            </w:r>
          </w:p>
        </w:tc>
        <w:tc>
          <w:tcPr>
            <w:tcW w:w="0" w:type="dxa"/>
            <w:vAlign w:val="bottom"/>
          </w:tcPr>
          <w:p>
            <w:pPr>
              <w:spacing w:after="0"/>
              <w:rPr>
                <w:sz w:val="1"/>
                <w:szCs w:val="1"/>
                <w:color w:val="auto"/>
              </w:rPr>
            </w:pPr>
          </w:p>
        </w:tc>
      </w:tr>
      <w:tr>
        <w:trPr>
          <w:trHeight w:val="203"/>
        </w:trPr>
        <w:tc>
          <w:tcPr>
            <w:tcW w:w="38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Exercise of common stock options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252</w:t>
            </w:r>
          </w:p>
        </w:tc>
        <w:tc>
          <w:tcPr>
            <w:tcW w:w="0" w:type="dxa"/>
            <w:vAlign w:val="bottom"/>
          </w:tcPr>
          <w:p>
            <w:pPr>
              <w:spacing w:after="0"/>
              <w:rPr>
                <w:sz w:val="1"/>
                <w:szCs w:val="1"/>
                <w:color w:val="auto"/>
              </w:rPr>
            </w:pPr>
          </w:p>
        </w:tc>
      </w:tr>
      <w:tr>
        <w:trPr>
          <w:trHeight w:val="209"/>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Issuance of common stock related to RSU and PSU vesting</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38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Shares withheld related to net share settlement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(20,314)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(20,314)</w:t>
            </w:r>
          </w:p>
        </w:tc>
        <w:tc>
          <w:tcPr>
            <w:tcW w:w="0" w:type="dxa"/>
            <w:vAlign w:val="bottom"/>
          </w:tcPr>
          <w:p>
            <w:pPr>
              <w:spacing w:after="0"/>
              <w:rPr>
                <w:sz w:val="1"/>
                <w:szCs w:val="1"/>
                <w:color w:val="auto"/>
              </w:rPr>
            </w:pPr>
          </w:p>
        </w:tc>
      </w:tr>
      <w:tr>
        <w:trPr>
          <w:trHeight w:val="209"/>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Purchase of treasury stock</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(19,229)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(19,229)</w:t>
            </w:r>
          </w:p>
        </w:tc>
        <w:tc>
          <w:tcPr>
            <w:tcW w:w="0" w:type="dxa"/>
            <w:vAlign w:val="bottom"/>
          </w:tcPr>
          <w:p>
            <w:pPr>
              <w:spacing w:after="0"/>
              <w:rPr>
                <w:sz w:val="1"/>
                <w:szCs w:val="1"/>
                <w:color w:val="auto"/>
              </w:rPr>
            </w:pPr>
          </w:p>
        </w:tc>
      </w:tr>
      <w:tr>
        <w:trPr>
          <w:trHeight w:val="203"/>
        </w:trPr>
        <w:tc>
          <w:tcPr>
            <w:tcW w:w="38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Retirement of common stock</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(19,229)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19,229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Stock-based compensation</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21,631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21,631</w:t>
            </w:r>
          </w:p>
        </w:tc>
        <w:tc>
          <w:tcPr>
            <w:tcW w:w="0" w:type="dxa"/>
            <w:vAlign w:val="bottom"/>
          </w:tcPr>
          <w:p>
            <w:pPr>
              <w:spacing w:after="0"/>
              <w:rPr>
                <w:sz w:val="1"/>
                <w:szCs w:val="1"/>
                <w:color w:val="auto"/>
              </w:rPr>
            </w:pPr>
          </w:p>
        </w:tc>
      </w:tr>
      <w:tr>
        <w:trPr>
          <w:trHeight w:val="203"/>
        </w:trPr>
        <w:tc>
          <w:tcPr>
            <w:tcW w:w="38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829</w:t>
            </w:r>
          </w:p>
        </w:tc>
        <w:tc>
          <w:tcPr>
            <w:tcW w:w="0" w:type="dxa"/>
            <w:vAlign w:val="bottom"/>
          </w:tcPr>
          <w:p>
            <w:pPr>
              <w:spacing w:after="0"/>
              <w:rPr>
                <w:sz w:val="1"/>
                <w:szCs w:val="1"/>
                <w:color w:val="auto"/>
              </w:rPr>
            </w:pPr>
          </w:p>
        </w:tc>
      </w:tr>
      <w:tr>
        <w:trPr>
          <w:trHeight w:val="206"/>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loss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(9,634)</w:t>
            </w:r>
          </w:p>
        </w:tc>
        <w:tc>
          <w:tcPr>
            <w:tcW w:w="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(9,634)</w:t>
            </w:r>
          </w:p>
        </w:tc>
        <w:tc>
          <w:tcPr>
            <w:tcW w:w="0" w:type="dxa"/>
            <w:vAlign w:val="bottom"/>
          </w:tcPr>
          <w:p>
            <w:pPr>
              <w:spacing w:after="0"/>
              <w:rPr>
                <w:sz w:val="1"/>
                <w:szCs w:val="1"/>
                <w:color w:val="auto"/>
              </w:rPr>
            </w:pPr>
          </w:p>
        </w:tc>
      </w:tr>
      <w:tr>
        <w:trPr>
          <w:trHeight w:val="202"/>
        </w:trPr>
        <w:tc>
          <w:tcPr>
            <w:tcW w:w="3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at March 31, 2025</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141,476</w:t>
            </w:r>
          </w:p>
        </w:tc>
        <w:tc>
          <w:tcPr>
            <w:tcW w:w="8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1,416,149</w:t>
            </w:r>
          </w:p>
        </w:tc>
        <w:tc>
          <w:tcPr>
            <w:tcW w:w="8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(3,592)</w:t>
            </w:r>
          </w:p>
        </w:tc>
        <w:tc>
          <w:tcPr>
            <w:tcW w:w="8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(670,806)</w:t>
            </w:r>
          </w:p>
        </w:tc>
        <w:tc>
          <w:tcPr>
            <w:tcW w:w="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741,753</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MAGNITE,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60" w:type="dxa"/>
            <w:vAlign w:val="bottom"/>
            <w:gridSpan w:val="4"/>
          </w:tcPr>
          <w:p>
            <w:pPr>
              <w:jc w:val="right"/>
              <w:ind w:right="100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2"/>
        </w:trPr>
        <w:tc>
          <w:tcPr>
            <w:tcW w:w="7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79"/>
        </w:trPr>
        <w:tc>
          <w:tcPr>
            <w:tcW w:w="78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191"/>
        </w:trPr>
        <w:tc>
          <w:tcPr>
            <w:tcW w:w="7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ACTIVITIES:</w:t>
            </w: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loss</w:t>
            </w: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(17,757)</w:t>
            </w:r>
          </w:p>
        </w:tc>
      </w:tr>
      <w:tr>
        <w:trPr>
          <w:trHeight w:val="203"/>
        </w:trPr>
        <w:tc>
          <w:tcPr>
            <w:tcW w:w="78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Adjustments to reconcile net loss to net cash provided by (used in) operating activities:</w:t>
            </w: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9"/>
        </w:trPr>
        <w:tc>
          <w:tcPr>
            <w:tcW w:w="7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15,601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13,567</w:t>
            </w:r>
          </w:p>
        </w:tc>
      </w:tr>
      <w:tr>
        <w:trPr>
          <w:trHeight w:val="203"/>
        </w:trPr>
        <w:tc>
          <w:tcPr>
            <w:tcW w:w="78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Stock-based compensation</w:t>
            </w:r>
          </w:p>
        </w:tc>
        <w:tc>
          <w:tcPr>
            <w:tcW w:w="240" w:type="dxa"/>
            <w:vAlign w:val="bottom"/>
          </w:tcPr>
          <w:p>
            <w:pPr>
              <w:spacing w:after="0"/>
              <w:rPr>
                <w:sz w:val="17"/>
                <w:szCs w:val="17"/>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21,209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20,831</w:t>
            </w:r>
          </w:p>
        </w:tc>
      </w:tr>
      <w:tr>
        <w:trPr>
          <w:trHeight w:val="209"/>
        </w:trPr>
        <w:tc>
          <w:tcPr>
            <w:tcW w:w="7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Loss on extinguishment of debt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2,152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7,387</w:t>
            </w:r>
          </w:p>
        </w:tc>
      </w:tr>
      <w:tr>
        <w:trPr>
          <w:trHeight w:val="203"/>
        </w:trPr>
        <w:tc>
          <w:tcPr>
            <w:tcW w:w="78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Amortization of debt discount and issuance costs</w:t>
            </w:r>
          </w:p>
        </w:tc>
        <w:tc>
          <w:tcPr>
            <w:tcW w:w="240" w:type="dxa"/>
            <w:vAlign w:val="bottom"/>
          </w:tcPr>
          <w:p>
            <w:pPr>
              <w:spacing w:after="0"/>
              <w:rPr>
                <w:sz w:val="17"/>
                <w:szCs w:val="17"/>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967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1,152</w:t>
            </w:r>
          </w:p>
        </w:tc>
      </w:tr>
      <w:tr>
        <w:trPr>
          <w:trHeight w:val="209"/>
        </w:trPr>
        <w:tc>
          <w:tcPr>
            <w:tcW w:w="7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Non-cash lease expense</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(546)</w:t>
            </w:r>
          </w:p>
        </w:tc>
      </w:tr>
      <w:tr>
        <w:trPr>
          <w:trHeight w:val="203"/>
        </w:trPr>
        <w:tc>
          <w:tcPr>
            <w:tcW w:w="78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Deferred income taxes</w:t>
            </w:r>
          </w:p>
        </w:tc>
        <w:tc>
          <w:tcPr>
            <w:tcW w:w="240" w:type="dxa"/>
            <w:vAlign w:val="bottom"/>
          </w:tcPr>
          <w:p>
            <w:pPr>
              <w:spacing w:after="0"/>
              <w:rPr>
                <w:sz w:val="17"/>
                <w:szCs w:val="17"/>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154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(7,770)</w:t>
            </w:r>
          </w:p>
        </w:tc>
      </w:tr>
      <w:tr>
        <w:trPr>
          <w:trHeight w:val="209"/>
        </w:trPr>
        <w:tc>
          <w:tcPr>
            <w:tcW w:w="7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Unrealized foreign currency (gain) loss, net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4,496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(3,910)</w:t>
            </w:r>
          </w:p>
        </w:tc>
      </w:tr>
      <w:tr>
        <w:trPr>
          <w:trHeight w:val="203"/>
        </w:trPr>
        <w:tc>
          <w:tcPr>
            <w:tcW w:w="78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Other items, net</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w:t>
            </w:r>
          </w:p>
        </w:tc>
      </w:tr>
      <w:tr>
        <w:trPr>
          <w:trHeight w:val="209"/>
        </w:trPr>
        <w:tc>
          <w:tcPr>
            <w:tcW w:w="7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03"/>
        </w:trPr>
        <w:tc>
          <w:tcPr>
            <w:tcW w:w="78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Accounts receivable</w:t>
            </w:r>
          </w:p>
        </w:tc>
        <w:tc>
          <w:tcPr>
            <w:tcW w:w="240" w:type="dxa"/>
            <w:vAlign w:val="bottom"/>
          </w:tcPr>
          <w:p>
            <w:pPr>
              <w:spacing w:after="0"/>
              <w:rPr>
                <w:sz w:val="17"/>
                <w:szCs w:val="17"/>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147,859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175,313</w:t>
            </w:r>
          </w:p>
        </w:tc>
      </w:tr>
      <w:tr>
        <w:trPr>
          <w:trHeight w:val="209"/>
        </w:trPr>
        <w:tc>
          <w:tcPr>
            <w:tcW w:w="7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(812)</w:t>
            </w:r>
          </w:p>
        </w:tc>
      </w:tr>
      <w:tr>
        <w:trPr>
          <w:trHeight w:val="203"/>
        </w:trPr>
        <w:tc>
          <w:tcPr>
            <w:tcW w:w="78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Accounts payable and accrued expenses</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(166,353)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(249,742)</w:t>
            </w:r>
          </w:p>
        </w:tc>
      </w:tr>
      <w:tr>
        <w:trPr>
          <w:trHeight w:val="209"/>
        </w:trPr>
        <w:tc>
          <w:tcPr>
            <w:tcW w:w="7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Other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(1,804)</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1,752</w:t>
            </w:r>
          </w:p>
        </w:tc>
      </w:tr>
      <w:tr>
        <w:trPr>
          <w:trHeight w:val="196"/>
        </w:trPr>
        <w:tc>
          <w:tcPr>
            <w:tcW w:w="784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5"/>
                <w:szCs w:val="15"/>
                <w:color w:val="auto"/>
              </w:rPr>
              <w:t>Net cash provided by (used in) operating activities</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2,561</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(60,411)</w:t>
            </w:r>
          </w:p>
        </w:tc>
      </w:tr>
      <w:tr>
        <w:trPr>
          <w:trHeight w:val="18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INVESTING ACTIVITIES:</w:t>
            </w:r>
          </w:p>
        </w:tc>
        <w:tc>
          <w:tcPr>
            <w:tcW w:w="2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03"/>
        </w:trPr>
        <w:tc>
          <w:tcPr>
            <w:tcW w:w="78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(14,377)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(5,873)</w:t>
            </w:r>
          </w:p>
        </w:tc>
      </w:tr>
      <w:tr>
        <w:trPr>
          <w:trHeight w:val="20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Capitalized internal use software development costs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(2,821)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(3,379)</w:t>
            </w:r>
          </w:p>
        </w:tc>
      </w:tr>
      <w:tr>
        <w:trPr>
          <w:trHeight w:val="196"/>
        </w:trPr>
        <w:tc>
          <w:tcPr>
            <w:tcW w:w="784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(17,198)</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(9,252)</w:t>
            </w:r>
          </w:p>
        </w:tc>
      </w:tr>
      <w:tr>
        <w:trPr>
          <w:trHeight w:val="18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FINANCING ACTIVITIES:</w:t>
            </w:r>
          </w:p>
        </w:tc>
        <w:tc>
          <w:tcPr>
            <w:tcW w:w="2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03"/>
        </w:trPr>
        <w:tc>
          <w:tcPr>
            <w:tcW w:w="78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Proceeds from the Term Loan B Facility refinancing and repricing activities, net of debt discount</w:t>
            </w:r>
          </w:p>
        </w:tc>
        <w:tc>
          <w:tcPr>
            <w:tcW w:w="240" w:type="dxa"/>
            <w:vAlign w:val="bottom"/>
          </w:tcPr>
          <w:p>
            <w:pPr>
              <w:spacing w:after="0"/>
              <w:rPr>
                <w:sz w:val="17"/>
                <w:szCs w:val="17"/>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92,622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361,350</w:t>
            </w:r>
          </w:p>
        </w:tc>
      </w:tr>
      <w:tr>
        <w:trPr>
          <w:trHeight w:val="20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Repayment of the Term Loan B Facility from refinancing and repricing activities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(92,622)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(351,000)</w:t>
            </w:r>
          </w:p>
        </w:tc>
      </w:tr>
      <w:tr>
        <w:trPr>
          <w:trHeight w:val="203"/>
        </w:trPr>
        <w:tc>
          <w:tcPr>
            <w:tcW w:w="78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Payment for debt issuance costs</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(4,510)</w:t>
            </w:r>
          </w:p>
        </w:tc>
      </w:tr>
      <w:tr>
        <w:trPr>
          <w:trHeight w:val="20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Proceeds from exercise of stock options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78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Purchase of treasury stock</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(19,229)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Taxes paid related to net share settlement</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(20,314)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(8,941)</w:t>
            </w:r>
          </w:p>
        </w:tc>
      </w:tr>
      <w:tr>
        <w:trPr>
          <w:trHeight w:val="196"/>
        </w:trPr>
        <w:tc>
          <w:tcPr>
            <w:tcW w:w="784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(39,450)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(3,101)</w:t>
            </w:r>
          </w:p>
        </w:tc>
      </w:tr>
      <w:tr>
        <w:trPr>
          <w:trHeight w:val="20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 OF EXCHANGE RATE CHANGES ON CASH, CASH EQUIVALENTS AND RESTRICTED CASH</w:t>
            </w:r>
          </w:p>
        </w:tc>
        <w:tc>
          <w:tcPr>
            <w:tcW w:w="2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575</w:t>
            </w:r>
          </w:p>
        </w:tc>
        <w:tc>
          <w:tcPr>
            <w:tcW w:w="1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(621)</w:t>
            </w:r>
          </w:p>
        </w:tc>
      </w:tr>
      <w:tr>
        <w:trPr>
          <w:trHeight w:val="196"/>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CHANGE IN CASH, CASH EQUIVALENTS AND RESTRICTED CASH</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(53,512)</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(73,385)</w:t>
            </w:r>
          </w:p>
        </w:tc>
      </w:tr>
      <w:tr>
        <w:trPr>
          <w:trHeight w:val="19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 Beginning of period</w:t>
            </w:r>
          </w:p>
        </w:tc>
        <w:tc>
          <w:tcPr>
            <w:tcW w:w="2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483,220</w:t>
            </w:r>
          </w:p>
        </w:tc>
        <w:tc>
          <w:tcPr>
            <w:tcW w:w="1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326,219</w:t>
            </w:r>
          </w:p>
        </w:tc>
      </w:tr>
      <w:tr>
        <w:trPr>
          <w:trHeight w:val="202"/>
        </w:trPr>
        <w:tc>
          <w:tcPr>
            <w:tcW w:w="7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 End of period</w:t>
            </w:r>
          </w:p>
        </w:tc>
        <w:tc>
          <w:tcPr>
            <w:tcW w:w="2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429,708</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252,834</w:t>
            </w:r>
          </w:p>
        </w:tc>
      </w:tr>
      <w:tr>
        <w:trPr>
          <w:trHeight w:val="20"/>
        </w:trPr>
        <w:tc>
          <w:tcPr>
            <w:tcW w:w="7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MAGNITE,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65"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191"/>
        </w:trPr>
        <w:tc>
          <w:tcPr>
            <w:tcW w:w="8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SUPPLEMENTAL DISCLOSURES OF OTHER CASH FLOW INFORMATION:</w:t>
            </w:r>
          </w:p>
        </w:tc>
        <w:tc>
          <w:tcPr>
            <w:tcW w:w="20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r>
      <w:tr>
        <w:trPr>
          <w:trHeight w:val="203"/>
        </w:trPr>
        <w:tc>
          <w:tcPr>
            <w:tcW w:w="8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paid for income taxes</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571</w:t>
            </w:r>
          </w:p>
        </w:tc>
        <w:tc>
          <w:tcPr>
            <w:tcW w:w="10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729</w:t>
            </w:r>
          </w:p>
        </w:tc>
      </w:tr>
      <w:tr>
        <w:trPr>
          <w:trHeight w:val="20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paid for interest</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6,679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7,182</w:t>
            </w:r>
          </w:p>
        </w:tc>
      </w:tr>
      <w:tr>
        <w:trPr>
          <w:trHeight w:val="203"/>
        </w:trPr>
        <w:tc>
          <w:tcPr>
            <w:tcW w:w="8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Capitalized assets financed by accounts payable and accrued expenses and other liabilities</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8,133</w:t>
            </w:r>
          </w:p>
        </w:tc>
        <w:tc>
          <w:tcPr>
            <w:tcW w:w="10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7,272</w:t>
            </w:r>
          </w:p>
        </w:tc>
      </w:tr>
      <w:tr>
        <w:trPr>
          <w:trHeight w:val="20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Capitalized stock-based compensation</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576</w:t>
            </w:r>
          </w:p>
        </w:tc>
      </w:tr>
      <w:tr>
        <w:trPr>
          <w:trHeight w:val="219"/>
        </w:trPr>
        <w:tc>
          <w:tcPr>
            <w:tcW w:w="8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lease right-of-use assets obtained in exchange for operating lease liabilities</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11,692</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8,255</w:t>
            </w:r>
          </w:p>
        </w:tc>
      </w:tr>
      <w:tr>
        <w:trPr>
          <w:trHeight w:val="206"/>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right-of-use assets reduction and corresponding non-cash adjustment to operating lease liabilities</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2,047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1"/>
        </w:trPr>
        <w:tc>
          <w:tcPr>
            <w:tcW w:w="8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Non-cash financing activity related to Amendment No. 2 to the 2024 Credit Agreement</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270,555</w:t>
            </w:r>
          </w:p>
        </w:tc>
        <w:tc>
          <w:tcPr>
            <w:tcW w:w="10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MAGNITE,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1—Organization and Summary of Significant Accounting Policies</w:t>
      </w:r>
    </w:p>
    <w:p>
      <w:pPr>
        <w:spacing w:after="0" w:line="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Company Overview</w:t>
      </w:r>
    </w:p>
    <w:p>
      <w:pPr>
        <w:spacing w:after="0" w:line="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Magnite, Inc. ("Magnite" or the "Company"), was formed in Delaware and began operations on April 20, 2007.</w:t>
      </w:r>
    </w:p>
    <w:p>
      <w:pPr>
        <w:spacing w:after="0" w:line="101" w:lineRule="exact"/>
        <w:rPr>
          <w:sz w:val="20"/>
          <w:szCs w:val="20"/>
          <w:color w:val="auto"/>
        </w:rPr>
      </w:pPr>
    </w:p>
    <w:p>
      <w:pPr>
        <w:ind w:right="160" w:firstLine="619"/>
        <w:spacing w:after="0" w:line="270" w:lineRule="auto"/>
        <w:rPr>
          <w:sz w:val="20"/>
          <w:szCs w:val="20"/>
          <w:color w:val="auto"/>
        </w:rPr>
      </w:pPr>
      <w:r>
        <w:rPr>
          <w:rFonts w:ascii="Times New Roman" w:cs="Times New Roman" w:eastAsia="Times New Roman" w:hAnsi="Times New Roman"/>
          <w:sz w:val="17"/>
          <w:szCs w:val="17"/>
          <w:color w:val="auto"/>
        </w:rPr>
        <w:t>The Company's common stock is listed on the Nasdaq Global Select Market of The Nasdaq Stock Market LLC ("Nasdaq") under the symbol "MGNI." Magnite has its principal offices in New York City, Los Angeles, Denver, London, and Sydney, and additional offices in Europe, Asia, North America, and South America.</w:t>
      </w:r>
    </w:p>
    <w:p>
      <w:pPr>
        <w:spacing w:after="0" w:line="49" w:lineRule="exact"/>
        <w:rPr>
          <w:sz w:val="20"/>
          <w:szCs w:val="20"/>
          <w:color w:val="auto"/>
        </w:rPr>
      </w:pPr>
    </w:p>
    <w:p>
      <w:pPr>
        <w:ind w:right="60" w:firstLine="619"/>
        <w:spacing w:after="0" w:line="260" w:lineRule="auto"/>
        <w:rPr>
          <w:sz w:val="20"/>
          <w:szCs w:val="20"/>
          <w:color w:val="auto"/>
        </w:rPr>
      </w:pPr>
      <w:r>
        <w:rPr>
          <w:rFonts w:ascii="Times New Roman" w:cs="Times New Roman" w:eastAsia="Times New Roman" w:hAnsi="Times New Roman"/>
          <w:sz w:val="17"/>
          <w:szCs w:val="17"/>
          <w:color w:val="auto"/>
        </w:rPr>
        <w:t>The Company provides a technology solution to automate the purchase and sale of digital advertising inventory for buyers and sellers globally, across all channels, formats and auction types. The Company's platform features applications and services for sellers of digital advertising inventory, or publishers, that own or operate websites, applications, connected television ("CTV") channels, and other digital media properties, to manage and monetize their inventory; applications and services for buyers, including advertisers, agencies, agency trading desks, and demand side platforms, to buy digital advertising inventory; and a transparent, independent marketplace that brings buyers and sellers together and facilitates intelligent decision making and automated transaction execution at scale. The Company's clients include many of the world's leading sellers and buyers of digital advertising inventory.</w:t>
      </w:r>
    </w:p>
    <w:p>
      <w:pPr>
        <w:spacing w:after="0" w:line="31" w:lineRule="exact"/>
        <w:rPr>
          <w:sz w:val="20"/>
          <w:szCs w:val="20"/>
          <w:color w:val="auto"/>
        </w:rPr>
      </w:pPr>
    </w:p>
    <w:p>
      <w:pPr>
        <w:ind w:right="40" w:firstLine="619"/>
        <w:spacing w:after="0" w:line="245" w:lineRule="auto"/>
        <w:rPr>
          <w:sz w:val="20"/>
          <w:szCs w:val="20"/>
          <w:color w:val="auto"/>
        </w:rPr>
      </w:pPr>
      <w:r>
        <w:rPr>
          <w:rFonts w:ascii="Times New Roman" w:cs="Times New Roman" w:eastAsia="Times New Roman" w:hAnsi="Times New Roman"/>
          <w:sz w:val="17"/>
          <w:szCs w:val="17"/>
          <w:color w:val="auto"/>
        </w:rPr>
        <w:t>Sellers monetize their inventory through the Company’s platform by seamlessly connecting to a global market of integrated buyers that transact through real-time bidding. These transactions include biddable auctions, where multiple buyers bid against each other in a real-time auction for the right to purchase a publisher's inventory, as well as reserve auctions, where publishers establish direct deals or private marketplaces with select buyers. At the same time, buyers leverage the Company’s platform to manage their advertising spending and reach their target audiences, simplify order management and campaign tracking, obtain actionable insights into audiences for their advertising, and access impression-level purchasing from thousands of sellers.</w:t>
      </w:r>
    </w:p>
    <w:p>
      <w:pPr>
        <w:spacing w:after="0" w:line="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 and Summary of Significant Accounting Policies</w:t>
      </w:r>
    </w:p>
    <w:p>
      <w:pPr>
        <w:spacing w:after="0" w:line="94" w:lineRule="exact"/>
        <w:rPr>
          <w:sz w:val="20"/>
          <w:szCs w:val="20"/>
          <w:color w:val="auto"/>
        </w:rPr>
      </w:pPr>
    </w:p>
    <w:p>
      <w:pPr>
        <w:ind w:right="360" w:firstLine="619"/>
        <w:spacing w:after="0" w:line="260"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have been prepared in accordance with accounting principles generally accepted in the United States of America, or GAAP, for interim financial information and the instructions to Form 10-Q and Article 10 of Regulation S-X. Accordingly, they do not include all of the information and footnotes required by GAAP for complete financial statements. In the opinion of management, all adjustments (consisting of normal recurring adjustments) considered necessary for a fair statement of the results for the interim period presented have been included. Operating results for the three months ended March 31, 2025 are not necessarily indicative of the results that may be expected for any future interim period, the year ending December 31, 2025, or for any future year.</w:t>
      </w:r>
    </w:p>
    <w:p>
      <w:pPr>
        <w:spacing w:after="0" w:line="57" w:lineRule="exact"/>
        <w:rPr>
          <w:sz w:val="20"/>
          <w:szCs w:val="20"/>
          <w:color w:val="auto"/>
        </w:rPr>
      </w:pPr>
    </w:p>
    <w:p>
      <w:pPr>
        <w:ind w:right="80" w:firstLine="619"/>
        <w:spacing w:after="0" w:line="270" w:lineRule="auto"/>
        <w:rPr>
          <w:sz w:val="20"/>
          <w:szCs w:val="20"/>
          <w:color w:val="auto"/>
        </w:rPr>
      </w:pPr>
      <w:r>
        <w:rPr>
          <w:rFonts w:ascii="Times New Roman" w:cs="Times New Roman" w:eastAsia="Times New Roman" w:hAnsi="Times New Roman"/>
          <w:sz w:val="17"/>
          <w:szCs w:val="17"/>
          <w:color w:val="auto"/>
        </w:rPr>
        <w:t>The condensed consolidated balance sheet at December 31, 2024 has been derived from the audited financial statements at that date, but does not include all of the disclosures required by GAAP. The accompanying condensed consolidated financial statements should be read in conjunction with the Company's audited consolidated financial statements and notes thereto for the year ended December 31, 2024 included in its 2024 Annual Report on Form 10-K.</w:t>
      </w:r>
    </w:p>
    <w:p>
      <w:pPr>
        <w:spacing w:after="0" w:line="36" w:lineRule="exact"/>
        <w:rPr>
          <w:sz w:val="20"/>
          <w:szCs w:val="20"/>
          <w:color w:val="auto"/>
        </w:rPr>
      </w:pPr>
    </w:p>
    <w:p>
      <w:pPr>
        <w:ind w:right="280" w:firstLine="619"/>
        <w:spacing w:after="0" w:line="255" w:lineRule="auto"/>
        <w:rPr>
          <w:sz w:val="20"/>
          <w:szCs w:val="20"/>
          <w:color w:val="auto"/>
        </w:rPr>
      </w:pPr>
      <w:r>
        <w:rPr>
          <w:rFonts w:ascii="Times New Roman" w:cs="Times New Roman" w:eastAsia="Times New Roman" w:hAnsi="Times New Roman"/>
          <w:sz w:val="17"/>
          <w:szCs w:val="17"/>
          <w:color w:val="auto"/>
        </w:rPr>
        <w:t>There have been no significant changes in the Company's accounting policies from those disclosed in its audited consolidated financial statements and notes thereto for the year ended December 31, 2024 included in its Annual Report on Form 10-K.</w:t>
      </w:r>
    </w:p>
    <w:p>
      <w:pPr>
        <w:spacing w:after="0" w:line="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Segments</w:t>
      </w:r>
    </w:p>
    <w:p>
      <w:pPr>
        <w:spacing w:after="0" w:line="107"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Management has determined that the Company operates as one operating segment and one reportable segment. The Company’s chief operating decision maker ("CODM") is the Chief Executive Officer ("CEO"). The Company has one primary business activity, where it provides a platform to all of its customers, buyers and sellers, that automates the purchase and sale of digital advertising inventory globally, across all channels, formats, and auction types, as described above. The Company’s CODM reviews financial information on a consolidated basis, principally to make decisions about how to allocate resources and to measure the Company’s performance. The CODM reviews consolidated net income (loss), which is the measure of financial profit and loss most closely aligned with generally accepted accounting principles. The CODM considers budget-to-actual variances for this measure, predominantly in the annual budget, forecasting process, and quarterly results assessment. The CODM does not review any balance sheet information at any other level than on a consolidated basis and does not review any income statement information at any other level than on a consolidated basis with the exception of revenue by geography and by channel. Refer to Note 3—Revenues. The significant expense information regularly provided to the CODM is the same as that included in the face of the Company's consolidated income statement of operations.</w:t>
      </w:r>
    </w:p>
    <w:p>
      <w:pPr>
        <w:spacing w:after="0" w:line="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preparation of condensed consolidated financial statements in conformity with GAAP requires management to make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 xml:space="preserve">estimates and assumptions that affect the reported and disclosed financial statements and accompanying footnotes. </w:t>
      </w:r>
      <w:r>
        <w:rPr>
          <w:rFonts w:ascii="Times New Roman" w:cs="Times New Roman" w:eastAsia="Times New Roman" w:hAnsi="Times New Roman"/>
          <w:sz w:val="17"/>
          <w:szCs w:val="17"/>
          <w:color w:val="212529"/>
        </w:rPr>
        <w:t>Actual results could differ materially from these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529"/>
        </w:rPr>
        <w:t>estimates.</w:t>
      </w:r>
    </w:p>
    <w:p>
      <w:pPr>
        <w:spacing w:after="0" w:line="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 Not Yet Adopted</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December 2023, the Financial Accounting Standards Board ("FASB") issued Accounting Standard Update ("ASU") 2023-09, Income Taxes (Topic</w:t>
      </w:r>
    </w:p>
    <w:p>
      <w:pPr>
        <w:spacing w:after="0" w:line="28" w:lineRule="exact"/>
        <w:rPr>
          <w:sz w:val="20"/>
          <w:szCs w:val="20"/>
          <w:color w:val="auto"/>
        </w:rPr>
      </w:pPr>
    </w:p>
    <w:p>
      <w:pPr>
        <w:ind w:right="120" w:firstLine="3"/>
        <w:spacing w:after="0" w:line="256" w:lineRule="auto"/>
        <w:tabs>
          <w:tab w:leader="none" w:pos="35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Improvements to Income Tax Disclosures ("ASU 2023-09") to enhance income tax information primarily through changes in the rate reconciliation and income taxes paid information. ASU 2023-09 is effective for annual periods beginning after December 15, 2024 on a prospective basis. Early adoption and retrospective application are permitted. The Company will adopt the guidance for the fiscal year ending December 31, 2025. The Company expects the impact of adoption of this guidance to be limited to footnote disclosure and to result in additional disaggregation of information disclosed in the rate reconciliation and with respect to income taxes paid.</w:t>
      </w:r>
    </w:p>
    <w:p>
      <w:pPr>
        <w:spacing w:after="0" w:line="62" w:lineRule="exact"/>
        <w:rPr>
          <w:sz w:val="20"/>
          <w:szCs w:val="20"/>
          <w:color w:val="auto"/>
        </w:rPr>
      </w:pPr>
    </w:p>
    <w:p>
      <w:pPr>
        <w:ind w:right="160" w:firstLine="619"/>
        <w:spacing w:after="0" w:line="261"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 - Reporting Comprehensive Income - Expense Disaggregation Disclosures (Subtopic 220-40) - Disaggregation of Income Statement Expenses ("ASU 2024-03"). ASU 2024-03 requires additional disclosures of the nature of expenses included in the income statement and presented in the footnotes. ASU 2024-03 is effective for annual periods beginning after December 15, 2026 and for interim periods beginning after December 15, 2027 on a prospective basis. Early adoption and retrospective application are permitted. The Company is currently evaluating the impact of adopting this new accounting guidance on its disclosures.</w:t>
      </w:r>
    </w:p>
    <w:p>
      <w:pPr>
        <w:spacing w:after="0" w:line="72" w:lineRule="exact"/>
        <w:rPr>
          <w:sz w:val="20"/>
          <w:szCs w:val="20"/>
          <w:color w:val="auto"/>
        </w:rPr>
      </w:pPr>
    </w:p>
    <w:p>
      <w:pPr>
        <w:ind w:right="220" w:firstLine="619"/>
        <w:spacing w:after="0" w:line="287" w:lineRule="auto"/>
        <w:rPr>
          <w:sz w:val="20"/>
          <w:szCs w:val="20"/>
          <w:color w:val="auto"/>
        </w:rPr>
      </w:pPr>
      <w:r>
        <w:rPr>
          <w:rFonts w:ascii="Times New Roman" w:cs="Times New Roman" w:eastAsia="Times New Roman" w:hAnsi="Times New Roman"/>
          <w:sz w:val="17"/>
          <w:szCs w:val="17"/>
          <w:color w:val="auto"/>
        </w:rPr>
        <w:t>The Company does not believe there are any other recently issued and effective or not yet effective pronouncements that would have or are expected to have a material impact on the Company’s present or future condensed consolidated financial statements.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2—Net Loss Per Share</w:t>
      </w:r>
    </w:p>
    <w:p>
      <w:pPr>
        <w:spacing w:after="0" w:line="1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basic and diluted net loss per share:</w:t>
      </w:r>
    </w:p>
    <w:p>
      <w:pPr>
        <w:spacing w:after="0" w:line="140"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38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186"/>
        </w:trPr>
        <w:tc>
          <w:tcPr>
            <w:tcW w:w="8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80" w:type="dxa"/>
            <w:vAlign w:val="bottom"/>
            <w:gridSpan w:val="4"/>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r>
      <w:tr>
        <w:trPr>
          <w:trHeight w:val="225"/>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and Diluted Net Loss Per Share: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(9,634)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(17,757)</w:t>
            </w:r>
          </w:p>
        </w:tc>
      </w:tr>
      <w:tr>
        <w:trPr>
          <w:trHeight w:val="212"/>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common shares outstanding used to compute net loss per share</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141,852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139,297</w:t>
            </w:r>
          </w:p>
        </w:tc>
      </w:tr>
      <w:tr>
        <w:trPr>
          <w:trHeight w:val="212"/>
        </w:trPr>
        <w:tc>
          <w:tcPr>
            <w:tcW w:w="8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 and diluted net loss per share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(0.13)</w:t>
            </w:r>
          </w:p>
        </w:tc>
      </w:tr>
      <w:tr>
        <w:trPr>
          <w:trHeight w:val="20"/>
        </w:trPr>
        <w:tc>
          <w:tcPr>
            <w:tcW w:w="8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right="340" w:firstLine="619"/>
        <w:spacing w:after="0" w:line="287" w:lineRule="auto"/>
        <w:rPr>
          <w:sz w:val="20"/>
          <w:szCs w:val="20"/>
          <w:color w:val="auto"/>
        </w:rPr>
      </w:pPr>
      <w:r>
        <w:rPr>
          <w:rFonts w:ascii="Times New Roman" w:cs="Times New Roman" w:eastAsia="Times New Roman" w:hAnsi="Times New Roman"/>
          <w:sz w:val="17"/>
          <w:szCs w:val="17"/>
          <w:color w:val="auto"/>
        </w:rPr>
        <w:t>The following weighted-average shares have been excluded from the calculation of diluted net loss per share attributable to common stockholders for each period presented because they were anti-dilutive:</w:t>
      </w:r>
    </w:p>
    <w:p>
      <w:pPr>
        <w:spacing w:after="0" w:line="74"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8280" w:type="dxa"/>
            <w:vAlign w:val="bottom"/>
          </w:tcPr>
          <w:p>
            <w:pPr>
              <w:spacing w:after="0"/>
              <w:rPr>
                <w:sz w:val="16"/>
                <w:szCs w:val="16"/>
                <w:color w:val="auto"/>
              </w:rPr>
            </w:pPr>
          </w:p>
        </w:tc>
        <w:tc>
          <w:tcPr>
            <w:tcW w:w="1500" w:type="dxa"/>
            <w:vAlign w:val="bottom"/>
            <w:tcBorders>
              <w:top w:val="single" w:sz="8" w:color="auto"/>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36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185"/>
        </w:trPr>
        <w:tc>
          <w:tcPr>
            <w:tcW w:w="8280" w:type="dxa"/>
            <w:vAlign w:val="bottom"/>
          </w:tcPr>
          <w:p>
            <w:pPr>
              <w:spacing w:after="0"/>
              <w:rPr>
                <w:sz w:val="16"/>
                <w:szCs w:val="16"/>
                <w:color w:val="auto"/>
              </w:rPr>
            </w:pPr>
          </w:p>
        </w:tc>
        <w:tc>
          <w:tcPr>
            <w:tcW w:w="2860" w:type="dxa"/>
            <w:vAlign w:val="bottom"/>
            <w:gridSpan w:val="2"/>
          </w:tcPr>
          <w:p>
            <w:pPr>
              <w:jc w:val="right"/>
              <w:ind w:right="937"/>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restricted stock units</w:t>
            </w:r>
          </w:p>
        </w:tc>
        <w:tc>
          <w:tcPr>
            <w:tcW w:w="15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5,117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2,558</w:t>
            </w:r>
          </w:p>
        </w:tc>
      </w:tr>
      <w:tr>
        <w:trPr>
          <w:trHeight w:val="219"/>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Options to purchase common stock</w:t>
            </w:r>
          </w:p>
        </w:tc>
        <w:tc>
          <w:tcPr>
            <w:tcW w:w="1500" w:type="dxa"/>
            <w:vAlign w:val="bottom"/>
          </w:tcPr>
          <w:p>
            <w:pPr>
              <w:jc w:val="right"/>
              <w:ind w:right="118"/>
              <w:spacing w:after="0"/>
              <w:rPr>
                <w:sz w:val="20"/>
                <w:szCs w:val="20"/>
                <w:color w:val="auto"/>
              </w:rPr>
            </w:pPr>
            <w:r>
              <w:rPr>
                <w:rFonts w:ascii="Times New Roman" w:cs="Times New Roman" w:eastAsia="Times New Roman" w:hAnsi="Times New Roman"/>
                <w:sz w:val="17"/>
                <w:szCs w:val="17"/>
                <w:color w:val="auto"/>
              </w:rPr>
              <w:t>2,087</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1,572</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performance stock units</w:t>
            </w:r>
          </w:p>
        </w:tc>
        <w:tc>
          <w:tcPr>
            <w:tcW w:w="15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987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r>
      <w:tr>
        <w:trPr>
          <w:trHeight w:val="219"/>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ESPP shares</w:t>
            </w:r>
          </w:p>
        </w:tc>
        <w:tc>
          <w:tcPr>
            <w:tcW w:w="1500" w:type="dxa"/>
            <w:vAlign w:val="bottom"/>
          </w:tcPr>
          <w:p>
            <w:pPr>
              <w:jc w:val="right"/>
              <w:ind w:right="118"/>
              <w:spacing w:after="0"/>
              <w:rPr>
                <w:sz w:val="20"/>
                <w:szCs w:val="20"/>
                <w:color w:val="auto"/>
              </w:rPr>
            </w:pPr>
            <w:r>
              <w:rPr>
                <w:rFonts w:ascii="Times New Roman" w:cs="Times New Roman" w:eastAsia="Times New Roman" w:hAnsi="Times New Roman"/>
                <w:sz w:val="17"/>
                <w:szCs w:val="17"/>
                <w:color w:val="auto"/>
              </w:rPr>
              <w:t>65</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Convertible Senior Notes</w:t>
            </w:r>
          </w:p>
        </w:tc>
        <w:tc>
          <w:tcPr>
            <w:tcW w:w="150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3,210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3,210</w:t>
            </w:r>
          </w:p>
        </w:tc>
      </w:tr>
      <w:tr>
        <w:trPr>
          <w:trHeight w:val="212"/>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shares excluded from diluted net loss per share</w:t>
            </w:r>
          </w:p>
        </w:tc>
        <w:tc>
          <w:tcPr>
            <w:tcW w:w="15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7"/>
                <w:szCs w:val="17"/>
                <w:color w:val="auto"/>
              </w:rPr>
              <w:t>11,466</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7,646</w:t>
            </w:r>
          </w:p>
        </w:tc>
      </w:tr>
      <w:tr>
        <w:trPr>
          <w:trHeight w:val="20"/>
        </w:trPr>
        <w:tc>
          <w:tcPr>
            <w:tcW w:w="82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ind w:right="40" w:firstLine="619"/>
        <w:spacing w:after="0" w:line="261" w:lineRule="auto"/>
        <w:rPr>
          <w:sz w:val="20"/>
          <w:szCs w:val="20"/>
          <w:color w:val="auto"/>
        </w:rPr>
      </w:pPr>
      <w:r>
        <w:rPr>
          <w:rFonts w:ascii="Times New Roman" w:cs="Times New Roman" w:eastAsia="Times New Roman" w:hAnsi="Times New Roman"/>
          <w:sz w:val="17"/>
          <w:szCs w:val="17"/>
          <w:color w:val="auto"/>
        </w:rPr>
        <w:t>As of March 31, 2025, the performance stock units granted during 2021, 2023, 2024, and 2025 had expected achievement levels of 0%, 118%, 150%, and 44%, respectively. The performance stock units granted during 2022 vested on February 1, 2025 with an achievement of approximately 125%. As of March 31, 2024, the performance stock units granted in 2021, 2022, 2023, and 2024 had expected achievement levels of 0%, 80%, 93%, and 150%, respectively. These expected and actual achievement levels are included in the calculation of weighted-average shares in the tables above. Refer to Note 8—"Stock-Based Compensation" for additional information related to performance stock units.</w:t>
      </w:r>
    </w:p>
    <w:p>
      <w:pPr>
        <w:spacing w:after="0" w:line="46" w:lineRule="exact"/>
        <w:rPr>
          <w:sz w:val="20"/>
          <w:szCs w:val="20"/>
          <w:color w:val="auto"/>
        </w:rPr>
      </w:pPr>
    </w:p>
    <w:p>
      <w:pPr>
        <w:ind w:right="240" w:firstLine="619"/>
        <w:spacing w:after="0" w:line="246" w:lineRule="auto"/>
        <w:rPr>
          <w:sz w:val="20"/>
          <w:szCs w:val="20"/>
          <w:color w:val="auto"/>
        </w:rPr>
      </w:pPr>
      <w:r>
        <w:rPr>
          <w:rFonts w:ascii="Times New Roman" w:cs="Times New Roman" w:eastAsia="Times New Roman" w:hAnsi="Times New Roman"/>
          <w:sz w:val="17"/>
          <w:szCs w:val="17"/>
          <w:color w:val="auto"/>
        </w:rPr>
        <w:t>As of March 31, 2025 and 2024, the number of shares that would be issuable assuming conversion of all of the Convertible Senior Notes (as defined in Note 12) was approximately 3,210,098 and were excluded from the calculation of diluted net loss per share because they were anti-dilutive. The Convertible Senior Notes have an initial conversion rate of 15.6539 shares of common</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right="1420"/>
        <w:spacing w:after="0" w:line="459" w:lineRule="auto"/>
        <w:rPr>
          <w:sz w:val="20"/>
          <w:szCs w:val="20"/>
          <w:color w:val="auto"/>
        </w:rPr>
      </w:pPr>
      <w:r>
        <w:rPr>
          <w:rFonts w:ascii="Times New Roman" w:cs="Times New Roman" w:eastAsia="Times New Roman" w:hAnsi="Times New Roman"/>
          <w:sz w:val="17"/>
          <w:szCs w:val="17"/>
          <w:color w:val="auto"/>
        </w:rPr>
        <w:t xml:space="preserve">stock per $1,000 principal amount of the Convertible Senior Notes, which will be subject to anti-dilution adjustments in certain circumstances. </w:t>
      </w:r>
      <w:r>
        <w:rPr>
          <w:rFonts w:ascii="Times New Roman" w:cs="Times New Roman" w:eastAsia="Times New Roman" w:hAnsi="Times New Roman"/>
          <w:sz w:val="17"/>
          <w:szCs w:val="17"/>
          <w:b w:val="1"/>
          <w:bCs w:val="1"/>
          <w:color w:val="auto"/>
        </w:rPr>
        <w:t>Note 3—Revenue</w:t>
      </w: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For the majority of transactions on the Company's platform, the Company reports revenue on a net basis as it does not act as the principal in the purchase and sale of digital advertising inventory because it does not have control of the digital advertising inventory and does not set prices agreed upon within the auction marketplace. For certain advertising campaigns that are transacted through insertion orders, the Company reports revenue on a gross basis, based primarily on its determination that the Company acts as the primary obligor in the delivery of advertising campaigns for buyers with respect to such transactions.</w:t>
      </w:r>
    </w:p>
    <w:p>
      <w:pPr>
        <w:spacing w:after="0" w:line="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Company's revenue recognized on a net basis and on a gross basis for the three months ended March 31, 2025 and 2024:</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gridSpan w:val="6"/>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500" w:type="dxa"/>
            <w:vAlign w:val="bottom"/>
          </w:tcPr>
          <w:p>
            <w:pPr>
              <w:spacing w:after="0"/>
              <w:rPr>
                <w:sz w:val="15"/>
                <w:szCs w:val="15"/>
                <w:color w:val="auto"/>
              </w:rPr>
            </w:pPr>
          </w:p>
        </w:tc>
      </w:tr>
      <w:tr>
        <w:trPr>
          <w:trHeight w:val="22"/>
        </w:trPr>
        <w:tc>
          <w:tcPr>
            <w:tcW w:w="7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81"/>
        </w:trPr>
        <w:tc>
          <w:tcPr>
            <w:tcW w:w="7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w w:val="98"/>
              </w:rPr>
              <w:t>March 31, 2024</w:t>
            </w:r>
          </w:p>
        </w:tc>
        <w:tc>
          <w:tcPr>
            <w:tcW w:w="500" w:type="dxa"/>
            <w:vAlign w:val="bottom"/>
            <w:tcBorders>
              <w:bottom w:val="single" w:sz="8" w:color="auto"/>
            </w:tcBorders>
          </w:tcPr>
          <w:p>
            <w:pPr>
              <w:spacing w:after="0"/>
              <w:rPr>
                <w:sz w:val="15"/>
                <w:szCs w:val="15"/>
                <w:color w:val="auto"/>
              </w:rPr>
            </w:pPr>
          </w:p>
        </w:tc>
      </w:tr>
      <w:tr>
        <w:trPr>
          <w:trHeight w:val="186"/>
        </w:trPr>
        <w:tc>
          <w:tcPr>
            <w:tcW w:w="7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6"/>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8"/>
              </w:rPr>
              <w:t>(in thousands, except percentages)</w:t>
            </w:r>
          </w:p>
        </w:tc>
        <w:tc>
          <w:tcPr>
            <w:tcW w:w="500" w:type="dxa"/>
            <w:vAlign w:val="bottom"/>
          </w:tcPr>
          <w:p>
            <w:pPr>
              <w:spacing w:after="0"/>
              <w:rPr>
                <w:sz w:val="16"/>
                <w:szCs w:val="16"/>
                <w:color w:val="auto"/>
              </w:rPr>
            </w:pPr>
          </w:p>
        </w:tc>
      </w:tr>
      <w:tr>
        <w:trPr>
          <w:trHeight w:val="225"/>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19"/>
        </w:trPr>
        <w:tc>
          <w:tcPr>
            <w:tcW w:w="71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Net basis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138,074</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121,092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81 %</w:t>
            </w:r>
          </w:p>
        </w:tc>
      </w:tr>
      <w:tr>
        <w:trPr>
          <w:trHeight w:val="219"/>
        </w:trPr>
        <w:tc>
          <w:tcPr>
            <w:tcW w:w="7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Gross basis</w:t>
            </w: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17,697</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28,227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19</w:t>
            </w:r>
          </w:p>
        </w:tc>
      </w:tr>
      <w:tr>
        <w:trPr>
          <w:trHeight w:val="212"/>
        </w:trPr>
        <w:tc>
          <w:tcPr>
            <w:tcW w:w="7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155,771</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149,319</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718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456"/>
        </w:trPr>
        <w:tc>
          <w:tcPr>
            <w:tcW w:w="9260" w:type="dxa"/>
            <w:vAlign w:val="bottom"/>
            <w:gridSpan w:val="6"/>
          </w:tcPr>
          <w:p>
            <w:pPr>
              <w:ind w:left="620"/>
              <w:spacing w:after="0"/>
              <w:rPr>
                <w:sz w:val="20"/>
                <w:szCs w:val="20"/>
                <w:color w:val="auto"/>
              </w:rPr>
            </w:pPr>
            <w:r>
              <w:rPr>
                <w:rFonts w:ascii="Times New Roman" w:cs="Times New Roman" w:eastAsia="Times New Roman" w:hAnsi="Times New Roman"/>
                <w:sz w:val="17"/>
                <w:szCs w:val="17"/>
                <w:color w:val="auto"/>
              </w:rPr>
              <w:t>The following table presents the Company's revenue by channel for the three months ended March 31, 2025 and 2024:</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74"/>
        </w:trPr>
        <w:tc>
          <w:tcPr>
            <w:tcW w:w="7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580" w:type="dxa"/>
            <w:vAlign w:val="bottom"/>
            <w:gridSpan w:val="6"/>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500" w:type="dxa"/>
            <w:vAlign w:val="bottom"/>
          </w:tcPr>
          <w:p>
            <w:pPr>
              <w:spacing w:after="0"/>
              <w:rPr>
                <w:sz w:val="23"/>
                <w:szCs w:val="23"/>
                <w:color w:val="auto"/>
              </w:rPr>
            </w:pPr>
          </w:p>
        </w:tc>
      </w:tr>
      <w:tr>
        <w:trPr>
          <w:trHeight w:val="22"/>
        </w:trPr>
        <w:tc>
          <w:tcPr>
            <w:tcW w:w="7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81"/>
        </w:trPr>
        <w:tc>
          <w:tcPr>
            <w:tcW w:w="7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w w:val="98"/>
              </w:rPr>
              <w:t>March 31, 2024</w:t>
            </w:r>
          </w:p>
        </w:tc>
        <w:tc>
          <w:tcPr>
            <w:tcW w:w="500" w:type="dxa"/>
            <w:vAlign w:val="bottom"/>
            <w:tcBorders>
              <w:bottom w:val="single" w:sz="8" w:color="auto"/>
            </w:tcBorders>
          </w:tcPr>
          <w:p>
            <w:pPr>
              <w:spacing w:after="0"/>
              <w:rPr>
                <w:sz w:val="15"/>
                <w:szCs w:val="15"/>
                <w:color w:val="auto"/>
              </w:rPr>
            </w:pPr>
          </w:p>
        </w:tc>
      </w:tr>
      <w:tr>
        <w:trPr>
          <w:trHeight w:val="186"/>
        </w:trPr>
        <w:tc>
          <w:tcPr>
            <w:tcW w:w="7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6"/>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8"/>
              </w:rPr>
              <w:t>(in thousands, except percentages)</w:t>
            </w:r>
          </w:p>
        </w:tc>
        <w:tc>
          <w:tcPr>
            <w:tcW w:w="500" w:type="dxa"/>
            <w:vAlign w:val="bottom"/>
          </w:tcPr>
          <w:p>
            <w:pPr>
              <w:spacing w:after="0"/>
              <w:rPr>
                <w:sz w:val="16"/>
                <w:szCs w:val="16"/>
                <w:color w:val="auto"/>
              </w:rPr>
            </w:pPr>
          </w:p>
        </w:tc>
      </w:tr>
      <w:tr>
        <w:trPr>
          <w:trHeight w:val="225"/>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Channel:</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19"/>
        </w:trPr>
        <w:tc>
          <w:tcPr>
            <w:tcW w:w="71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CTV</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72,549</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72,592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49 %</w:t>
            </w:r>
          </w:p>
        </w:tc>
      </w:tr>
      <w:tr>
        <w:trPr>
          <w:trHeight w:val="219"/>
        </w:trPr>
        <w:tc>
          <w:tcPr>
            <w:tcW w:w="7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Mobile</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58,461</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53,953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36 %</w:t>
            </w:r>
          </w:p>
        </w:tc>
      </w:tr>
      <w:tr>
        <w:trPr>
          <w:trHeight w:val="219"/>
        </w:trPr>
        <w:tc>
          <w:tcPr>
            <w:tcW w:w="71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Desktop</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24,761</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22,774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15 %</w:t>
            </w:r>
          </w:p>
        </w:tc>
      </w:tr>
      <w:tr>
        <w:trPr>
          <w:trHeight w:val="237"/>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155,771</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149,319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ind w:right="140" w:firstLine="169"/>
        <w:spacing w:after="0" w:line="287" w:lineRule="auto"/>
        <w:rPr>
          <w:sz w:val="20"/>
          <w:szCs w:val="20"/>
          <w:color w:val="auto"/>
        </w:rPr>
      </w:pPr>
      <w:r>
        <w:rPr>
          <w:rFonts w:ascii="Times New Roman" w:cs="Times New Roman" w:eastAsia="Times New Roman" w:hAnsi="Times New Roman"/>
          <w:sz w:val="17"/>
          <w:szCs w:val="17"/>
          <w:color w:val="auto"/>
        </w:rPr>
        <w:t>The following table presents the Company's revenue disaggregated by geographic location, based on the location of the Company's sellers for the three months ended March 31, 2025 and 2024:</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gridSpan w:val="7"/>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500" w:type="dxa"/>
            <w:vAlign w:val="bottom"/>
          </w:tcPr>
          <w:p>
            <w:pPr>
              <w:spacing w:after="0"/>
              <w:rPr>
                <w:sz w:val="15"/>
                <w:szCs w:val="15"/>
                <w:color w:val="auto"/>
              </w:rPr>
            </w:pPr>
          </w:p>
        </w:tc>
      </w:tr>
      <w:tr>
        <w:trPr>
          <w:trHeight w:val="22"/>
        </w:trPr>
        <w:tc>
          <w:tcPr>
            <w:tcW w:w="7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81"/>
        </w:trPr>
        <w:tc>
          <w:tcPr>
            <w:tcW w:w="7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w w:val="98"/>
              </w:rPr>
              <w:t>March 31, 2024</w:t>
            </w:r>
          </w:p>
        </w:tc>
        <w:tc>
          <w:tcPr>
            <w:tcW w:w="500" w:type="dxa"/>
            <w:vAlign w:val="bottom"/>
            <w:tcBorders>
              <w:bottom w:val="single" w:sz="8" w:color="auto"/>
            </w:tcBorders>
          </w:tcPr>
          <w:p>
            <w:pPr>
              <w:spacing w:after="0"/>
              <w:rPr>
                <w:sz w:val="15"/>
                <w:szCs w:val="15"/>
                <w:color w:val="auto"/>
              </w:rPr>
            </w:pPr>
          </w:p>
        </w:tc>
      </w:tr>
      <w:tr>
        <w:trPr>
          <w:trHeight w:val="186"/>
        </w:trPr>
        <w:tc>
          <w:tcPr>
            <w:tcW w:w="7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7"/>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8"/>
              </w:rPr>
              <w:t>(in thousands, except percentages)</w:t>
            </w:r>
          </w:p>
        </w:tc>
        <w:tc>
          <w:tcPr>
            <w:tcW w:w="500" w:type="dxa"/>
            <w:vAlign w:val="bottom"/>
          </w:tcPr>
          <w:p>
            <w:pPr>
              <w:spacing w:after="0"/>
              <w:rPr>
                <w:sz w:val="16"/>
                <w:szCs w:val="16"/>
                <w:color w:val="auto"/>
              </w:rPr>
            </w:pPr>
          </w:p>
        </w:tc>
      </w:tr>
      <w:tr>
        <w:trPr>
          <w:trHeight w:val="225"/>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116,784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113,412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76 %</w:t>
            </w:r>
          </w:p>
        </w:tc>
      </w:tr>
      <w:tr>
        <w:trPr>
          <w:trHeight w:val="219"/>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International</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38,987</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35,907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24 %</w:t>
            </w:r>
          </w:p>
        </w:tc>
      </w:tr>
      <w:tr>
        <w:trPr>
          <w:trHeight w:val="237"/>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155,771</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149,319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ind w:right="40" w:firstLine="619"/>
        <w:spacing w:after="0" w:line="260" w:lineRule="auto"/>
        <w:rPr>
          <w:sz w:val="20"/>
          <w:szCs w:val="20"/>
          <w:color w:val="auto"/>
        </w:rPr>
      </w:pPr>
      <w:r>
        <w:rPr>
          <w:rFonts w:ascii="Times New Roman" w:cs="Times New Roman" w:eastAsia="Times New Roman" w:hAnsi="Times New Roman"/>
          <w:sz w:val="17"/>
          <w:szCs w:val="17"/>
          <w:color w:val="auto"/>
        </w:rPr>
        <w:t>Payment terms are specified in agreements between the Company and the buyers and sellers on its platform. The Company generally bills buyers at the end of each month for the full purchase price of impressions filled in that month. The Company recognizes volume discounts as a reduction of revenue as they are incurred. Specific payment terms may vary by agreement, but are generally seventy-five days or less. The Company's accounts receivable are recorded at the amount of gross billings to buyers, net of allowances for the amounts the Company is responsible to collect. The Company's accounts payable related to amounts due to sellers are recorded at the net amount payable to sellers (see Note 5). Accordingly, both accounts receivable and accounts payable appear large in relation to revenue reported on a net basis.</w:t>
      </w:r>
    </w:p>
    <w:p>
      <w:pPr>
        <w:spacing w:after="0" w:line="70" w:lineRule="exact"/>
        <w:rPr>
          <w:sz w:val="20"/>
          <w:szCs w:val="20"/>
          <w:color w:val="auto"/>
        </w:rPr>
      </w:pPr>
    </w:p>
    <w:p>
      <w:pPr>
        <w:ind w:right="200" w:firstLine="619"/>
        <w:spacing w:after="0" w:line="261" w:lineRule="auto"/>
        <w:rPr>
          <w:sz w:val="20"/>
          <w:szCs w:val="20"/>
          <w:color w:val="auto"/>
        </w:rPr>
      </w:pPr>
      <w:r>
        <w:rPr>
          <w:rFonts w:ascii="Times New Roman" w:cs="Times New Roman" w:eastAsia="Times New Roman" w:hAnsi="Times New Roman"/>
          <w:sz w:val="17"/>
          <w:szCs w:val="17"/>
          <w:color w:val="auto"/>
        </w:rPr>
        <w:t>Accounts receivable are recorded at the invoiced amount, are unsecured, and do not bear interest. The allowance for doubtful accounts is reviewed quarterly, requires judgment, and is based on the best estimate of the amount of probable credit losses in existing accounts receivable. The Company reviews the status of the then-outstanding accounts receivable on a customer-by-customer basis, taking into consideration the aging schedule of receivables, its historical collection experience, current information regarding the client, subsequent collection history, and other relevant data, in establishing the allowance for doubtful accounts. Accounts receivable are presented net of an allowance for doubtful accounts of $2.6 million at March 31, 2025, and $2.9 million at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600"/>
        <w:spacing w:after="0" w:line="287" w:lineRule="auto"/>
        <w:rPr>
          <w:sz w:val="20"/>
          <w:szCs w:val="20"/>
          <w:color w:val="auto"/>
        </w:rPr>
      </w:pPr>
      <w:r>
        <w:rPr>
          <w:rFonts w:ascii="Times New Roman" w:cs="Times New Roman" w:eastAsia="Times New Roman" w:hAnsi="Times New Roman"/>
          <w:sz w:val="17"/>
          <w:szCs w:val="17"/>
          <w:color w:val="auto"/>
        </w:rPr>
        <w:t>December 31, 2024. Accounts receivable are written off against the allowance for doubtful accounts when the Company determines amounts are no longer collectible.</w:t>
      </w:r>
    </w:p>
    <w:p>
      <w:pPr>
        <w:spacing w:after="0" w:line="48"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The Company reviews the associated payable to sellers for recovery of buyer receivable allowance and write-offs; in some cases, the Company can reduce the payable to sellers. The reduction of seller payables related to recovery of uncollected buyer receivables is netted against allowance expense. The contra seller payables related to recoveries were $1.8 million and $1.9 million as of March 31, 2025 and December 31, 2024, respectively.</w:t>
      </w:r>
    </w:p>
    <w:p>
      <w:pPr>
        <w:spacing w:after="0" w:line="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is a summary of activity in the allowance for doubtful accounts for the three months ended March 31, 2025 and 2024:</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4"/>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2"/>
        </w:trPr>
        <w:tc>
          <w:tcPr>
            <w:tcW w:w="8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1"/>
        </w:trPr>
        <w:tc>
          <w:tcPr>
            <w:tcW w:w="87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w w:val="98"/>
              </w:rPr>
              <w:t>March 31, 2024</w:t>
            </w:r>
          </w:p>
        </w:tc>
      </w:tr>
      <w:tr>
        <w:trPr>
          <w:trHeight w:val="186"/>
        </w:trPr>
        <w:tc>
          <w:tcPr>
            <w:tcW w:w="8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4"/>
          </w:tcPr>
          <w:p>
            <w:pPr>
              <w:jc w:val="right"/>
              <w:ind w:right="758"/>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5"/>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Allowance for doubtful accounts, beginning balance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20,363</w:t>
            </w:r>
          </w:p>
        </w:tc>
      </w:tr>
      <w:tr>
        <w:trPr>
          <w:trHeight w:val="219"/>
        </w:trPr>
        <w:tc>
          <w:tcPr>
            <w:tcW w:w="8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Write-offs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(18,511)</w:t>
            </w:r>
          </w:p>
        </w:tc>
      </w:tr>
      <w:tr>
        <w:trPr>
          <w:trHeight w:val="219"/>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Increase (decrease) in provision for expected credit losses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w:t>
            </w:r>
          </w:p>
        </w:tc>
      </w:tr>
      <w:tr>
        <w:trPr>
          <w:trHeight w:val="212"/>
        </w:trPr>
        <w:tc>
          <w:tcPr>
            <w:tcW w:w="8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Allowance for doubtful accounts, ending balance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2,467</w:t>
            </w:r>
          </w:p>
        </w:tc>
      </w:tr>
      <w:tr>
        <w:trPr>
          <w:trHeight w:val="20"/>
        </w:trPr>
        <w:tc>
          <w:tcPr>
            <w:tcW w:w="8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right="760" w:firstLine="619"/>
        <w:spacing w:after="0" w:line="287" w:lineRule="auto"/>
        <w:rPr>
          <w:sz w:val="20"/>
          <w:szCs w:val="20"/>
          <w:color w:val="auto"/>
        </w:rPr>
      </w:pPr>
      <w:r>
        <w:rPr>
          <w:rFonts w:ascii="Times New Roman" w:cs="Times New Roman" w:eastAsia="Times New Roman" w:hAnsi="Times New Roman"/>
          <w:sz w:val="17"/>
          <w:szCs w:val="17"/>
          <w:color w:val="auto"/>
        </w:rPr>
        <w:t>During the three months ended March 31, 2024, the Company wrote off $18.5 million of allowance for doubtful accounts, which was primarily attributable to the outstanding accounts receivable from a buyer that filed for bankruptcy during 2023.</w:t>
      </w:r>
    </w:p>
    <w:p>
      <w:pPr>
        <w:spacing w:after="0" w:line="22" w:lineRule="exact"/>
        <w:rPr>
          <w:sz w:val="20"/>
          <w:szCs w:val="20"/>
          <w:color w:val="auto"/>
        </w:rPr>
      </w:pPr>
    </w:p>
    <w:p>
      <w:pPr>
        <w:ind w:right="20" w:firstLine="619"/>
        <w:spacing w:after="0" w:line="261" w:lineRule="auto"/>
        <w:rPr>
          <w:sz w:val="20"/>
          <w:szCs w:val="20"/>
          <w:color w:val="auto"/>
        </w:rPr>
      </w:pPr>
      <w:r>
        <w:rPr>
          <w:rFonts w:ascii="Times New Roman" w:cs="Times New Roman" w:eastAsia="Times New Roman" w:hAnsi="Times New Roman"/>
          <w:sz w:val="17"/>
          <w:szCs w:val="17"/>
          <w:color w:val="auto"/>
        </w:rPr>
        <w:t>The change in provision for expected credit losses associated with accounts receivable and the offsetting impact of the change to contra seller payables related to recoveries of uncollected buyer receivables result in the amount of bad debt expense or recoveries the Company recognizes each period. During the three months ended March 31, 2025 and March 31, 2024, the activity related to the provision of expected credit losses associated with accounts receivable and the activity of contra seller payables related to recoveries of uncollected buyer receivables were immaterial, which resulted in immaterial amounts of bad debt expense or recovery recognized in the respective periods.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4—Fair Value Measurements</w:t>
      </w:r>
    </w:p>
    <w:p>
      <w:pPr>
        <w:spacing w:after="0" w:line="1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Recurring Fair Value Measurements</w:t>
      </w:r>
    </w:p>
    <w:p>
      <w:pPr>
        <w:spacing w:after="0" w:line="120" w:lineRule="exact"/>
        <w:rPr>
          <w:sz w:val="20"/>
          <w:szCs w:val="20"/>
          <w:color w:val="auto"/>
        </w:rPr>
      </w:pPr>
    </w:p>
    <w:p>
      <w:pPr>
        <w:ind w:right="20" w:firstLine="619"/>
        <w:spacing w:after="0" w:line="261" w:lineRule="auto"/>
        <w:rPr>
          <w:sz w:val="20"/>
          <w:szCs w:val="20"/>
          <w:color w:val="auto"/>
        </w:rPr>
      </w:pPr>
      <w:r>
        <w:rPr>
          <w:rFonts w:ascii="Times New Roman" w:cs="Times New Roman" w:eastAsia="Times New Roman" w:hAnsi="Times New Roman"/>
          <w:sz w:val="17"/>
          <w:szCs w:val="17"/>
          <w:color w:val="auto"/>
        </w:rPr>
        <w:t>Fair value represents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Observable inputs are based on market data obtained from independent sources. The fair value hierarchy is based on the following three levels of inputs, of which the first two are considered observable and the last one is considered unobservable:</w:t>
      </w:r>
    </w:p>
    <w:p>
      <w:pPr>
        <w:spacing w:after="0" w:line="149" w:lineRule="exact"/>
        <w:rPr>
          <w:sz w:val="20"/>
          <w:szCs w:val="20"/>
          <w:color w:val="auto"/>
        </w:rPr>
      </w:pPr>
    </w:p>
    <w:p>
      <w:pPr>
        <w:ind w:left="1080" w:right="840" w:hanging="458"/>
        <w:spacing w:after="0" w:line="287" w:lineRule="auto"/>
        <w:tabs>
          <w:tab w:leader="none" w:pos="107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 Quoted prices (unadjusted) in active markets for identical assets or liabilities that the Company has the ability to access at the measurement date.</w:t>
      </w:r>
    </w:p>
    <w:p>
      <w:pPr>
        <w:spacing w:after="0" w:line="22" w:lineRule="exact"/>
        <w:rPr>
          <w:rFonts w:ascii="Times New Roman" w:cs="Times New Roman" w:eastAsia="Times New Roman" w:hAnsi="Times New Roman"/>
          <w:sz w:val="17"/>
          <w:szCs w:val="17"/>
          <w:color w:val="auto"/>
        </w:rPr>
      </w:pPr>
    </w:p>
    <w:p>
      <w:pPr>
        <w:ind w:left="1080" w:hanging="458"/>
        <w:spacing w:after="0"/>
        <w:tabs>
          <w:tab w:leader="none" w:pos="10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Inputs other than quoted prices included within Level 1 that are observable for the asset or liability, either directly or indirectly.</w:t>
      </w:r>
    </w:p>
    <w:p>
      <w:pPr>
        <w:spacing w:after="0" w:line="101" w:lineRule="exact"/>
        <w:rPr>
          <w:rFonts w:ascii="Times New Roman" w:cs="Times New Roman" w:eastAsia="Times New Roman" w:hAnsi="Times New Roman"/>
          <w:sz w:val="17"/>
          <w:szCs w:val="17"/>
          <w:color w:val="auto"/>
        </w:rPr>
      </w:pPr>
    </w:p>
    <w:p>
      <w:pPr>
        <w:ind w:left="1080" w:hanging="458"/>
        <w:spacing w:after="0"/>
        <w:tabs>
          <w:tab w:leader="none" w:pos="10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 Unobservable inputs.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sets forth a summary of financial instruments that are measured at fair value on a recurring basis at March 31, 2025:</w:t>
      </w:r>
    </w:p>
    <w:p>
      <w:pPr>
        <w:spacing w:after="0" w:line="20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1680" w:type="dxa"/>
            <w:vAlign w:val="bottom"/>
            <w:vMerge w:val="restart"/>
          </w:tcPr>
          <w:p>
            <w:pPr>
              <w:jc w:val="center"/>
              <w:ind w:left="307"/>
              <w:spacing w:after="0"/>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1900" w:type="dxa"/>
            <w:vAlign w:val="bottom"/>
            <w:vMerge w:val="restart"/>
          </w:tcPr>
          <w:p>
            <w:pPr>
              <w:jc w:val="center"/>
              <w:ind w:left="827"/>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40" w:type="dxa"/>
            <w:vAlign w:val="bottom"/>
          </w:tcPr>
          <w:p>
            <w:pPr>
              <w:jc w:val="center"/>
              <w:ind w:right="248"/>
              <w:spacing w:after="0" w:line="142" w:lineRule="exact"/>
              <w:rPr>
                <w:sz w:val="20"/>
                <w:szCs w:val="20"/>
                <w:color w:val="auto"/>
              </w:rPr>
            </w:pPr>
            <w:r>
              <w:rPr>
                <w:rFonts w:ascii="Times New Roman" w:cs="Times New Roman" w:eastAsia="Times New Roman" w:hAnsi="Times New Roman"/>
                <w:sz w:val="14"/>
                <w:szCs w:val="14"/>
                <w:b w:val="1"/>
                <w:bCs w:val="1"/>
                <w:color w:val="auto"/>
                <w:w w:val="96"/>
              </w:rPr>
              <w:t>Active Markets for</w:t>
            </w:r>
          </w:p>
        </w:tc>
        <w:tc>
          <w:tcPr>
            <w:tcW w:w="1680" w:type="dxa"/>
            <w:vAlign w:val="bottom"/>
            <w:vMerge w:val="continue"/>
          </w:tcPr>
          <w:p>
            <w:pPr>
              <w:spacing w:after="0"/>
              <w:rPr>
                <w:sz w:val="12"/>
                <w:szCs w:val="12"/>
                <w:color w:val="auto"/>
              </w:rPr>
            </w:pPr>
          </w:p>
        </w:tc>
        <w:tc>
          <w:tcPr>
            <w:tcW w:w="1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vMerge w:val="restart"/>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1"/>
                <w:szCs w:val="11"/>
                <w:color w:val="auto"/>
              </w:rPr>
            </w:pPr>
          </w:p>
        </w:tc>
        <w:tc>
          <w:tcPr>
            <w:tcW w:w="1740" w:type="dxa"/>
            <w:vAlign w:val="bottom"/>
          </w:tcPr>
          <w:p>
            <w:pPr>
              <w:jc w:val="center"/>
              <w:ind w:right="268"/>
              <w:spacing w:after="0" w:line="131" w:lineRule="exact"/>
              <w:rPr>
                <w:sz w:val="20"/>
                <w:szCs w:val="20"/>
                <w:color w:val="auto"/>
              </w:rPr>
            </w:pPr>
            <w:r>
              <w:rPr>
                <w:rFonts w:ascii="Times New Roman" w:cs="Times New Roman" w:eastAsia="Times New Roman" w:hAnsi="Times New Roman"/>
                <w:sz w:val="14"/>
                <w:szCs w:val="14"/>
                <w:b w:val="1"/>
                <w:bCs w:val="1"/>
                <w:color w:val="auto"/>
                <w:w w:val="98"/>
              </w:rPr>
              <w:t>Identical Assets</w:t>
            </w:r>
          </w:p>
        </w:tc>
        <w:tc>
          <w:tcPr>
            <w:tcW w:w="1680" w:type="dxa"/>
            <w:vAlign w:val="bottom"/>
          </w:tcPr>
          <w:p>
            <w:pPr>
              <w:jc w:val="center"/>
              <w:ind w:left="287"/>
              <w:spacing w:after="0" w:line="131" w:lineRule="exact"/>
              <w:rPr>
                <w:sz w:val="20"/>
                <w:szCs w:val="20"/>
                <w:color w:val="auto"/>
              </w:rPr>
            </w:pPr>
            <w:r>
              <w:rPr>
                <w:rFonts w:ascii="Times New Roman" w:cs="Times New Roman" w:eastAsia="Times New Roman" w:hAnsi="Times New Roman"/>
                <w:sz w:val="14"/>
                <w:szCs w:val="14"/>
                <w:b w:val="1"/>
                <w:bCs w:val="1"/>
                <w:color w:val="auto"/>
                <w:w w:val="97"/>
              </w:rPr>
              <w:t>Observable Inputs</w:t>
            </w:r>
          </w:p>
        </w:tc>
        <w:tc>
          <w:tcPr>
            <w:tcW w:w="1900" w:type="dxa"/>
            <w:vAlign w:val="bottom"/>
          </w:tcPr>
          <w:p>
            <w:pPr>
              <w:ind w:left="780"/>
              <w:spacing w:after="0" w:line="131" w:lineRule="exact"/>
              <w:rPr>
                <w:sz w:val="20"/>
                <w:szCs w:val="20"/>
                <w:color w:val="auto"/>
              </w:rPr>
            </w:pPr>
            <w:r>
              <w:rPr>
                <w:rFonts w:ascii="Times New Roman" w:cs="Times New Roman" w:eastAsia="Times New Roman" w:hAnsi="Times New Roman"/>
                <w:sz w:val="14"/>
                <w:szCs w:val="14"/>
                <w:b w:val="1"/>
                <w:bCs w:val="1"/>
                <w:color w:val="auto"/>
                <w:w w:val="95"/>
              </w:rPr>
              <w:t>Unobservable Inpu</w:t>
            </w:r>
          </w:p>
        </w:tc>
        <w:tc>
          <w:tcPr>
            <w:tcW w:w="0" w:type="dxa"/>
            <w:vAlign w:val="bottom"/>
          </w:tcPr>
          <w:p>
            <w:pPr>
              <w:spacing w:after="0"/>
              <w:rPr>
                <w:sz w:val="1"/>
                <w:szCs w:val="1"/>
                <w:color w:val="auto"/>
              </w:rPr>
            </w:pPr>
          </w:p>
        </w:tc>
      </w:tr>
      <w:tr>
        <w:trPr>
          <w:trHeight w:val="182"/>
        </w:trPr>
        <w:tc>
          <w:tcPr>
            <w:tcW w:w="3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680" w:type="dxa"/>
            <w:vAlign w:val="bottom"/>
          </w:tcPr>
          <w:p>
            <w:pPr>
              <w:jc w:val="center"/>
              <w:ind w:left="327"/>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900" w:type="dxa"/>
            <w:vAlign w:val="bottom"/>
          </w:tcPr>
          <w:p>
            <w:pPr>
              <w:jc w:val="center"/>
              <w:ind w:left="847"/>
              <w:spacing w:after="0"/>
              <w:rPr>
                <w:sz w:val="20"/>
                <w:szCs w:val="20"/>
                <w:color w:val="auto"/>
              </w:rPr>
            </w:pPr>
            <w:r>
              <w:rPr>
                <w:rFonts w:ascii="Times New Roman" w:cs="Times New Roman" w:eastAsia="Times New Roman" w:hAnsi="Times New Roman"/>
                <w:sz w:val="14"/>
                <w:szCs w:val="14"/>
                <w:b w:val="1"/>
                <w:bCs w:val="1"/>
                <w:color w:val="auto"/>
                <w:w w:val="95"/>
              </w:rPr>
              <w:t>(Level 3)</w:t>
            </w: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gridSpan w:val="2"/>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20" w:type="dxa"/>
            <w:vAlign w:val="bottom"/>
            <w:gridSpan w:val="2"/>
          </w:tcPr>
          <w:p>
            <w:pPr>
              <w:jc w:val="right"/>
              <w:ind w:right="88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325,252</w:t>
            </w:r>
          </w:p>
        </w:tc>
        <w:tc>
          <w:tcPr>
            <w:tcW w:w="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7"/>
                <w:szCs w:val="17"/>
                <w:color w:val="auto"/>
              </w:rPr>
              <w:t>325,252</w:t>
            </w:r>
          </w:p>
        </w:tc>
        <w:tc>
          <w:tcPr>
            <w:tcW w:w="1680" w:type="dxa"/>
            <w:vAlign w:val="bottom"/>
            <w:shd w:val="clear" w:color="auto" w:fill="CCEEFF"/>
          </w:tcPr>
          <w:p>
            <w:pPr>
              <w:jc w:val="right"/>
              <w:ind w:right="1427"/>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5"/>
        </w:trPr>
        <w:tc>
          <w:tcPr>
            <w:tcW w:w="36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sets forth a summary of financial instruments that are measured at fair value on a recurring basis at December 31, 2024:</w:t>
      </w:r>
    </w:p>
    <w:p>
      <w:pPr>
        <w:spacing w:after="0" w:line="22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1680" w:type="dxa"/>
            <w:vAlign w:val="bottom"/>
            <w:vMerge w:val="restart"/>
          </w:tcPr>
          <w:p>
            <w:pPr>
              <w:jc w:val="center"/>
              <w:ind w:left="307"/>
              <w:spacing w:after="0"/>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1940" w:type="dxa"/>
            <w:vAlign w:val="bottom"/>
            <w:vMerge w:val="restart"/>
          </w:tcPr>
          <w:p>
            <w:pPr>
              <w:jc w:val="center"/>
              <w:ind w:left="807"/>
              <w:spacing w:after="0"/>
              <w:rPr>
                <w:sz w:val="20"/>
                <w:szCs w:val="20"/>
                <w:color w:val="auto"/>
              </w:rPr>
            </w:pPr>
            <w:r>
              <w:rPr>
                <w:rFonts w:ascii="Times New Roman" w:cs="Times New Roman" w:eastAsia="Times New Roman" w:hAnsi="Times New Roman"/>
                <w:sz w:val="14"/>
                <w:szCs w:val="14"/>
                <w:b w:val="1"/>
                <w:bCs w:val="1"/>
                <w:color w:val="auto"/>
                <w:w w:val="95"/>
              </w:rPr>
              <w:t>Significant</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tcPr>
          <w:p>
            <w:pPr>
              <w:jc w:val="center"/>
              <w:ind w:right="248"/>
              <w:spacing w:after="0" w:line="142" w:lineRule="exact"/>
              <w:rPr>
                <w:sz w:val="20"/>
                <w:szCs w:val="20"/>
                <w:color w:val="auto"/>
              </w:rPr>
            </w:pPr>
            <w:r>
              <w:rPr>
                <w:rFonts w:ascii="Times New Roman" w:cs="Times New Roman" w:eastAsia="Times New Roman" w:hAnsi="Times New Roman"/>
                <w:sz w:val="14"/>
                <w:szCs w:val="14"/>
                <w:b w:val="1"/>
                <w:bCs w:val="1"/>
                <w:color w:val="auto"/>
                <w:w w:val="98"/>
              </w:rPr>
              <w:t>Active Markets for</w:t>
            </w:r>
          </w:p>
        </w:tc>
        <w:tc>
          <w:tcPr>
            <w:tcW w:w="1680" w:type="dxa"/>
            <w:vAlign w:val="bottom"/>
            <w:vMerge w:val="continue"/>
          </w:tcPr>
          <w:p>
            <w:pPr>
              <w:spacing w:after="0"/>
              <w:rPr>
                <w:sz w:val="12"/>
                <w:szCs w:val="12"/>
                <w:color w:val="auto"/>
              </w:rPr>
            </w:pPr>
          </w:p>
        </w:tc>
        <w:tc>
          <w:tcPr>
            <w:tcW w:w="1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vMerge w:val="restart"/>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1"/>
                <w:szCs w:val="11"/>
                <w:color w:val="auto"/>
              </w:rPr>
            </w:pPr>
          </w:p>
        </w:tc>
        <w:tc>
          <w:tcPr>
            <w:tcW w:w="1720" w:type="dxa"/>
            <w:vAlign w:val="bottom"/>
          </w:tcPr>
          <w:p>
            <w:pPr>
              <w:jc w:val="center"/>
              <w:ind w:right="248"/>
              <w:spacing w:after="0" w:line="131" w:lineRule="exact"/>
              <w:rPr>
                <w:sz w:val="20"/>
                <w:szCs w:val="20"/>
                <w:color w:val="auto"/>
              </w:rPr>
            </w:pPr>
            <w:r>
              <w:rPr>
                <w:rFonts w:ascii="Times New Roman" w:cs="Times New Roman" w:eastAsia="Times New Roman" w:hAnsi="Times New Roman"/>
                <w:sz w:val="14"/>
                <w:szCs w:val="14"/>
                <w:b w:val="1"/>
                <w:bCs w:val="1"/>
                <w:color w:val="auto"/>
                <w:w w:val="98"/>
              </w:rPr>
              <w:t>Identical Assets</w:t>
            </w:r>
          </w:p>
        </w:tc>
        <w:tc>
          <w:tcPr>
            <w:tcW w:w="1680" w:type="dxa"/>
            <w:vAlign w:val="bottom"/>
          </w:tcPr>
          <w:p>
            <w:pPr>
              <w:jc w:val="center"/>
              <w:ind w:left="327"/>
              <w:spacing w:after="0" w:line="131" w:lineRule="exact"/>
              <w:rPr>
                <w:sz w:val="20"/>
                <w:szCs w:val="20"/>
                <w:color w:val="auto"/>
              </w:rPr>
            </w:pPr>
            <w:r>
              <w:rPr>
                <w:rFonts w:ascii="Times New Roman" w:cs="Times New Roman" w:eastAsia="Times New Roman" w:hAnsi="Times New Roman"/>
                <w:sz w:val="14"/>
                <w:szCs w:val="14"/>
                <w:b w:val="1"/>
                <w:bCs w:val="1"/>
                <w:color w:val="auto"/>
                <w:w w:val="97"/>
              </w:rPr>
              <w:t>Observable Inputs</w:t>
            </w:r>
          </w:p>
        </w:tc>
        <w:tc>
          <w:tcPr>
            <w:tcW w:w="1940" w:type="dxa"/>
            <w:vAlign w:val="bottom"/>
          </w:tcPr>
          <w:p>
            <w:pPr>
              <w:ind w:left="800"/>
              <w:spacing w:after="0" w:line="131" w:lineRule="exact"/>
              <w:rPr>
                <w:sz w:val="20"/>
                <w:szCs w:val="20"/>
                <w:color w:val="auto"/>
              </w:rPr>
            </w:pPr>
            <w:r>
              <w:rPr>
                <w:rFonts w:ascii="Times New Roman" w:cs="Times New Roman" w:eastAsia="Times New Roman" w:hAnsi="Times New Roman"/>
                <w:sz w:val="14"/>
                <w:szCs w:val="14"/>
                <w:b w:val="1"/>
                <w:bCs w:val="1"/>
                <w:color w:val="auto"/>
                <w:w w:val="97"/>
              </w:rPr>
              <w:t>Unobservable Inpu</w:t>
            </w:r>
          </w:p>
        </w:tc>
        <w:tc>
          <w:tcPr>
            <w:tcW w:w="0" w:type="dxa"/>
            <w:vAlign w:val="bottom"/>
          </w:tcPr>
          <w:p>
            <w:pPr>
              <w:spacing w:after="0"/>
              <w:rPr>
                <w:sz w:val="1"/>
                <w:szCs w:val="1"/>
                <w:color w:val="auto"/>
              </w:rPr>
            </w:pPr>
          </w:p>
        </w:tc>
      </w:tr>
      <w:tr>
        <w:trPr>
          <w:trHeight w:val="182"/>
        </w:trPr>
        <w:tc>
          <w:tcPr>
            <w:tcW w:w="3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72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680" w:type="dxa"/>
            <w:vAlign w:val="bottom"/>
          </w:tcPr>
          <w:p>
            <w:pPr>
              <w:jc w:val="center"/>
              <w:ind w:left="367"/>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940" w:type="dxa"/>
            <w:vAlign w:val="bottom"/>
          </w:tcPr>
          <w:p>
            <w:pPr>
              <w:jc w:val="center"/>
              <w:ind w:left="827"/>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gridSpan w:val="2"/>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0" w:type="dxa"/>
            <w:vAlign w:val="bottom"/>
            <w:gridSpan w:val="2"/>
          </w:tcPr>
          <w:p>
            <w:pPr>
              <w:jc w:val="right"/>
              <w:ind w:right="86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436,731</w:t>
            </w:r>
          </w:p>
        </w:tc>
        <w:tc>
          <w:tcPr>
            <w:tcW w:w="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7"/>
                <w:szCs w:val="17"/>
                <w:color w:val="auto"/>
              </w:rPr>
              <w:t>436,731</w:t>
            </w:r>
          </w:p>
        </w:tc>
        <w:tc>
          <w:tcPr>
            <w:tcW w:w="1680" w:type="dxa"/>
            <w:vAlign w:val="bottom"/>
            <w:shd w:val="clear" w:color="auto" w:fill="CCEEFF"/>
          </w:tcPr>
          <w:p>
            <w:pPr>
              <w:jc w:val="right"/>
              <w:ind w:right="1427"/>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right="300" w:firstLine="619"/>
        <w:spacing w:after="0" w:line="270" w:lineRule="auto"/>
        <w:rPr>
          <w:sz w:val="20"/>
          <w:szCs w:val="20"/>
          <w:color w:val="auto"/>
        </w:rPr>
      </w:pPr>
      <w:r>
        <w:rPr>
          <w:rFonts w:ascii="Times New Roman" w:cs="Times New Roman" w:eastAsia="Times New Roman" w:hAnsi="Times New Roman"/>
          <w:sz w:val="17"/>
          <w:szCs w:val="17"/>
          <w:color w:val="auto"/>
        </w:rPr>
        <w:t>At March 31, 2025 and December 31, 2024, cash equivalents of $325.3 million and $436.7 million, respectively, consisted of money market funds with original maturities of three months or less. The carrying amounts of cash equivalents are classified as Level 1 or Level 2 depending on whether or not their fair values are based on quoted market prices for identical securities that are traded in an active market.</w:t>
      </w:r>
    </w:p>
    <w:p>
      <w:pPr>
        <w:spacing w:after="0" w:line="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At March 31, 2025 and December 31, 2024, the Company had debt outstanding under its Convertible Senior Notes and loans under its 2024 Term Loan B</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Facility (as defined in Note 12) included in its balance sheets. The estimated fair value of the Company's Convertible Senior Notes was $193.8 million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$190.2 million as of March 31, 2025 and December 31, 2024, respectively. The estimated fair value of Convertible Senior Notes is based on market rates and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closing trading price of the Convertible Senior Notes as of March 31, 2025 and December 31, 2024 and is classified as Level 2 in the fair value hierarchy. At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2025 and December 31, 2024, the estimated fair value of the Company's 2024 Term Loan B Facility was $362.3 million and $368.2 million,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respectively. The estimated fair value is based on borrowing rates currently available to the Company for financing with similar terms and is classified as Level 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fair value hierarchy.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5—Accounts Payable and Accrued Expenses</w:t>
      </w:r>
    </w:p>
    <w:p>
      <w:pPr>
        <w:spacing w:after="0" w:line="1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Accounts payable and accrued expenses included the following: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5"/>
                <w:szCs w:val="15"/>
                <w:color w:val="auto"/>
              </w:rPr>
            </w:pPr>
          </w:p>
        </w:tc>
        <w:tc>
          <w:tcPr>
            <w:tcW w:w="1420" w:type="dxa"/>
            <w:vAlign w:val="bottom"/>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2"/>
        </w:trPr>
        <w:tc>
          <w:tcPr>
            <w:tcW w:w="7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gridSpan w:val="4"/>
          </w:tcPr>
          <w:p>
            <w:pPr>
              <w:spacing w:after="0" w:line="20" w:lineRule="exact"/>
              <w:rPr>
                <w:sz w:val="1"/>
                <w:szCs w:val="1"/>
                <w:color w:val="auto"/>
              </w:rPr>
            </w:pPr>
          </w:p>
        </w:tc>
      </w:tr>
      <w:tr>
        <w:trPr>
          <w:trHeight w:val="181"/>
        </w:trPr>
        <w:tc>
          <w:tcPr>
            <w:tcW w:w="7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40" w:type="dxa"/>
            <w:vAlign w:val="bottom"/>
            <w:gridSpan w:val="4"/>
          </w:tcPr>
          <w:p>
            <w:pPr>
              <w:jc w:val="right"/>
              <w:ind w:right="1138"/>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5"/>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payable—seller</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1,261,402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1,417,780</w:t>
            </w:r>
          </w:p>
        </w:tc>
      </w:tr>
      <w:tr>
        <w:trPr>
          <w:trHeight w:val="21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payable—trade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30,899</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employee-related payables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22,286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17,698</w:t>
            </w:r>
          </w:p>
        </w:tc>
      </w:tr>
      <w:tr>
        <w:trPr>
          <w:trHeight w:val="212"/>
        </w:trPr>
        <w:tc>
          <w:tcPr>
            <w:tcW w:w="7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1,306,517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1,466,377</w:t>
            </w:r>
          </w:p>
        </w:tc>
      </w:tr>
      <w:tr>
        <w:trPr>
          <w:trHeight w:val="20"/>
        </w:trPr>
        <w:tc>
          <w:tcPr>
            <w:tcW w:w="7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6—Property and Equipment</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Major classes of property and equipment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5"/>
                <w:szCs w:val="15"/>
                <w:color w:val="auto"/>
              </w:rPr>
            </w:pPr>
          </w:p>
        </w:tc>
        <w:tc>
          <w:tcPr>
            <w:tcW w:w="14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2"/>
        </w:trPr>
        <w:tc>
          <w:tcPr>
            <w:tcW w:w="7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gridSpan w:val="4"/>
          </w:tcPr>
          <w:p>
            <w:pPr>
              <w:spacing w:after="0" w:line="20" w:lineRule="exact"/>
              <w:rPr>
                <w:sz w:val="1"/>
                <w:szCs w:val="1"/>
                <w:color w:val="auto"/>
              </w:rPr>
            </w:pPr>
          </w:p>
        </w:tc>
      </w:tr>
      <w:tr>
        <w:trPr>
          <w:trHeight w:val="181"/>
        </w:trPr>
        <w:tc>
          <w:tcPr>
            <w:tcW w:w="7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40" w:type="dxa"/>
            <w:vAlign w:val="bottom"/>
            <w:gridSpan w:val="4"/>
          </w:tcPr>
          <w:p>
            <w:pPr>
              <w:jc w:val="right"/>
              <w:ind w:right="113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5"/>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 and network hardware</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196,974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184,155</w:t>
            </w:r>
          </w:p>
        </w:tc>
      </w:tr>
      <w:tr>
        <w:trPr>
          <w:trHeight w:val="21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Furniture, fixtures, and office equipment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3,486</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2,576</w:t>
            </w:r>
          </w:p>
        </w:tc>
      </w:tr>
      <w:tr>
        <w:trPr>
          <w:trHeight w:val="21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Purchased software</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1,123</w:t>
            </w:r>
          </w:p>
        </w:tc>
      </w:tr>
      <w:tr>
        <w:trPr>
          <w:trHeight w:val="212"/>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Gross property and equipment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202,786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191,340</w:t>
            </w:r>
          </w:p>
        </w:tc>
      </w:tr>
      <w:tr>
        <w:trPr>
          <w:trHeight w:val="21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Accumulated depreciation</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(123,652)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(122,610)</w:t>
            </w:r>
          </w:p>
        </w:tc>
      </w:tr>
      <w:tr>
        <w:trPr>
          <w:trHeight w:val="237"/>
        </w:trPr>
        <w:tc>
          <w:tcPr>
            <w:tcW w:w="7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property and equipment</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79,134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68,730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ind w:right="460" w:firstLine="619"/>
        <w:spacing w:after="0" w:line="287" w:lineRule="auto"/>
        <w:rPr>
          <w:sz w:val="20"/>
          <w:szCs w:val="20"/>
          <w:color w:val="auto"/>
        </w:rPr>
      </w:pPr>
      <w:r>
        <w:rPr>
          <w:rFonts w:ascii="Times New Roman" w:cs="Times New Roman" w:eastAsia="Times New Roman" w:hAnsi="Times New Roman"/>
          <w:sz w:val="17"/>
          <w:szCs w:val="17"/>
          <w:color w:val="auto"/>
        </w:rPr>
        <w:t>Depreciation expense related to property and equipment totaled $5.0 million and $3.2 million for the three months ended March 31, 2025 and 2024, respectively.</w:t>
      </w:r>
    </w:p>
    <w:p>
      <w:pPr>
        <w:spacing w:after="0" w:line="1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Company's property and equipment, net by geographical region was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5"/>
                <w:szCs w:val="15"/>
                <w:color w:val="auto"/>
              </w:rPr>
            </w:pPr>
          </w:p>
        </w:tc>
        <w:tc>
          <w:tcPr>
            <w:tcW w:w="14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2"/>
        </w:trPr>
        <w:tc>
          <w:tcPr>
            <w:tcW w:w="7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40" w:type="dxa"/>
            <w:vAlign w:val="bottom"/>
            <w:gridSpan w:val="4"/>
          </w:tcPr>
          <w:p>
            <w:pPr>
              <w:jc w:val="right"/>
              <w:ind w:right="11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5"/>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51,708</w:t>
            </w:r>
          </w:p>
        </w:tc>
        <w:tc>
          <w:tcPr>
            <w:tcW w:w="0" w:type="dxa"/>
            <w:vAlign w:val="bottom"/>
          </w:tcPr>
          <w:p>
            <w:pPr>
              <w:spacing w:after="0"/>
              <w:rPr>
                <w:sz w:val="1"/>
                <w:szCs w:val="1"/>
                <w:color w:val="auto"/>
              </w:rPr>
            </w:pPr>
          </w:p>
        </w:tc>
      </w:tr>
      <w:tr>
        <w:trPr>
          <w:trHeight w:val="21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International</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16,789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17,022</w:t>
            </w:r>
          </w:p>
        </w:tc>
        <w:tc>
          <w:tcPr>
            <w:tcW w:w="0" w:type="dxa"/>
            <w:vAlign w:val="bottom"/>
          </w:tcPr>
          <w:p>
            <w:pPr>
              <w:spacing w:after="0"/>
              <w:rPr>
                <w:sz w:val="1"/>
                <w:szCs w:val="1"/>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79,134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68,730</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Note 7—Intangible Assets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79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79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The Company’s intangible assets as of March 31, 2025 and December 31, 2024 included the following:</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7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24"/>
                <w:szCs w:val="24"/>
                <w:color w:val="auto"/>
              </w:rPr>
            </w:pPr>
          </w:p>
        </w:tc>
        <w:tc>
          <w:tcPr>
            <w:tcW w:w="14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2"/>
        </w:trPr>
        <w:tc>
          <w:tcPr>
            <w:tcW w:w="7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40" w:type="dxa"/>
            <w:vAlign w:val="bottom"/>
            <w:gridSpan w:val="4"/>
          </w:tcPr>
          <w:p>
            <w:pPr>
              <w:jc w:val="right"/>
              <w:ind w:right="11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5"/>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Amortizable intangible assets: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9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Developed technology</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109,736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109,736</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Customer relationships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37,300</w:t>
            </w:r>
          </w:p>
        </w:tc>
        <w:tc>
          <w:tcPr>
            <w:tcW w:w="0" w:type="dxa"/>
            <w:vAlign w:val="bottom"/>
          </w:tcPr>
          <w:p>
            <w:pPr>
              <w:spacing w:after="0"/>
              <w:rPr>
                <w:sz w:val="1"/>
                <w:szCs w:val="1"/>
                <w:color w:val="auto"/>
              </w:rPr>
            </w:pPr>
          </w:p>
        </w:tc>
      </w:tr>
      <w:tr>
        <w:trPr>
          <w:trHeight w:val="219"/>
        </w:trPr>
        <w:tc>
          <w:tcPr>
            <w:tcW w:w="79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In-process research and development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8,830</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intangible assets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1,332</w:t>
            </w:r>
          </w:p>
        </w:tc>
        <w:tc>
          <w:tcPr>
            <w:tcW w:w="0" w:type="dxa"/>
            <w:vAlign w:val="bottom"/>
          </w:tcPr>
          <w:p>
            <w:pPr>
              <w:spacing w:after="0"/>
              <w:rPr>
                <w:sz w:val="1"/>
                <w:szCs w:val="1"/>
                <w:color w:val="auto"/>
              </w:rPr>
            </w:pPr>
          </w:p>
        </w:tc>
      </w:tr>
      <w:tr>
        <w:trPr>
          <w:trHeight w:val="212"/>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identifiable intangible assets, gross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157,198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157,198</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amortization—intangible assets: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9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Developed technology</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(98,597)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(93,941)</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Customer relationships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(34,192)</w:t>
            </w:r>
          </w:p>
        </w:tc>
        <w:tc>
          <w:tcPr>
            <w:tcW w:w="0" w:type="dxa"/>
            <w:vAlign w:val="bottom"/>
          </w:tcPr>
          <w:p>
            <w:pPr>
              <w:spacing w:after="0"/>
              <w:rPr>
                <w:sz w:val="1"/>
                <w:szCs w:val="1"/>
                <w:color w:val="auto"/>
              </w:rPr>
            </w:pPr>
          </w:p>
        </w:tc>
      </w:tr>
      <w:tr>
        <w:trPr>
          <w:trHeight w:val="219"/>
        </w:trPr>
        <w:tc>
          <w:tcPr>
            <w:tcW w:w="79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In-process research and development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(6,856)</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intangible assets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0" w:type="dxa"/>
            <w:vAlign w:val="bottom"/>
          </w:tcPr>
          <w:p>
            <w:pPr>
              <w:spacing w:after="0"/>
              <w:rPr>
                <w:sz w:val="1"/>
                <w:szCs w:val="1"/>
                <w:color w:val="auto"/>
              </w:rPr>
            </w:pPr>
          </w:p>
        </w:tc>
      </w:tr>
      <w:tr>
        <w:trPr>
          <w:trHeight w:val="212"/>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accumulated amortization—intangible assets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(143,272)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(135,889)</w:t>
            </w:r>
          </w:p>
        </w:tc>
        <w:tc>
          <w:tcPr>
            <w:tcW w:w="0" w:type="dxa"/>
            <w:vAlign w:val="bottom"/>
          </w:tcPr>
          <w:p>
            <w:pPr>
              <w:spacing w:after="0"/>
              <w:rPr>
                <w:sz w:val="1"/>
                <w:szCs w:val="1"/>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identifiable intangible assets, net</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21,309</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7"/>
                <w:szCs w:val="17"/>
                <w:color w:val="auto"/>
              </w:rPr>
              <w:t>14</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6"/>
        </w:trPr>
        <w:tc>
          <w:tcPr>
            <w:tcW w:w="79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9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Amortization of intangible assets for the three months ended March 31, 2025 and 2024 was $7.4 million and $7.6 million, respectively.</w:t>
      </w:r>
    </w:p>
    <w:p>
      <w:pPr>
        <w:spacing w:after="0" w:line="1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estimated remaining amortization expense associated with the Company's intangible assets was as follows as of March 31, 2025:</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40" w:type="dxa"/>
            <w:vAlign w:val="bottom"/>
          </w:tcPr>
          <w:p>
            <w:pPr>
              <w:spacing w:after="0"/>
              <w:rPr>
                <w:sz w:val="15"/>
                <w:szCs w:val="15"/>
                <w:color w:val="auto"/>
              </w:rPr>
            </w:pPr>
          </w:p>
        </w:tc>
        <w:tc>
          <w:tcPr>
            <w:tcW w:w="134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
        </w:trPr>
        <w:tc>
          <w:tcPr>
            <w:tcW w:w="9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1"/>
        </w:trPr>
        <w:tc>
          <w:tcPr>
            <w:tcW w:w="9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5"/>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Remaining 2025</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7,094</w:t>
            </w:r>
          </w:p>
        </w:tc>
      </w:tr>
      <w:tr>
        <w:trPr>
          <w:trHeight w:val="219"/>
        </w:trPr>
        <w:tc>
          <w:tcPr>
            <w:tcW w:w="9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6,045</w:t>
            </w:r>
          </w:p>
        </w:tc>
      </w:tr>
      <w:tr>
        <w:trPr>
          <w:trHeight w:val="219"/>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w:t>
            </w:r>
          </w:p>
        </w:tc>
      </w:tr>
      <w:tr>
        <w:trPr>
          <w:trHeight w:val="219"/>
        </w:trPr>
        <w:tc>
          <w:tcPr>
            <w:tcW w:w="9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19"/>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19"/>
        </w:trPr>
        <w:tc>
          <w:tcPr>
            <w:tcW w:w="9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w:t>
            </w:r>
          </w:p>
        </w:tc>
      </w:tr>
      <w:tr>
        <w:trPr>
          <w:trHeight w:val="237"/>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13,926</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8—Stock-Based Compensation</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Stock Options</w:t>
      </w:r>
    </w:p>
    <w:p>
      <w:pPr>
        <w:spacing w:after="0" w:line="1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summary of stock option activity for the three months ended March 31, 2025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146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Shares Under Option</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Weighted- Average</w:t>
            </w:r>
          </w:p>
        </w:tc>
        <w:tc>
          <w:tcPr>
            <w:tcW w:w="200" w:type="dxa"/>
            <w:vAlign w:val="bottom"/>
          </w:tcPr>
          <w:p>
            <w:pPr>
              <w:spacing w:after="0"/>
              <w:rPr>
                <w:sz w:val="13"/>
                <w:szCs w:val="13"/>
                <w:color w:val="auto"/>
              </w:rPr>
            </w:pPr>
          </w:p>
        </w:tc>
        <w:tc>
          <w:tcPr>
            <w:tcW w:w="126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87"/>
        </w:trPr>
        <w:tc>
          <w:tcPr>
            <w:tcW w:w="506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Average Exercise Price</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Contractual Life</w:t>
            </w:r>
          </w:p>
        </w:tc>
        <w:tc>
          <w:tcPr>
            <w:tcW w:w="200" w:type="dxa"/>
            <w:vAlign w:val="bottom"/>
          </w:tcPr>
          <w:p>
            <w:pPr>
              <w:spacing w:after="0"/>
              <w:rPr>
                <w:sz w:val="16"/>
                <w:szCs w:val="16"/>
                <w:color w:val="auto"/>
              </w:rPr>
            </w:pPr>
          </w:p>
        </w:tc>
        <w:tc>
          <w:tcPr>
            <w:tcW w:w="126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5"/>
              </w:rPr>
              <w:t>Intrinsic Value</w:t>
            </w:r>
          </w:p>
        </w:tc>
        <w:tc>
          <w:tcPr>
            <w:tcW w:w="0" w:type="dxa"/>
            <w:vAlign w:val="bottom"/>
          </w:tcPr>
          <w:p>
            <w:pPr>
              <w:spacing w:after="0"/>
              <w:rPr>
                <w:sz w:val="1"/>
                <w:szCs w:val="1"/>
                <w:color w:val="auto"/>
              </w:rPr>
            </w:pPr>
          </w:p>
        </w:tc>
      </w:tr>
      <w:tr>
        <w:trPr>
          <w:trHeight w:val="194"/>
        </w:trPr>
        <w:tc>
          <w:tcPr>
            <w:tcW w:w="5060" w:type="dxa"/>
            <w:vAlign w:val="bottom"/>
          </w:tcPr>
          <w:p>
            <w:pPr>
              <w:spacing w:after="0"/>
              <w:rPr>
                <w:sz w:val="16"/>
                <w:szCs w:val="16"/>
                <w:color w:val="auto"/>
              </w:rPr>
            </w:pPr>
          </w:p>
        </w:tc>
        <w:tc>
          <w:tcPr>
            <w:tcW w:w="146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0" w:type="dxa"/>
            <w:vAlign w:val="bottom"/>
          </w:tcPr>
          <w:p>
            <w:pPr>
              <w:spacing w:after="0"/>
              <w:rPr>
                <w:sz w:val="1"/>
                <w:szCs w:val="1"/>
                <w:color w:val="auto"/>
              </w:rPr>
            </w:pPr>
          </w:p>
        </w:tc>
      </w:tr>
      <w:tr>
        <w:trPr>
          <w:trHeight w:val="22"/>
        </w:trPr>
        <w:tc>
          <w:tcPr>
            <w:tcW w:w="5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2024</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4,160</w:t>
            </w:r>
          </w:p>
        </w:tc>
        <w:tc>
          <w:tcPr>
            <w:tcW w:w="38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380" w:type="dxa"/>
            <w:vAlign w:val="bottom"/>
            <w:gridSpan w:val="2"/>
          </w:tcPr>
          <w:p>
            <w:pPr>
              <w:jc w:val="right"/>
              <w:ind w:right="9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16.46</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38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at March 31, 2025</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4,192</w:t>
            </w:r>
          </w:p>
        </w:tc>
        <w:tc>
          <w:tcPr>
            <w:tcW w:w="380" w:type="dxa"/>
            <w:vAlign w:val="bottom"/>
            <w:gridSpan w:val="2"/>
          </w:tcPr>
          <w:p>
            <w:pPr>
              <w:jc w:val="right"/>
              <w:ind w:right="9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8.76</w:t>
            </w:r>
          </w:p>
        </w:tc>
        <w:tc>
          <w:tcPr>
            <w:tcW w:w="10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4.5 years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19,575</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Exercisable at March 31, 2025</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3,809</w:t>
            </w:r>
          </w:p>
        </w:tc>
        <w:tc>
          <w:tcPr>
            <w:tcW w:w="38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4.1 years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19,323</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The total intrinsic value of options exercised during the three months ended March 31, 2025 was $0.8 million, based on their respective exercise dates. At March 31, 2025, the Company had unrecognized stock-based compensation expense relating to unvested stock options of approximately $3.1 million, which is expected to be recognized over a weighted-average period of 2.1 years.</w:t>
      </w:r>
    </w:p>
    <w:p>
      <w:pPr>
        <w:spacing w:after="0" w:line="49" w:lineRule="exact"/>
        <w:rPr>
          <w:sz w:val="20"/>
          <w:szCs w:val="20"/>
          <w:color w:val="auto"/>
        </w:rPr>
      </w:pPr>
    </w:p>
    <w:p>
      <w:pPr>
        <w:jc w:val="both"/>
        <w:ind w:right="100" w:firstLine="619"/>
        <w:spacing w:after="0" w:line="270" w:lineRule="auto"/>
        <w:rPr>
          <w:sz w:val="20"/>
          <w:szCs w:val="20"/>
          <w:color w:val="auto"/>
        </w:rPr>
      </w:pPr>
      <w:r>
        <w:rPr>
          <w:rFonts w:ascii="Times New Roman" w:cs="Times New Roman" w:eastAsia="Times New Roman" w:hAnsi="Times New Roman"/>
          <w:sz w:val="17"/>
          <w:szCs w:val="17"/>
          <w:color w:val="auto"/>
        </w:rPr>
        <w:t>The Company estimates the fair value of stock options that contain service conditions using the Black-Scholes option pricing model. The grant date fair value of options granted during the three months ended March 31, 2025 and March 31, 2024 was $11.40 and $6.34, respectively, per share. The weighted-average input assumptions used by the Company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3240" w:type="dxa"/>
            <w:vAlign w:val="bottom"/>
            <w:gridSpan w:val="3"/>
          </w:tcPr>
          <w:p>
            <w:pPr>
              <w:jc w:val="right"/>
              <w:ind w:right="91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2"/>
        </w:trPr>
        <w:tc>
          <w:tcPr>
            <w:tcW w:w="36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1"/>
        </w:trPr>
        <w:tc>
          <w:tcPr>
            <w:tcW w:w="36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6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56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18"/>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(in years)</w:t>
            </w:r>
          </w:p>
        </w:tc>
        <w:tc>
          <w:tcPr>
            <w:tcW w:w="43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19"/>
        </w:trPr>
        <w:tc>
          <w:tcPr>
            <w:tcW w:w="3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5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4.45 %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3.93 %</w:t>
            </w: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5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84 %</w:t>
            </w:r>
          </w:p>
        </w:tc>
      </w:tr>
      <w:tr>
        <w:trPr>
          <w:trHeight w:val="223"/>
        </w:trPr>
        <w:tc>
          <w:tcPr>
            <w:tcW w:w="3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438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783"/>
        </w:trPr>
        <w:tc>
          <w:tcPr>
            <w:tcW w:w="3620" w:type="dxa"/>
            <w:vAlign w:val="bottom"/>
          </w:tcPr>
          <w:p>
            <w:pPr>
              <w:spacing w:after="0"/>
              <w:rPr>
                <w:sz w:val="24"/>
                <w:szCs w:val="24"/>
                <w:color w:val="auto"/>
              </w:rPr>
            </w:pPr>
          </w:p>
        </w:tc>
        <w:tc>
          <w:tcPr>
            <w:tcW w:w="4380" w:type="dxa"/>
            <w:vAlign w:val="bottom"/>
          </w:tcPr>
          <w:p>
            <w:pPr>
              <w:jc w:val="right"/>
              <w:ind w:right="2214"/>
              <w:spacing w:after="0"/>
              <w:rPr>
                <w:sz w:val="20"/>
                <w:szCs w:val="20"/>
                <w:color w:val="auto"/>
              </w:rPr>
            </w:pPr>
            <w:r>
              <w:rPr>
                <w:rFonts w:ascii="Times New Roman" w:cs="Times New Roman" w:eastAsia="Times New Roman" w:hAnsi="Times New Roman"/>
                <w:sz w:val="17"/>
                <w:szCs w:val="17"/>
                <w:color w:val="auto"/>
              </w:rPr>
              <w:t>15</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08"/>
        </w:trPr>
        <w:tc>
          <w:tcPr>
            <w:tcW w:w="3620" w:type="dxa"/>
            <w:vAlign w:val="bottom"/>
            <w:tcBorders>
              <w:bottom w:val="single" w:sz="8" w:color="9A9A9A"/>
            </w:tcBorders>
          </w:tcPr>
          <w:p>
            <w:pPr>
              <w:spacing w:after="0"/>
              <w:rPr>
                <w:sz w:val="9"/>
                <w:szCs w:val="9"/>
                <w:color w:val="auto"/>
              </w:rPr>
            </w:pPr>
          </w:p>
        </w:tc>
        <w:tc>
          <w:tcPr>
            <w:tcW w:w="438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Units</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summary of restricted stock unit ("RSU") activity for the three months ended March 31, 2025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160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3"/>
                <w:szCs w:val="13"/>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Weighted-Average Grant</w:t>
            </w:r>
          </w:p>
        </w:tc>
        <w:tc>
          <w:tcPr>
            <w:tcW w:w="0" w:type="dxa"/>
            <w:vAlign w:val="bottom"/>
          </w:tcPr>
          <w:p>
            <w:pPr>
              <w:spacing w:after="0"/>
              <w:rPr>
                <w:sz w:val="1"/>
                <w:szCs w:val="1"/>
                <w:color w:val="auto"/>
              </w:rPr>
            </w:pPr>
          </w:p>
        </w:tc>
      </w:tr>
      <w:tr>
        <w:trPr>
          <w:trHeight w:val="187"/>
        </w:trPr>
        <w:tc>
          <w:tcPr>
            <w:tcW w:w="794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86"/>
        </w:trPr>
        <w:tc>
          <w:tcPr>
            <w:tcW w:w="7940" w:type="dxa"/>
            <w:vAlign w:val="bottom"/>
          </w:tcPr>
          <w:p>
            <w:pPr>
              <w:spacing w:after="0"/>
              <w:rPr>
                <w:sz w:val="16"/>
                <w:szCs w:val="16"/>
                <w:color w:val="auto"/>
              </w:rPr>
            </w:pPr>
          </w:p>
        </w:tc>
        <w:tc>
          <w:tcPr>
            <w:tcW w:w="16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units outstanding at December 31, 2024</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11,809</w:t>
            </w:r>
          </w:p>
        </w:tc>
        <w:tc>
          <w:tcPr>
            <w:tcW w:w="34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10.69</w:t>
            </w:r>
          </w:p>
        </w:tc>
        <w:tc>
          <w:tcPr>
            <w:tcW w:w="0" w:type="dxa"/>
            <w:vAlign w:val="bottom"/>
          </w:tcPr>
          <w:p>
            <w:pPr>
              <w:spacing w:after="0"/>
              <w:rPr>
                <w:sz w:val="1"/>
                <w:szCs w:val="1"/>
                <w:color w:val="auto"/>
              </w:rPr>
            </w:pPr>
          </w:p>
        </w:tc>
      </w:tr>
      <w:tr>
        <w:trPr>
          <w:trHeight w:val="219"/>
        </w:trPr>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3,820</w:t>
            </w:r>
          </w:p>
        </w:tc>
        <w:tc>
          <w:tcPr>
            <w:tcW w:w="340" w:type="dxa"/>
            <w:vAlign w:val="bottom"/>
            <w:gridSpan w:val="2"/>
          </w:tcPr>
          <w:p>
            <w:pPr>
              <w:jc w:val="right"/>
              <w:ind w:right="51"/>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16.21</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Canceled</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34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w:t>
            </w:r>
          </w:p>
        </w:tc>
        <w:tc>
          <w:tcPr>
            <w:tcW w:w="0" w:type="dxa"/>
            <w:vAlign w:val="bottom"/>
          </w:tcPr>
          <w:p>
            <w:pPr>
              <w:spacing w:after="0"/>
              <w:rPr>
                <w:sz w:val="1"/>
                <w:szCs w:val="1"/>
                <w:color w:val="auto"/>
              </w:rPr>
            </w:pPr>
          </w:p>
        </w:tc>
      </w:tr>
      <w:tr>
        <w:trPr>
          <w:trHeight w:val="219"/>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Vested and released</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(2,414)</w:t>
            </w:r>
          </w:p>
        </w:tc>
        <w:tc>
          <w:tcPr>
            <w:tcW w:w="340" w:type="dxa"/>
            <w:vAlign w:val="bottom"/>
            <w:tcBorders>
              <w:bottom w:val="single" w:sz="8" w:color="CCEEFF"/>
            </w:tcBorders>
            <w:gridSpan w:val="2"/>
          </w:tcPr>
          <w:p>
            <w:pPr>
              <w:jc w:val="right"/>
              <w:ind w:right="51"/>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10.90</w:t>
            </w:r>
          </w:p>
        </w:tc>
        <w:tc>
          <w:tcPr>
            <w:tcW w:w="0" w:type="dxa"/>
            <w:vAlign w:val="bottom"/>
          </w:tcPr>
          <w:p>
            <w:pPr>
              <w:spacing w:after="0"/>
              <w:rPr>
                <w:sz w:val="1"/>
                <w:szCs w:val="1"/>
                <w:color w:val="auto"/>
              </w:rPr>
            </w:pPr>
          </w:p>
        </w:tc>
      </w:tr>
      <w:tr>
        <w:trPr>
          <w:trHeight w:val="23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units outstanding and unvested at March 31, 2025</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12,970</w:t>
            </w:r>
          </w:p>
        </w:tc>
        <w:tc>
          <w:tcPr>
            <w:tcW w:w="340" w:type="dxa"/>
            <w:vAlign w:val="bottom"/>
            <w:tcBorders>
              <w:bottom w:val="single" w:sz="8" w:color="CCEEFF"/>
            </w:tcBorders>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12.28</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right="100" w:firstLine="619"/>
        <w:spacing w:after="0" w:line="287" w:lineRule="auto"/>
        <w:rPr>
          <w:sz w:val="20"/>
          <w:szCs w:val="20"/>
          <w:color w:val="auto"/>
        </w:rPr>
      </w:pPr>
      <w:r>
        <w:rPr>
          <w:rFonts w:ascii="Times New Roman" w:cs="Times New Roman" w:eastAsia="Times New Roman" w:hAnsi="Times New Roman"/>
          <w:sz w:val="17"/>
          <w:szCs w:val="17"/>
          <w:color w:val="auto"/>
        </w:rPr>
        <w:t>The weighted-average grant date fair value per share of restricted stock units granted during the three months ended March 31, 2025 and March 31, 2024 was $16.21 and $9.20, respectively.</w:t>
      </w:r>
    </w:p>
    <w:p>
      <w:pPr>
        <w:spacing w:after="0" w:line="35"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The fair value of restricted stock units that vested and were released during the three months ended March 31, 2025 and March 31, 2024 was $48.1 million and $23.2 million, respectively, based on their respective vesting dates. At March 31, 2025, the intrinsic value of unvested restricted stock units was $148.0 million. At March 31, 2025, the Company had unrecognized stock-based compensation expense relating to unvested restricted stock units of approximately $144.9 million, which is expected to be recognized over a weighted-average period of 2.7 years.</w:t>
      </w:r>
    </w:p>
    <w:p>
      <w:pPr>
        <w:spacing w:after="0" w:line="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Performance Stock Units</w:t>
      </w:r>
    </w:p>
    <w:p>
      <w:pPr>
        <w:spacing w:after="0" w:line="94"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The Company grants performance stock units ("PSU") to select executive employees that vest based on share price metrics tied to total shareholder return relative ("TSR") to a peer group, subject to a time-based service component. Between 0% and 150% of the performance stock units will vest at the end of the performance period, which is generally on the third anniversary of the PSU grant date.</w:t>
      </w:r>
    </w:p>
    <w:p>
      <w:pPr>
        <w:spacing w:after="0" w:line="49" w:lineRule="exact"/>
        <w:rPr>
          <w:sz w:val="20"/>
          <w:szCs w:val="20"/>
          <w:color w:val="auto"/>
        </w:rPr>
      </w:pPr>
    </w:p>
    <w:p>
      <w:pPr>
        <w:ind w:right="400" w:firstLine="619"/>
        <w:spacing w:after="0" w:line="287" w:lineRule="auto"/>
        <w:rPr>
          <w:sz w:val="20"/>
          <w:szCs w:val="20"/>
          <w:color w:val="auto"/>
        </w:rPr>
      </w:pPr>
      <w:r>
        <w:rPr>
          <w:rFonts w:ascii="Times New Roman" w:cs="Times New Roman" w:eastAsia="Times New Roman" w:hAnsi="Times New Roman"/>
          <w:sz w:val="17"/>
          <w:szCs w:val="17"/>
          <w:color w:val="auto"/>
        </w:rPr>
        <w:t>Stock-based compensation expense for PSUs is based on the grant date fair value and the number of shares assuming a performance measurement of 100%. The compensation expense will not be reversed if the performance metrics are not met.</w:t>
      </w:r>
    </w:p>
    <w:p>
      <w:pPr>
        <w:spacing w:after="0" w:line="35" w:lineRule="exact"/>
        <w:rPr>
          <w:sz w:val="20"/>
          <w:szCs w:val="20"/>
          <w:color w:val="auto"/>
        </w:rPr>
      </w:pPr>
    </w:p>
    <w:p>
      <w:pPr>
        <w:ind w:right="60" w:firstLine="619"/>
        <w:spacing w:after="0" w:line="264" w:lineRule="auto"/>
        <w:rPr>
          <w:sz w:val="20"/>
          <w:szCs w:val="20"/>
          <w:color w:val="auto"/>
        </w:rPr>
      </w:pPr>
      <w:r>
        <w:rPr>
          <w:rFonts w:ascii="Times New Roman" w:cs="Times New Roman" w:eastAsia="Times New Roman" w:hAnsi="Times New Roman"/>
          <w:sz w:val="17"/>
          <w:szCs w:val="17"/>
          <w:color w:val="auto"/>
        </w:rPr>
        <w:t>During the three months ended March 31, 2025, the Company granted PSUs with an aggregate target of 346,287 shares, assuming a performance measurement of 100%. The amount of shares that will ultimately vest will be determined based on the Company's TSR relative to the TSRs of a peer group for the three year-period beginning January 1, 2025, as well as certain interim measurements based on relative TSR for the one-year and two-year periods beginning on January 1, 2025.</w:t>
      </w:r>
    </w:p>
    <w:p>
      <w:pPr>
        <w:spacing w:after="0" w:line="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summary of PSU activity for the three months ended March 31, 2025 is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158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3"/>
                <w:szCs w:val="13"/>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Weighted-Average Grant</w:t>
            </w:r>
          </w:p>
        </w:tc>
        <w:tc>
          <w:tcPr>
            <w:tcW w:w="0" w:type="dxa"/>
            <w:vAlign w:val="bottom"/>
          </w:tcPr>
          <w:p>
            <w:pPr>
              <w:spacing w:after="0"/>
              <w:rPr>
                <w:sz w:val="1"/>
                <w:szCs w:val="1"/>
                <w:color w:val="auto"/>
              </w:rPr>
            </w:pPr>
          </w:p>
        </w:tc>
      </w:tr>
      <w:tr>
        <w:trPr>
          <w:trHeight w:val="187"/>
        </w:trPr>
        <w:tc>
          <w:tcPr>
            <w:tcW w:w="7980" w:type="dxa"/>
            <w:vAlign w:val="bottom"/>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86"/>
        </w:trPr>
        <w:tc>
          <w:tcPr>
            <w:tcW w:w="7980" w:type="dxa"/>
            <w:vAlign w:val="bottom"/>
          </w:tcPr>
          <w:p>
            <w:pPr>
              <w:spacing w:after="0"/>
              <w:rPr>
                <w:sz w:val="16"/>
                <w:szCs w:val="16"/>
                <w:color w:val="auto"/>
              </w:rPr>
            </w:pPr>
          </w:p>
        </w:tc>
        <w:tc>
          <w:tcPr>
            <w:tcW w:w="158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2024</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1,427</w:t>
            </w:r>
          </w:p>
        </w:tc>
        <w:tc>
          <w:tcPr>
            <w:tcW w:w="32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15.35</w:t>
            </w:r>
          </w:p>
        </w:tc>
        <w:tc>
          <w:tcPr>
            <w:tcW w:w="0" w:type="dxa"/>
            <w:vAlign w:val="bottom"/>
          </w:tcPr>
          <w:p>
            <w:pPr>
              <w:spacing w:after="0"/>
              <w:rPr>
                <w:sz w:val="1"/>
                <w:szCs w:val="1"/>
                <w:color w:val="auto"/>
              </w:rPr>
            </w:pPr>
          </w:p>
        </w:tc>
      </w:tr>
      <w:tr>
        <w:trPr>
          <w:trHeight w:val="21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 *</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320" w:type="dxa"/>
            <w:vAlign w:val="bottom"/>
            <w:gridSpan w:val="2"/>
          </w:tcPr>
          <w:p>
            <w:pPr>
              <w:jc w:val="right"/>
              <w:ind w:right="51"/>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20.72</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32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17.28</w:t>
            </w:r>
          </w:p>
        </w:tc>
        <w:tc>
          <w:tcPr>
            <w:tcW w:w="0" w:type="dxa"/>
            <w:vAlign w:val="bottom"/>
          </w:tcPr>
          <w:p>
            <w:pPr>
              <w:spacing w:after="0"/>
              <w:rPr>
                <w:sz w:val="1"/>
                <w:szCs w:val="1"/>
                <w:color w:val="auto"/>
              </w:rPr>
            </w:pPr>
          </w:p>
        </w:tc>
      </w:tr>
      <w:tr>
        <w:trPr>
          <w:trHeight w:val="212"/>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at March 31, 2025</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1,687</w:t>
            </w:r>
          </w:p>
        </w:tc>
        <w:tc>
          <w:tcPr>
            <w:tcW w:w="320" w:type="dxa"/>
            <w:vAlign w:val="bottom"/>
            <w:gridSpan w:val="2"/>
          </w:tcPr>
          <w:p>
            <w:pPr>
              <w:jc w:val="right"/>
              <w:ind w:right="51"/>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138670" cy="229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670" cy="229235"/>
                    </a:xfrm>
                    <a:prstGeom prst="rect">
                      <a:avLst/>
                    </a:prstGeom>
                    <a:noFill/>
                  </pic:spPr>
                </pic:pic>
              </a:graphicData>
            </a:graphic>
          </wp:anchor>
        </w:drawing>
      </w:r>
    </w:p>
    <w:p>
      <w:pPr>
        <w:ind w:left="20" w:right="220"/>
        <w:spacing w:after="0" w:line="253" w:lineRule="auto"/>
        <w:tabs>
          <w:tab w:leader="none" w:pos="136"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PSUs granted and weighted-average grant date fair value include 22 shares issued above the target shares for a PSU that vested and was released during the three months ended March 31, 2025.</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The grant date fair value for the PSUs was estimated using a Monte-Carlo simulation model. The grant date fair value of PSUs granted during the three months ended March 31, 2025 and March 31, 2024 was $20.93 and $11.76, respectively, per share. The weighted-average input assumptions used by the Company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40" w:type="dxa"/>
            <w:vAlign w:val="bottom"/>
          </w:tcPr>
          <w:p>
            <w:pPr>
              <w:spacing w:after="0"/>
              <w:rPr>
                <w:sz w:val="15"/>
                <w:szCs w:val="15"/>
                <w:color w:val="auto"/>
              </w:rPr>
            </w:pPr>
          </w:p>
        </w:tc>
        <w:tc>
          <w:tcPr>
            <w:tcW w:w="3500" w:type="dxa"/>
            <w:vAlign w:val="bottom"/>
            <w:gridSpan w:val="3"/>
          </w:tcPr>
          <w:p>
            <w:pPr>
              <w:jc w:val="right"/>
              <w:ind w:right="103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2"/>
        </w:trPr>
        <w:tc>
          <w:tcPr>
            <w:tcW w:w="7740" w:type="dxa"/>
            <w:vAlign w:val="bottom"/>
          </w:tcPr>
          <w:p>
            <w:pPr>
              <w:spacing w:after="0" w:line="20" w:lineRule="exact"/>
              <w:rPr>
                <w:sz w:val="1"/>
                <w:szCs w:val="1"/>
                <w:color w:val="auto"/>
              </w:rPr>
            </w:pPr>
          </w:p>
        </w:tc>
        <w:tc>
          <w:tcPr>
            <w:tcW w:w="1800" w:type="dxa"/>
            <w:vAlign w:val="bottom"/>
            <w:tcBorders>
              <w:bottom w:val="single" w:sz="8" w:color="auto"/>
            </w:tcBorders>
            <w:gridSpan w:val="2"/>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81"/>
        </w:trPr>
        <w:tc>
          <w:tcPr>
            <w:tcW w:w="7740" w:type="dxa"/>
            <w:vAlign w:val="bottom"/>
          </w:tcPr>
          <w:p>
            <w:pPr>
              <w:spacing w:after="0"/>
              <w:rPr>
                <w:sz w:val="15"/>
                <w:szCs w:val="15"/>
                <w:color w:val="auto"/>
              </w:rPr>
            </w:pPr>
          </w:p>
        </w:tc>
        <w:tc>
          <w:tcPr>
            <w:tcW w:w="18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70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18"/>
        </w:trPr>
        <w:tc>
          <w:tcPr>
            <w:tcW w:w="7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Performance period (in years)</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19"/>
        </w:trPr>
        <w:tc>
          <w:tcPr>
            <w:tcW w:w="7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4.05 %</w:t>
            </w:r>
          </w:p>
        </w:tc>
      </w:tr>
      <w:tr>
        <w:trPr>
          <w:trHeight w:val="21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 of Magnite</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87 %</w:t>
            </w:r>
          </w:p>
        </w:tc>
      </w:tr>
      <w:tr>
        <w:trPr>
          <w:trHeight w:val="219"/>
        </w:trPr>
        <w:tc>
          <w:tcPr>
            <w:tcW w:w="7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volatility of selected peer companies</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55 %</w:t>
            </w:r>
          </w:p>
        </w:tc>
      </w:tr>
      <w:tr>
        <w:trPr>
          <w:trHeight w:val="21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correlation coefficients of Magnite</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0.57</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0.59</w:t>
            </w:r>
          </w:p>
        </w:tc>
      </w:tr>
      <w:tr>
        <w:trPr>
          <w:trHeight w:val="219"/>
        </w:trPr>
        <w:tc>
          <w:tcPr>
            <w:tcW w:w="7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correlation coefficients of selected peer companies</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0.47</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0.47</w:t>
            </w:r>
          </w:p>
        </w:tc>
      </w:tr>
      <w:tr>
        <w:trPr>
          <w:trHeight w:val="21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bl>
    <w:p>
      <w:pPr>
        <w:spacing w:after="0" w:line="164" w:lineRule="exact"/>
        <w:rPr>
          <w:sz w:val="20"/>
          <w:szCs w:val="20"/>
          <w:color w:val="auto"/>
        </w:rPr>
      </w:pPr>
    </w:p>
    <w:p>
      <w:pPr>
        <w:ind w:right="60" w:firstLine="619"/>
        <w:spacing w:after="0" w:line="264" w:lineRule="auto"/>
        <w:rPr>
          <w:sz w:val="20"/>
          <w:szCs w:val="20"/>
          <w:color w:val="auto"/>
        </w:rPr>
      </w:pPr>
      <w:r>
        <w:rPr>
          <w:rFonts w:ascii="Times New Roman" w:cs="Times New Roman" w:eastAsia="Times New Roman" w:hAnsi="Times New Roman"/>
          <w:sz w:val="17"/>
          <w:szCs w:val="17"/>
          <w:color w:val="auto"/>
        </w:rPr>
        <w:t>During the three months ended March 31, 2025 the fair value of PSUs that vested and were released was $1.9 million, based on their respective vesting dates. At March 31, 2025, the intrinsic value of unvested performance stock units based on expected achievement levels was $19.2 million. As of March 31, 2025, the Company had unrecognized stock-based compensation expense relating to unvested PSUs of approximately $12.7 million, which will be recognized over a weighted-average period of 1.6 years.</w:t>
      </w:r>
    </w:p>
    <w:p>
      <w:pPr>
        <w:spacing w:after="0" w:line="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 Expense</w:t>
      </w:r>
    </w:p>
    <w:p>
      <w:pPr>
        <w:spacing w:after="0" w:line="1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Total stock-based compensation expense recorded in the condensed consolidated statements of operations was as follows:</w:t>
      </w:r>
    </w:p>
    <w:p>
      <w:pPr>
        <w:spacing w:after="0" w:line="132" w:lineRule="exact"/>
        <w:rPr>
          <w:sz w:val="20"/>
          <w:szCs w:val="20"/>
          <w:color w:val="auto"/>
        </w:rPr>
      </w:pPr>
    </w:p>
    <w:tbl>
      <w:tblPr>
        <w:tblLayout w:type="fixed"/>
        <w:tblInd w:w="140" w:type="dxa"/>
        <w:tblCellMar>
          <w:top w:w="0" w:type="dxa"/>
          <w:left w:w="0" w:type="dxa"/>
          <w:bottom w:w="0" w:type="dxa"/>
          <w:right w:w="0" w:type="dxa"/>
        </w:tblCellMar>
      </w:tblPr>
      <w:tr>
        <w:trPr>
          <w:trHeight w:val="182"/>
        </w:trPr>
        <w:tc>
          <w:tcPr>
            <w:tcW w:w="7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40" w:type="dxa"/>
            <w:vAlign w:val="bottom"/>
            <w:gridSpan w:val="4"/>
          </w:tcPr>
          <w:p>
            <w:pPr>
              <w:jc w:val="right"/>
              <w:ind w:right="937"/>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2"/>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1"/>
        </w:trPr>
        <w:tc>
          <w:tcPr>
            <w:tcW w:w="7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186"/>
        </w:trPr>
        <w:tc>
          <w:tcPr>
            <w:tcW w:w="7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40" w:type="dxa"/>
            <w:vAlign w:val="bottom"/>
            <w:gridSpan w:val="4"/>
          </w:tcPr>
          <w:p>
            <w:pPr>
              <w:jc w:val="right"/>
              <w:ind w:right="1137"/>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5"/>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19"/>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8,236</w:t>
            </w:r>
          </w:p>
        </w:tc>
      </w:tr>
      <w:tr>
        <w:trPr>
          <w:trHeight w:val="21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Technology and development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5,416</w:t>
            </w:r>
          </w:p>
        </w:tc>
      </w:tr>
      <w:tr>
        <w:trPr>
          <w:trHeight w:val="219"/>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6,858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6,679</w:t>
            </w:r>
          </w:p>
        </w:tc>
      </w:tr>
      <w:tr>
        <w:trPr>
          <w:trHeight w:val="237"/>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21,209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20,831</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right="40" w:firstLine="580"/>
        <w:spacing w:after="0" w:line="271" w:lineRule="auto"/>
        <w:rPr>
          <w:sz w:val="20"/>
          <w:szCs w:val="20"/>
          <w:color w:val="auto"/>
        </w:rPr>
      </w:pPr>
      <w:r>
        <w:rPr>
          <w:rFonts w:ascii="Times New Roman" w:cs="Times New Roman" w:eastAsia="Times New Roman" w:hAnsi="Times New Roman"/>
          <w:sz w:val="17"/>
          <w:szCs w:val="17"/>
          <w:color w:val="auto"/>
        </w:rPr>
        <w:t>As of March 31, 2025, an aggregate of 15,666,744 shares remained available for future grants under the Magnite, Inc. Amended and Restated 2014 Equity Incentive Plan (the "Amended and Restated 2014 Equity Incentive Plan").</w:t>
      </w:r>
    </w:p>
    <w:p>
      <w:pPr>
        <w:spacing w:after="0" w:line="23" w:lineRule="exact"/>
        <w:rPr>
          <w:sz w:val="20"/>
          <w:szCs w:val="20"/>
          <w:color w:val="auto"/>
        </w:rPr>
      </w:pPr>
    </w:p>
    <w:p>
      <w:pPr>
        <w:ind w:right="20" w:firstLine="619"/>
        <w:spacing w:after="0" w:line="271" w:lineRule="auto"/>
        <w:rPr>
          <w:sz w:val="20"/>
          <w:szCs w:val="20"/>
          <w:color w:val="auto"/>
        </w:rPr>
      </w:pPr>
      <w:r>
        <w:rPr>
          <w:rFonts w:ascii="Times New Roman" w:cs="Times New Roman" w:eastAsia="Times New Roman" w:hAnsi="Times New Roman"/>
          <w:sz w:val="17"/>
          <w:szCs w:val="17"/>
          <w:color w:val="auto"/>
        </w:rPr>
        <w:t>As of March 31, 2025, the Company has reserved 4,267,918 shares of its common stock for issuance under the Magnite, Inc. Amended and Restated 2014 Employee Stock Purchase Plan (the "Amended and Restated 2014 Employee Stock Purchase Plan").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9—Income Taxes</w:t>
      </w:r>
    </w:p>
    <w:p>
      <w:pPr>
        <w:spacing w:after="0" w:line="92" w:lineRule="exact"/>
        <w:rPr>
          <w:sz w:val="20"/>
          <w:szCs w:val="20"/>
          <w:color w:val="auto"/>
        </w:rPr>
      </w:pPr>
    </w:p>
    <w:p>
      <w:pPr>
        <w:ind w:right="100" w:firstLine="619"/>
        <w:spacing w:after="0" w:line="270" w:lineRule="auto"/>
        <w:rPr>
          <w:sz w:val="20"/>
          <w:szCs w:val="20"/>
          <w:color w:val="auto"/>
        </w:rPr>
      </w:pPr>
      <w:r>
        <w:rPr>
          <w:rFonts w:ascii="Times New Roman" w:cs="Times New Roman" w:eastAsia="Times New Roman" w:hAnsi="Times New Roman"/>
          <w:sz w:val="17"/>
          <w:szCs w:val="17"/>
          <w:color w:val="auto"/>
        </w:rPr>
        <w:t>In determining quarterly provisions for income taxes, the Company uses the annual estimated effective tax rate applied to the actual year-to-date income. The Company's annual estimated effective tax rate differs from the statutory rate primarily as a result of state taxes, foreign taxes, deductible stock option expenses, nondeductible executive compensation, and changes in the Company's valuation allowance.</w:t>
      </w:r>
    </w:p>
    <w:p>
      <w:pPr>
        <w:spacing w:after="0" w:line="36" w:lineRule="exact"/>
        <w:rPr>
          <w:sz w:val="20"/>
          <w:szCs w:val="20"/>
          <w:color w:val="auto"/>
        </w:rPr>
      </w:pPr>
    </w:p>
    <w:p>
      <w:pPr>
        <w:ind w:right="60" w:firstLine="619"/>
        <w:spacing w:after="0" w:line="245" w:lineRule="auto"/>
        <w:rPr>
          <w:sz w:val="20"/>
          <w:szCs w:val="20"/>
          <w:color w:val="auto"/>
        </w:rPr>
      </w:pPr>
      <w:r>
        <w:rPr>
          <w:rFonts w:ascii="Times New Roman" w:cs="Times New Roman" w:eastAsia="Times New Roman" w:hAnsi="Times New Roman"/>
          <w:sz w:val="17"/>
          <w:szCs w:val="17"/>
          <w:color w:val="auto"/>
        </w:rPr>
        <w:t>The Company recorded an income tax benefit of $0.9 million for the three months ended March 31, 2025, and an income tax benefit of $7.8 million for the three months ended March 31, 2024. The tax benefit for the three months ended March 31, 2025 was primarily the result of the Company's ability to recognize deferred tax assets ("DTAs") subject to the domestic valuation allowance and the federal, state, and foreign income tax provisions. The tax benefit for the three months ended March 31, 2024 was primarily the result of the Company's ability to recognize DTAs subject to the domestic valuation allowance, Base Erosion and Anti-Abuse Tax ("BEAT"), and the foreign income tax provision. The Company continues to maintain a partial valuation allowance for the domestic DTAs.</w:t>
      </w:r>
    </w:p>
    <w:p>
      <w:pPr>
        <w:spacing w:after="0" w:line="59" w:lineRule="exact"/>
        <w:rPr>
          <w:sz w:val="20"/>
          <w:szCs w:val="20"/>
          <w:color w:val="auto"/>
        </w:rPr>
      </w:pPr>
    </w:p>
    <w:p>
      <w:pPr>
        <w:ind w:right="100" w:firstLine="619"/>
        <w:spacing w:after="0" w:line="260" w:lineRule="auto"/>
        <w:rPr>
          <w:sz w:val="20"/>
          <w:szCs w:val="20"/>
          <w:color w:val="auto"/>
        </w:rPr>
      </w:pPr>
      <w:r>
        <w:rPr>
          <w:rFonts w:ascii="Times New Roman" w:cs="Times New Roman" w:eastAsia="Times New Roman" w:hAnsi="Times New Roman"/>
          <w:sz w:val="17"/>
          <w:szCs w:val="17"/>
          <w:color w:val="auto"/>
        </w:rPr>
        <w:t>Due to uncertainty as to the realization of benefits from the Company's domestic and certain international DTAs, including net operating loss carryforwards and research and development tax credits, the Company has a partial valuation allowance reserved against such assets. The Company intends to continue to maintain a partial valuation allowance on the DTAs until there is sufficient evidence to support the reversal of all or some additional portion of these allowances. Given the Company's current earnings and anticipated future earnings, the Company believes that there is a reasonable possibility that within the next twelve months, sufficient positive evidence may become available to allow the Company to reach a conclusion that all or a significant portion of the valuation allowance will no longer be needed.</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160" w:firstLine="619"/>
        <w:spacing w:after="0" w:line="261" w:lineRule="auto"/>
        <w:rPr>
          <w:sz w:val="20"/>
          <w:szCs w:val="20"/>
          <w:color w:val="auto"/>
        </w:rPr>
      </w:pPr>
      <w:r>
        <w:rPr>
          <w:rFonts w:ascii="Times New Roman" w:cs="Times New Roman" w:eastAsia="Times New Roman" w:hAnsi="Times New Roman"/>
          <w:sz w:val="17"/>
          <w:szCs w:val="17"/>
          <w:color w:val="auto"/>
        </w:rPr>
        <w:t>Due to the net operating loss carryforwards, all of the Company's United States federal and a majority of its state returns are open to examination by the Internal Revenue Service and state jurisdictions for all years since inception. For the Netherlands, India, Sweden, and the United Kingdom, all tax years remain open for examination by the local country tax authorities, for France, only 2022 and forward are open, for Australia and Singapore, only 2021 and forward are open for examination, for Brazil, Canada, Germany, and Malaysia, only 2020 and forward are open for examination, for Italy and New Zealand, only 2019 and forward are open for examination, and for Japan, only 2018 and forward remain open for examination.</w:t>
      </w:r>
    </w:p>
    <w:p>
      <w:pPr>
        <w:spacing w:after="0" w:line="46" w:lineRule="exact"/>
        <w:rPr>
          <w:sz w:val="20"/>
          <w:szCs w:val="20"/>
          <w:color w:val="auto"/>
        </w:rPr>
      </w:pPr>
    </w:p>
    <w:p>
      <w:pPr>
        <w:ind w:right="20" w:firstLine="619"/>
        <w:spacing w:after="0" w:line="260" w:lineRule="auto"/>
        <w:rPr>
          <w:sz w:val="20"/>
          <w:szCs w:val="20"/>
          <w:color w:val="auto"/>
        </w:rPr>
      </w:pPr>
      <w:r>
        <w:rPr>
          <w:rFonts w:ascii="Times New Roman" w:cs="Times New Roman" w:eastAsia="Times New Roman" w:hAnsi="Times New Roman"/>
          <w:sz w:val="17"/>
          <w:szCs w:val="17"/>
          <w:color w:val="auto"/>
        </w:rPr>
        <w:t>Pursuant to Section 382 of the Internal Revenue Code, the Company and Telaria, Inc. both underwent ownership changes for tax purposes (i.e. a more than 50% change in stock ownership in aggregated 5% shareholders) on April 1, 2020 due to the merger with Telaria Inc. As a result, the use of the Company's total domestic NOL carryforwards and tax credits generated prior to the ownership change will be subject to annual use limitations under Section 382 and Section 383 of the Code and comparable state income tax laws. The Company believes that the ownership change will not impact its ability to utilize substantially all of its NOLs and state research and development carryforward tax credits to the extent it will generate taxable income that can be offset by such losses. The Company reasonably expects some of its federal research and development carryforward tax credits will not be recovered prior to expiration.</w:t>
      </w:r>
    </w:p>
    <w:p>
      <w:pPr>
        <w:spacing w:after="0" w:line="5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There was no material change to the Company's unrecognized tax benefits in the three months ended March 31, 2025 and the Company does not expect to have any material changes to unrecognized tax benefits through the end of the fiscal year.</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10—Lease Obligations</w:t>
      </w:r>
    </w:p>
    <w:p>
      <w:pPr>
        <w:spacing w:after="0" w:line="195" w:lineRule="exact"/>
        <w:rPr>
          <w:sz w:val="20"/>
          <w:szCs w:val="20"/>
          <w:color w:val="auto"/>
        </w:rPr>
      </w:pPr>
    </w:p>
    <w:p>
      <w:pPr>
        <w:ind w:right="80" w:firstLine="619"/>
        <w:spacing w:after="0" w:line="261" w:lineRule="auto"/>
        <w:rPr>
          <w:sz w:val="20"/>
          <w:szCs w:val="20"/>
          <w:color w:val="auto"/>
        </w:rPr>
      </w:pPr>
      <w:r>
        <w:rPr>
          <w:rFonts w:ascii="Times New Roman" w:cs="Times New Roman" w:eastAsia="Times New Roman" w:hAnsi="Times New Roman"/>
          <w:sz w:val="17"/>
          <w:szCs w:val="17"/>
          <w:color w:val="auto"/>
        </w:rPr>
        <w:t>The Company has operating leases for office facilities and data centers. The lease terms of the Company’s operating leases generally range from 1.0 year to 10.0 years. The Company's lease terms include periods under options to extend or terminate the lease when it is reasonably certain that the Company will exercise that option. The weighted average remaining lease term of leases included in lease liabilities is 4.7 years and 4.6 years as of March 31, 2025 and December 31, 2024, respectively. As of March 31, 2025 and December 31, 2024, a weighted average discount rate of 6.12% has been applied to the remaining lease payments to calculate the lease liabilities included within the condensed consolidated balance sheet.</w:t>
      </w:r>
    </w:p>
    <w:p>
      <w:pPr>
        <w:spacing w:after="0" w:line="46" w:lineRule="exact"/>
        <w:rPr>
          <w:sz w:val="20"/>
          <w:szCs w:val="20"/>
          <w:color w:val="auto"/>
        </w:rPr>
      </w:pPr>
    </w:p>
    <w:p>
      <w:pPr>
        <w:ind w:right="100" w:firstLine="619"/>
        <w:spacing w:after="0" w:line="287" w:lineRule="auto"/>
        <w:rPr>
          <w:sz w:val="20"/>
          <w:szCs w:val="20"/>
          <w:color w:val="auto"/>
        </w:rPr>
      </w:pPr>
      <w:r>
        <w:rPr>
          <w:rFonts w:ascii="Times New Roman" w:cs="Times New Roman" w:eastAsia="Times New Roman" w:hAnsi="Times New Roman"/>
          <w:sz w:val="17"/>
          <w:szCs w:val="17"/>
          <w:color w:val="auto"/>
        </w:rPr>
        <w:t>Operating lease expense was $5.1 million and $5.7 million for the three months ended March 31, 2025 and 2024, respectively. The Company recognized variable lease expense of $0.9 million for the three months ended March 31, 2025 and 2024.</w:t>
      </w:r>
    </w:p>
    <w:p>
      <w:pPr>
        <w:spacing w:after="0" w:line="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Cash paid for amounts included in lease liabilities was $4.9 million and $6.3 million for the three months ended March 31, 2025 and 2024, respectively.</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260" w:firstLine="619"/>
        <w:spacing w:after="0" w:line="287" w:lineRule="auto"/>
        <w:rPr>
          <w:sz w:val="20"/>
          <w:szCs w:val="20"/>
          <w:color w:val="auto"/>
        </w:rPr>
      </w:pPr>
      <w:r>
        <w:rPr>
          <w:rFonts w:ascii="Times New Roman" w:cs="Times New Roman" w:eastAsia="Times New Roman" w:hAnsi="Times New Roman"/>
          <w:sz w:val="17"/>
          <w:szCs w:val="17"/>
          <w:color w:val="auto"/>
        </w:rPr>
        <w:t>The maturity of the Company's lease liabilities associated with leases included in the lease liabilities and right-of-use ("ROU") assets were as follows as of March 31, 2025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Fiscal Year</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2"/>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Remaining 2025</w:t>
            </w: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14,868</w:t>
            </w:r>
          </w:p>
        </w:tc>
      </w:tr>
      <w:tr>
        <w:trPr>
          <w:trHeight w:val="219"/>
        </w:trPr>
        <w:tc>
          <w:tcPr>
            <w:tcW w:w="9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15,700</w:t>
            </w:r>
          </w:p>
        </w:tc>
      </w:tr>
      <w:tr>
        <w:trPr>
          <w:trHeight w:val="219"/>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11,505</w:t>
            </w:r>
          </w:p>
        </w:tc>
      </w:tr>
      <w:tr>
        <w:trPr>
          <w:trHeight w:val="219"/>
        </w:trPr>
        <w:tc>
          <w:tcPr>
            <w:tcW w:w="9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9,435</w:t>
            </w:r>
          </w:p>
        </w:tc>
      </w:tr>
      <w:tr>
        <w:trPr>
          <w:trHeight w:val="219"/>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9,333</w:t>
            </w:r>
          </w:p>
        </w:tc>
      </w:tr>
      <w:tr>
        <w:trPr>
          <w:trHeight w:val="219"/>
        </w:trPr>
        <w:tc>
          <w:tcPr>
            <w:tcW w:w="9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7,972</w:t>
            </w:r>
          </w:p>
        </w:tc>
      </w:tr>
      <w:tr>
        <w:trPr>
          <w:trHeight w:val="212"/>
        </w:trPr>
        <w:tc>
          <w:tcPr>
            <w:tcW w:w="9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lease payments (undiscounted)</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68,813</w:t>
            </w:r>
          </w:p>
        </w:tc>
      </w:tr>
      <w:tr>
        <w:trPr>
          <w:trHeight w:val="219"/>
        </w:trPr>
        <w:tc>
          <w:tcPr>
            <w:tcW w:w="9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(8,825)</w:t>
            </w:r>
          </w:p>
        </w:tc>
      </w:tr>
      <w:tr>
        <w:trPr>
          <w:trHeight w:val="237"/>
        </w:trPr>
        <w:tc>
          <w:tcPr>
            <w:tcW w:w="9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Lease liabilities—total (discounted)</w:t>
            </w: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59,988</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right="260" w:firstLine="619"/>
        <w:spacing w:after="0" w:line="270" w:lineRule="auto"/>
        <w:rPr>
          <w:sz w:val="20"/>
          <w:szCs w:val="20"/>
          <w:color w:val="auto"/>
        </w:rPr>
      </w:pPr>
      <w:r>
        <w:rPr>
          <w:rFonts w:ascii="Times New Roman" w:cs="Times New Roman" w:eastAsia="Times New Roman" w:hAnsi="Times New Roman"/>
          <w:sz w:val="17"/>
          <w:szCs w:val="17"/>
          <w:color w:val="auto"/>
        </w:rPr>
        <w:t>The Company also received rental income of an immaterial amount and $1.3 million for real estate leases for which it subleased the property to a third party during the three months ended March 31, 2025 and 2024, respectively. Rental income is included in other income in the condensed consolidated statements of operations.</w:t>
      </w:r>
    </w:p>
    <w:p>
      <w:pPr>
        <w:spacing w:after="0" w:line="49" w:lineRule="exact"/>
        <w:rPr>
          <w:sz w:val="20"/>
          <w:szCs w:val="20"/>
          <w:color w:val="auto"/>
        </w:rPr>
      </w:pPr>
    </w:p>
    <w:p>
      <w:pPr>
        <w:ind w:right="120" w:firstLine="619"/>
        <w:spacing w:after="0" w:line="270" w:lineRule="auto"/>
        <w:rPr>
          <w:sz w:val="20"/>
          <w:szCs w:val="20"/>
          <w:color w:val="auto"/>
        </w:rPr>
      </w:pPr>
      <w:r>
        <w:rPr>
          <w:rFonts w:ascii="Times New Roman" w:cs="Times New Roman" w:eastAsia="Times New Roman" w:hAnsi="Times New Roman"/>
          <w:sz w:val="17"/>
          <w:szCs w:val="17"/>
          <w:color w:val="auto"/>
        </w:rPr>
        <w:t>In addition to the lease liabilities included in these consolidated financial statements, the Company entered into agreements for office space and data centers that had not commenced as of March 31, 2025; therefore, the leases were not included in the lease liabilities and ROU assets balance as of March 31, 2025. The Company has future commitments totaling $13.8 million over a term of 4.3 years related to these agreements.</w:t>
      </w:r>
    </w:p>
    <w:p>
      <w:pPr>
        <w:spacing w:after="0" w:line="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Company's operating lease right-of-use assets by geographical region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5"/>
                <w:szCs w:val="15"/>
                <w:color w:val="auto"/>
              </w:rPr>
            </w:pPr>
          </w:p>
        </w:tc>
        <w:tc>
          <w:tcPr>
            <w:tcW w:w="150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2"/>
        </w:trPr>
        <w:tc>
          <w:tcPr>
            <w:tcW w:w="7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gridSpan w:val="4"/>
          </w:tcPr>
          <w:p>
            <w:pPr>
              <w:spacing w:after="0" w:line="20" w:lineRule="exact"/>
              <w:rPr>
                <w:sz w:val="1"/>
                <w:szCs w:val="1"/>
                <w:color w:val="auto"/>
              </w:rPr>
            </w:pPr>
          </w:p>
        </w:tc>
      </w:tr>
      <w:tr>
        <w:trPr>
          <w:trHeight w:val="181"/>
        </w:trPr>
        <w:tc>
          <w:tcPr>
            <w:tcW w:w="7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60" w:type="dxa"/>
            <w:vAlign w:val="bottom"/>
            <w:gridSpan w:val="4"/>
          </w:tcPr>
          <w:p>
            <w:pPr>
              <w:jc w:val="right"/>
              <w:ind w:right="1258"/>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5"/>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45,178</w:t>
            </w:r>
          </w:p>
        </w:tc>
      </w:tr>
      <w:tr>
        <w:trPr>
          <w:trHeight w:val="219"/>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International</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4,499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5,151</w:t>
            </w:r>
          </w:p>
        </w:tc>
      </w:tr>
      <w:tr>
        <w:trPr>
          <w:trHeight w:val="237"/>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55,752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50,329</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11—Commitments and Contingencies</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Commitments</w:t>
      </w:r>
    </w:p>
    <w:p>
      <w:pPr>
        <w:spacing w:after="0" w:line="1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has commitments under non-cancelable operating leases for facilities, certain equipment, and its managed data center facilities (Note 10).</w:t>
      </w:r>
    </w:p>
    <w:p>
      <w:pPr>
        <w:spacing w:after="0" w:line="88" w:lineRule="exact"/>
        <w:rPr>
          <w:sz w:val="20"/>
          <w:szCs w:val="20"/>
          <w:color w:val="auto"/>
        </w:rPr>
      </w:pPr>
    </w:p>
    <w:p>
      <w:pPr>
        <w:ind w:right="420" w:firstLine="619"/>
        <w:spacing w:after="0" w:line="287" w:lineRule="auto"/>
        <w:rPr>
          <w:sz w:val="20"/>
          <w:szCs w:val="20"/>
          <w:color w:val="auto"/>
        </w:rPr>
      </w:pPr>
      <w:r>
        <w:rPr>
          <w:rFonts w:ascii="Times New Roman" w:cs="Times New Roman" w:eastAsia="Times New Roman" w:hAnsi="Times New Roman"/>
          <w:sz w:val="17"/>
          <w:szCs w:val="17"/>
          <w:color w:val="auto"/>
        </w:rPr>
        <w:t>As of March 31, 2025 and December 31, 2024, the Company had $5.5 million and $5.2 million, respectively, of letters of credit associated with office leases available for borrowing, on which there were no outstanding borrowings as of either date.</w:t>
      </w:r>
    </w:p>
    <w:p>
      <w:pPr>
        <w:spacing w:after="0" w:line="35" w:lineRule="exact"/>
        <w:rPr>
          <w:sz w:val="20"/>
          <w:szCs w:val="20"/>
          <w:color w:val="auto"/>
        </w:rPr>
      </w:pPr>
    </w:p>
    <w:p>
      <w:pPr>
        <w:ind w:right="200" w:firstLine="619"/>
        <w:spacing w:after="0" w:line="270" w:lineRule="auto"/>
        <w:rPr>
          <w:sz w:val="20"/>
          <w:szCs w:val="20"/>
          <w:color w:val="auto"/>
        </w:rPr>
      </w:pPr>
      <w:r>
        <w:rPr>
          <w:rFonts w:ascii="Times New Roman" w:cs="Times New Roman" w:eastAsia="Times New Roman" w:hAnsi="Times New Roman"/>
          <w:sz w:val="17"/>
          <w:szCs w:val="17"/>
          <w:color w:val="auto"/>
        </w:rPr>
        <w:t>In the normal course of business, the Company enters into non-cancelable contractual obligations with various parties, primarily related to software services agreements and data center providers. As of March 31, 2025, the Company's outstanding non-cancelable contractual obligations with a remaining term in excess of one year consist of the following (in thousands):</w:t>
      </w:r>
    </w:p>
    <w:p>
      <w:pPr>
        <w:spacing w:after="0" w:line="88" w:lineRule="exact"/>
        <w:rPr>
          <w:sz w:val="20"/>
          <w:szCs w:val="20"/>
          <w:color w:val="auto"/>
        </w:rPr>
      </w:pPr>
    </w:p>
    <w:tbl>
      <w:tblPr>
        <w:tblLayout w:type="fixed"/>
        <w:tblInd w:w="620" w:type="dxa"/>
        <w:tblCellMar>
          <w:top w:w="0" w:type="dxa"/>
          <w:left w:w="0" w:type="dxa"/>
          <w:bottom w:w="0" w:type="dxa"/>
          <w:right w:w="0" w:type="dxa"/>
        </w:tblCellMar>
      </w:tblPr>
      <w:tr>
        <w:trPr>
          <w:trHeight w:val="223"/>
        </w:trPr>
        <w:tc>
          <w:tcPr>
            <w:tcW w:w="9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Fiscal Year</w:t>
            </w:r>
          </w:p>
        </w:tc>
        <w:tc>
          <w:tcPr>
            <w:tcW w:w="1020" w:type="dxa"/>
            <w:vAlign w:val="bottom"/>
          </w:tcPr>
          <w:p>
            <w:pPr>
              <w:spacing w:after="0"/>
              <w:rPr>
                <w:sz w:val="19"/>
                <w:szCs w:val="19"/>
                <w:color w:val="auto"/>
              </w:rPr>
            </w:pPr>
          </w:p>
        </w:tc>
      </w:tr>
      <w:tr>
        <w:trPr>
          <w:trHeight w:val="219"/>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Remaining 2025</w:t>
            </w: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r>
      <w:tr>
        <w:trPr>
          <w:trHeight w:val="219"/>
        </w:trPr>
        <w:tc>
          <w:tcPr>
            <w:tcW w:w="9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020" w:type="dxa"/>
            <w:vAlign w:val="bottom"/>
          </w:tcPr>
          <w:p>
            <w:pPr>
              <w:spacing w:after="0"/>
              <w:rPr>
                <w:sz w:val="19"/>
                <w:szCs w:val="19"/>
                <w:color w:val="auto"/>
              </w:rPr>
            </w:pPr>
          </w:p>
        </w:tc>
      </w:tr>
      <w:tr>
        <w:trPr>
          <w:trHeight w:val="219"/>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020" w:type="dxa"/>
            <w:vAlign w:val="bottom"/>
            <w:shd w:val="clear" w:color="auto" w:fill="CCEEFF"/>
          </w:tcPr>
          <w:p>
            <w:pPr>
              <w:spacing w:after="0"/>
              <w:rPr>
                <w:sz w:val="19"/>
                <w:szCs w:val="19"/>
                <w:color w:val="auto"/>
              </w:rPr>
            </w:pPr>
          </w:p>
        </w:tc>
      </w:tr>
      <w:tr>
        <w:trPr>
          <w:trHeight w:val="219"/>
        </w:trPr>
        <w:tc>
          <w:tcPr>
            <w:tcW w:w="9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020" w:type="dxa"/>
            <w:vAlign w:val="bottom"/>
            <w:tcBorders>
              <w:bottom w:val="single" w:sz="8" w:color="auto"/>
            </w:tcBorders>
          </w:tcPr>
          <w:p>
            <w:pPr>
              <w:spacing w:after="0"/>
              <w:rPr>
                <w:sz w:val="19"/>
                <w:szCs w:val="19"/>
                <w:color w:val="auto"/>
              </w:rPr>
            </w:pPr>
          </w:p>
        </w:tc>
      </w:tr>
      <w:tr>
        <w:trPr>
          <w:trHeight w:val="237"/>
        </w:trPr>
        <w:tc>
          <w:tcPr>
            <w:tcW w:w="9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02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Guarantees and Indemnification</w:t>
      </w:r>
    </w:p>
    <w:p>
      <w:pPr>
        <w:spacing w:after="0" w:line="94" w:lineRule="exact"/>
        <w:rPr>
          <w:sz w:val="20"/>
          <w:szCs w:val="20"/>
          <w:color w:val="auto"/>
        </w:rPr>
      </w:pPr>
    </w:p>
    <w:p>
      <w:pPr>
        <w:ind w:right="100" w:firstLine="619"/>
        <w:spacing w:after="0" w:line="264" w:lineRule="auto"/>
        <w:rPr>
          <w:sz w:val="20"/>
          <w:szCs w:val="20"/>
          <w:color w:val="auto"/>
        </w:rPr>
      </w:pPr>
      <w:r>
        <w:rPr>
          <w:rFonts w:ascii="Times New Roman" w:cs="Times New Roman" w:eastAsia="Times New Roman" w:hAnsi="Times New Roman"/>
          <w:sz w:val="17"/>
          <w:szCs w:val="17"/>
          <w:color w:val="auto"/>
        </w:rPr>
        <w:t>The Company’s agreements with sellers, buyers, and other third parties typically obligate the Company to provide indemnity and defense for losses resulting from claims of intellectual property infringement, damages to property or persons, business losses, or other liabilities. Generally, these indemnity and defense obligations relate to the Company’s own business operations, obligations, and acts or omissions. However, under some circumstances, the Company agrees to indemnify and defend contract counterparties against losses resulting from their own business operations, obligations, and acts or omissions, or the</w:t>
      </w:r>
    </w:p>
    <w:p>
      <w:pPr>
        <w:spacing w:after="0" w:line="200" w:lineRule="exact"/>
        <w:rPr>
          <w:sz w:val="20"/>
          <w:szCs w:val="20"/>
          <w:color w:val="auto"/>
        </w:rPr>
      </w:pPr>
    </w:p>
    <w:p>
      <w:pPr>
        <w:spacing w:after="0" w:line="25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business operations, obligations, and acts or omissions of third parties. For example, because the Company’s business interposes the Company between buyers and sellers in various ways, buyers often require the Company to indemnify them against acts and omissions of sellers, and sellers often require the Company to indemnify them against acts and omissions of buyers. In addition, the Company’s agreements with sellers, buyers, and other third parties typically include provisions limiting the Company’s liability to the counterparty, and the counterparty’s liability to the Company. These limits sometimes do not apply to certain liabilities, including indemnity obligations. These indemnity and limitation of liability provisions generally survive termination or expiration of the agreements in which they appear. The Company has also entered into indemnification agreements with its directors, executive officers, and certain other officers that will require the Company, among other things, to indemnify them against certain liabilities that may arise by reason of their status or service as directors, officers, or employees. No material demands have been made upon the Company to provide indemnification under such agreements and there are no claims that the Company is aware of that could have a material effect on the Company’s condensed consolidated financial statements.</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Litigation</w:t>
      </w:r>
    </w:p>
    <w:p>
      <w:pPr>
        <w:spacing w:after="0" w:line="107" w:lineRule="exact"/>
        <w:rPr>
          <w:sz w:val="20"/>
          <w:szCs w:val="20"/>
          <w:color w:val="auto"/>
        </w:rPr>
      </w:pPr>
    </w:p>
    <w:p>
      <w:pPr>
        <w:ind w:right="40" w:firstLine="619"/>
        <w:spacing w:after="0" w:line="257" w:lineRule="auto"/>
        <w:rPr>
          <w:sz w:val="20"/>
          <w:szCs w:val="20"/>
          <w:color w:val="auto"/>
        </w:rPr>
      </w:pPr>
      <w:r>
        <w:rPr>
          <w:rFonts w:ascii="Times New Roman" w:cs="Times New Roman" w:eastAsia="Times New Roman" w:hAnsi="Times New Roman"/>
          <w:sz w:val="17"/>
          <w:szCs w:val="17"/>
          <w:color w:val="auto"/>
        </w:rPr>
        <w:t>The Company and its subsidiaries may from time to time be parties to legal or regulatory proceedings, lawsuits and other claims incident to their business activities and to the Company’s status as a public company. Such routine matters may include, among other things, assertions of contract breach or intellectual property infringement, claims for indemnity arising in the course of the Company’s business, claims relating to our collection or use of data, regulatory investigations, audits by taxing authorities, or enforcement proceedings, and claims by persons whose employment has been terminated. For example, the Company has recently been subject to lawsuits alleging violation of various privacy statutes. Such matters are subject to many uncertainties, and outcomes are not predictable with assurance. Consequently, management is unable to ascertain the ultimate aggregate amount of monetary liability, amounts which may be covered by insurance or recoverable from third parties, or the financial impact with respect to such matters as of March 31, 2025. However, based on management’s knowledge as of March 31, 2025, management believes that the final resolution of these matters known at such date, individually and in the aggregate, will not have a material adverse effect upon the Company’s condensed consolidated financial position, results of operations or cash flows.</w:t>
      </w:r>
    </w:p>
    <w:p>
      <w:pPr>
        <w:spacing w:after="0" w:line="1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Employment Contracts</w:t>
      </w:r>
    </w:p>
    <w:p>
      <w:pPr>
        <w:spacing w:after="0" w:line="107" w:lineRule="exact"/>
        <w:rPr>
          <w:sz w:val="20"/>
          <w:szCs w:val="20"/>
          <w:color w:val="auto"/>
        </w:rPr>
      </w:pPr>
    </w:p>
    <w:p>
      <w:pPr>
        <w:ind w:right="40" w:firstLine="619"/>
        <w:spacing w:after="0" w:line="287" w:lineRule="auto"/>
        <w:rPr>
          <w:sz w:val="20"/>
          <w:szCs w:val="20"/>
          <w:color w:val="auto"/>
        </w:rPr>
      </w:pPr>
      <w:r>
        <w:rPr>
          <w:rFonts w:ascii="Times New Roman" w:cs="Times New Roman" w:eastAsia="Times New Roman" w:hAnsi="Times New Roman"/>
          <w:sz w:val="17"/>
          <w:szCs w:val="17"/>
          <w:color w:val="auto"/>
        </w:rPr>
        <w:t>The Company has entered into severance agreements with certain employees and officers. The Company may be required to pay severance and accelerate the vesting of certain equity awards in the event of involuntary terminations.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12—Debt</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Current and long term debt as of March 31, 2025 and December 31, 2024 consisted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060" w:type="dxa"/>
            <w:vAlign w:val="bottom"/>
            <w:tcBorders>
              <w:top w:val="single" w:sz="8" w:color="auto"/>
            </w:tcBorders>
            <w:gridSpan w:val="4"/>
          </w:tcPr>
          <w:p>
            <w:pPr>
              <w:jc w:val="right"/>
              <w:ind w:right="11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Convertible Senior Notes</w:t>
            </w:r>
          </w:p>
        </w:tc>
        <w:tc>
          <w:tcPr>
            <w:tcW w:w="32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205,067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205,067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Unamortized debt issuance costs</w:t>
            </w:r>
          </w:p>
        </w:tc>
        <w:tc>
          <w:tcPr>
            <w:tcW w:w="30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carrying value of Convertible Senior Notes</w:t>
            </w: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203,936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203,643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 Term Loan B Facility</w:t>
            </w:r>
          </w:p>
        </w:tc>
        <w:tc>
          <w:tcPr>
            <w:tcW w:w="3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363,177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363,177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Unamortized discount and debt issuance costs</w:t>
            </w:r>
          </w:p>
        </w:tc>
        <w:tc>
          <w:tcPr>
            <w:tcW w:w="30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(10,544)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carrying value of 2024 Term Loan B Facility</w:t>
            </w: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352,633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Sheet Presentation:</w:t>
            </w:r>
          </w:p>
        </w:tc>
        <w:tc>
          <w:tcPr>
            <w:tcW w:w="3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Debt, current, net of debt issuance costs</w:t>
            </w:r>
          </w:p>
        </w:tc>
        <w:tc>
          <w:tcPr>
            <w:tcW w:w="3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207,568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Debt, non-current, net of debt discount and debt issuance costs</w:t>
            </w:r>
          </w:p>
        </w:tc>
        <w:tc>
          <w:tcPr>
            <w:tcW w:w="30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349,001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550,104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4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debt</w:t>
            </w:r>
          </w:p>
        </w:tc>
        <w:tc>
          <w:tcPr>
            <w:tcW w:w="30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556,569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553,745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000" w:type="dxa"/>
            <w:vAlign w:val="bottom"/>
            <w:vMerge w:val="restart"/>
          </w:tcPr>
          <w:p>
            <w:pPr>
              <w:jc w:val="right"/>
              <w:ind w:right="2154"/>
              <w:spacing w:after="0"/>
              <w:rPr>
                <w:sz w:val="20"/>
                <w:szCs w:val="20"/>
                <w:color w:val="auto"/>
              </w:rPr>
            </w:pPr>
            <w:r>
              <w:rPr>
                <w:rFonts w:ascii="Times New Roman" w:cs="Times New Roman" w:eastAsia="Times New Roman" w:hAnsi="Times New Roman"/>
                <w:sz w:val="17"/>
                <w:szCs w:val="17"/>
                <w:color w:val="auto"/>
              </w:rPr>
              <w:t>20</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0"/>
        </w:trPr>
        <w:tc>
          <w:tcPr>
            <w:tcW w:w="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 w:type="dxa"/>
            <w:vAlign w:val="bottom"/>
            <w:tcBorders>
              <w:bottom w:val="single" w:sz="8" w:color="9A9A9A"/>
            </w:tcBorders>
          </w:tcPr>
          <w:p>
            <w:pPr>
              <w:spacing w:after="0"/>
              <w:rPr>
                <w:sz w:val="9"/>
                <w:szCs w:val="9"/>
                <w:color w:val="auto"/>
              </w:rPr>
            </w:pPr>
          </w:p>
        </w:tc>
        <w:tc>
          <w:tcPr>
            <w:tcW w:w="4900" w:type="dxa"/>
            <w:vAlign w:val="bottom"/>
            <w:tcBorders>
              <w:bottom w:val="single" w:sz="8" w:color="9A9A9A"/>
            </w:tcBorders>
          </w:tcPr>
          <w:p>
            <w:pPr>
              <w:spacing w:after="0"/>
              <w:rPr>
                <w:sz w:val="9"/>
                <w:szCs w:val="9"/>
                <w:color w:val="auto"/>
              </w:rPr>
            </w:pPr>
          </w:p>
        </w:tc>
        <w:tc>
          <w:tcPr>
            <w:tcW w:w="30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Maturities of the principal amount of the Company's debt as of March 31, 2025 are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Fiscal Year</w:t>
            </w: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2"/>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Remaining 2025</w:t>
            </w:r>
          </w:p>
        </w:tc>
        <w:tc>
          <w:tcPr>
            <w:tcW w:w="54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2,724</w:t>
            </w:r>
          </w:p>
        </w:tc>
      </w:tr>
      <w:tr>
        <w:trPr>
          <w:trHeight w:val="219"/>
        </w:trPr>
        <w:tc>
          <w:tcPr>
            <w:tcW w:w="9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208,699</w:t>
            </w:r>
          </w:p>
        </w:tc>
      </w:tr>
      <w:tr>
        <w:trPr>
          <w:trHeight w:val="219"/>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3,632</w:t>
            </w:r>
          </w:p>
        </w:tc>
      </w:tr>
      <w:tr>
        <w:trPr>
          <w:trHeight w:val="219"/>
        </w:trPr>
        <w:tc>
          <w:tcPr>
            <w:tcW w:w="9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3,632</w:t>
            </w:r>
          </w:p>
        </w:tc>
      </w:tr>
      <w:tr>
        <w:trPr>
          <w:trHeight w:val="219"/>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3,632</w:t>
            </w:r>
          </w:p>
        </w:tc>
      </w:tr>
      <w:tr>
        <w:trPr>
          <w:trHeight w:val="219"/>
        </w:trPr>
        <w:tc>
          <w:tcPr>
            <w:tcW w:w="9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345,925</w:t>
            </w:r>
          </w:p>
        </w:tc>
      </w:tr>
      <w:tr>
        <w:trPr>
          <w:trHeight w:val="237"/>
        </w:trPr>
        <w:tc>
          <w:tcPr>
            <w:tcW w:w="9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540" w:type="dxa"/>
            <w:vAlign w:val="bottom"/>
            <w:tcBorders>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568,244</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20" w:firstLine="619"/>
        <w:spacing w:after="0" w:line="249" w:lineRule="auto"/>
        <w:rPr>
          <w:sz w:val="20"/>
          <w:szCs w:val="20"/>
          <w:color w:val="auto"/>
        </w:rPr>
      </w:pPr>
      <w:r>
        <w:rPr>
          <w:rFonts w:ascii="Times New Roman" w:cs="Times New Roman" w:eastAsia="Times New Roman" w:hAnsi="Times New Roman"/>
          <w:sz w:val="17"/>
          <w:szCs w:val="17"/>
          <w:color w:val="auto"/>
        </w:rPr>
        <w:t>Amortization of debt discount and debt issuance costs is computed using the effective interest method and is included in interest expense in the condensed consolidated statement of operations. Amortization of the debt discount and debt issuance costs associated with the Company's indebtedness totaled $0.8 million for the three months ended March 31, 2025 and $1.0 million for the three months ended March 31, 2024. In addition, amortization of deferred financing costs was an immaterial amount for both the three months ended March 31, 2025 and March 31, 2024. Deferred financing costs are included in other assets, non-current in the condensed consolidated balance sheets.</w:t>
      </w:r>
    </w:p>
    <w:p>
      <w:pPr>
        <w:spacing w:after="0" w:line="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Convertible Senior Notes and Capped Call Transactions</w:t>
      </w:r>
    </w:p>
    <w:p>
      <w:pPr>
        <w:spacing w:after="0" w:line="94" w:lineRule="exact"/>
        <w:rPr>
          <w:sz w:val="20"/>
          <w:szCs w:val="20"/>
          <w:color w:val="auto"/>
        </w:rPr>
      </w:pPr>
    </w:p>
    <w:p>
      <w:pPr>
        <w:jc w:val="both"/>
        <w:ind w:right="420" w:firstLine="619"/>
        <w:spacing w:after="0" w:line="261" w:lineRule="auto"/>
        <w:rPr>
          <w:sz w:val="20"/>
          <w:szCs w:val="20"/>
          <w:color w:val="auto"/>
        </w:rPr>
      </w:pPr>
      <w:r>
        <w:rPr>
          <w:rFonts w:ascii="Times New Roman" w:cs="Times New Roman" w:eastAsia="Times New Roman" w:hAnsi="Times New Roman"/>
          <w:sz w:val="17"/>
          <w:szCs w:val="17"/>
          <w:color w:val="auto"/>
        </w:rPr>
        <w:t>In March 2021, the Company issued $400.0 million aggregate principal amount of 0.25% convertible senior notes in a private placement, including $50.0 million aggregate principal amount of such notes pursuant to the exercise in full of the over-allotment options of the initial purchasers (collectively, the "Convertible Senior Notes"). The Convertible Senior Notes will mature on March 15, 2026, unless earlier repurchased, redeemed or converted. The total net proceeds from the offering, after deducting debt issuance costs, paid by the Company, were approximately $388.6 million. The Company used approximately $39.0 million of the net proceeds from the offering to pay for the Capped Call Transactions (as described below).</w:t>
      </w:r>
    </w:p>
    <w:p>
      <w:pPr>
        <w:spacing w:after="0" w:line="59" w:lineRule="exact"/>
        <w:rPr>
          <w:sz w:val="20"/>
          <w:szCs w:val="20"/>
          <w:color w:val="auto"/>
        </w:rPr>
      </w:pPr>
    </w:p>
    <w:p>
      <w:pPr>
        <w:ind w:right="160" w:firstLine="619"/>
        <w:spacing w:after="0" w:line="260" w:lineRule="auto"/>
        <w:rPr>
          <w:sz w:val="20"/>
          <w:szCs w:val="20"/>
          <w:color w:val="auto"/>
        </w:rPr>
      </w:pPr>
      <w:r>
        <w:rPr>
          <w:rFonts w:ascii="Times New Roman" w:cs="Times New Roman" w:eastAsia="Times New Roman" w:hAnsi="Times New Roman"/>
          <w:sz w:val="17"/>
          <w:szCs w:val="17"/>
          <w:color w:val="auto"/>
        </w:rPr>
        <w:t>The Convertible Senior Notes are senior, unsecured obligations and are (i) equal in right of payment with the existing and future senior, unsecured indebtedness; (ii) senior in right of payment to any of the Company’s future indebtedness that is expressly subordinated to the Convertible Senior Notes; (iii) effectively subordinated to the Company’s existing and future secured indebtedness, to the extent of the value of the collateral securing that indebtedness, including amounts outstanding under the Loan Agreement or the new Credit Agreement (see section below); and (iv) structurally subordinated to all existing and future indebtedness and other liabilities, including trade payables, and (to the extent the Company is not a holder thereof) preferred equity, if any, of the Company’s subsidiaries that do not guarantee the Convertible Senior Notes.</w:t>
      </w:r>
    </w:p>
    <w:p>
      <w:pPr>
        <w:spacing w:after="0" w:line="44" w:lineRule="exact"/>
        <w:rPr>
          <w:sz w:val="20"/>
          <w:szCs w:val="20"/>
          <w:color w:val="auto"/>
        </w:rPr>
      </w:pPr>
    </w:p>
    <w:p>
      <w:pPr>
        <w:ind w:right="80" w:firstLine="619"/>
        <w:spacing w:after="0" w:line="270" w:lineRule="auto"/>
        <w:rPr>
          <w:sz w:val="20"/>
          <w:szCs w:val="20"/>
          <w:color w:val="auto"/>
        </w:rPr>
      </w:pPr>
      <w:r>
        <w:rPr>
          <w:rFonts w:ascii="Times New Roman" w:cs="Times New Roman" w:eastAsia="Times New Roman" w:hAnsi="Times New Roman"/>
          <w:sz w:val="17"/>
          <w:szCs w:val="17"/>
          <w:color w:val="auto"/>
        </w:rPr>
        <w:t>The Convertible Senior Notes accrue interest at 0.25% per annum payable semi-annually in arrears on March 15 and September 15 of each year, beginning on September 15, 2021. The Convertible Senior Notes will mature on March 15, 2026 unless they are redeemed, repurchased or converted prior to such date. The Convertible Senior Notes are convertible at the option of holders only during certain periods and upon satisfaction of certain conditions.</w:t>
      </w:r>
    </w:p>
    <w:p>
      <w:pPr>
        <w:spacing w:after="0" w:line="49" w:lineRule="exact"/>
        <w:rPr>
          <w:sz w:val="20"/>
          <w:szCs w:val="20"/>
          <w:color w:val="auto"/>
        </w:rPr>
      </w:pPr>
    </w:p>
    <w:p>
      <w:pPr>
        <w:ind w:right="100" w:firstLine="619"/>
        <w:spacing w:after="0" w:line="256" w:lineRule="auto"/>
        <w:rPr>
          <w:sz w:val="20"/>
          <w:szCs w:val="20"/>
          <w:color w:val="auto"/>
        </w:rPr>
      </w:pPr>
      <w:r>
        <w:rPr>
          <w:rFonts w:ascii="Times New Roman" w:cs="Times New Roman" w:eastAsia="Times New Roman" w:hAnsi="Times New Roman"/>
          <w:sz w:val="17"/>
          <w:szCs w:val="17"/>
          <w:color w:val="auto"/>
        </w:rPr>
        <w:t>Holders have the right to convert their notes (or any portion of a note in an authorized denomination), in the following circumstances: (i) during any calendar quarter commencing after the calendar quarter ending on June 30, 2021, if the last reported sale price per share of the Company’s common stock exceeds 130% of the conversion price for each of at least 20 trading days during the 30 consecutive trading days ending on, and including, the last trading day of the immediately preceding calendar quarter; (ii) during the five consecutive business days immediately after any ten consecutive trading day period (such ten consecutive trading day period, the "measurement period") in which the trading price per $1,000 principal amount of notes for each trading day of the measurement period was less than 98% of the product of the last reported sale price per share of the Company’s common stock on such trading day and the conversion rate on such trading day; (iii) upon the occurrence of certain corporate events or distributions on the Company’s common stock; (iv) if the Company calls such Convertible Senior Notes for redemption; and (v) on or after September 15, 2025, until the close of business on the second scheduled trading day immediately before the maturity date, holders of the Convertible Senior Notes may, at their option, convert all or a portion of their Convertible Senior Notes regardless of the foregoing conditions at any time from, and including, September 15, 2025 until the close of business on the second scheduled trading day immediately before the maturity date.</w:t>
      </w:r>
    </w:p>
    <w:p>
      <w:pPr>
        <w:spacing w:after="0" w:line="66" w:lineRule="exact"/>
        <w:rPr>
          <w:sz w:val="20"/>
          <w:szCs w:val="20"/>
          <w:color w:val="auto"/>
        </w:rPr>
      </w:pPr>
    </w:p>
    <w:p>
      <w:pPr>
        <w:ind w:right="20" w:firstLine="619"/>
        <w:spacing w:after="0" w:line="270" w:lineRule="auto"/>
        <w:rPr>
          <w:sz w:val="20"/>
          <w:szCs w:val="20"/>
          <w:color w:val="auto"/>
        </w:rPr>
      </w:pPr>
      <w:r>
        <w:rPr>
          <w:rFonts w:ascii="Times New Roman" w:cs="Times New Roman" w:eastAsia="Times New Roman" w:hAnsi="Times New Roman"/>
          <w:sz w:val="17"/>
          <w:szCs w:val="17"/>
          <w:color w:val="auto"/>
        </w:rPr>
        <w:t>Upon conversion, the Convertible Senior Notes may be settled in shares of the Company’s common stock, cash or a combination of cash and shares of the Company’s common stock, at the Company’s election. All conversions with a conversion date that occurs on or after September 15, 2025 will be settled using the same settlement method, and the Company will send notice of such settlement method to noteholders no later than the open of business on September 15, 2025.</w:t>
      </w:r>
    </w:p>
    <w:p>
      <w:pPr>
        <w:spacing w:after="0" w:line="36" w:lineRule="exact"/>
        <w:rPr>
          <w:sz w:val="20"/>
          <w:szCs w:val="20"/>
          <w:color w:val="auto"/>
        </w:rPr>
      </w:pPr>
    </w:p>
    <w:p>
      <w:pPr>
        <w:ind w:right="100" w:firstLine="619"/>
        <w:spacing w:after="0" w:line="270" w:lineRule="auto"/>
        <w:rPr>
          <w:sz w:val="20"/>
          <w:szCs w:val="20"/>
          <w:color w:val="auto"/>
        </w:rPr>
      </w:pPr>
      <w:r>
        <w:rPr>
          <w:rFonts w:ascii="Times New Roman" w:cs="Times New Roman" w:eastAsia="Times New Roman" w:hAnsi="Times New Roman"/>
          <w:sz w:val="17"/>
          <w:szCs w:val="17"/>
          <w:color w:val="auto"/>
        </w:rPr>
        <w:t>Subject to the terms of the indenture agreement, the Company has the right, at its election, to redeem all, or any portion (subject to the partial redemption limitation) in an authorized denomination, of the Convertible Senior Notes, at any time, and from time to time, on a redemption date on or after March 20, 2024 and on or before the 40th scheduled trading day immediately before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the maturity date, for cash, but only if the "last reported sale price," as defined under the Offering Memorandum, per share of common stock exceeds 130% of the "conversion price" on (i) each of at least 20 trading days, during the 30 consecutive trading days ending on, and including, the trading day immediately before the date the Company sends the related redemption notice; and (ii) the trading day immediately before the date the Company sends such notice. In addition, calling any note for redemption will constitute a "make-whole fundamental change" (as defined below) with respect to that note, in which case the conversion rate applicable to the conversion of that note will be increased in certain circumstances if it is converted after it is called for redemption. If the Company elects to redeem less than all of the outstanding notes, then the redemption will not constitute a make-whole fundamental change with respect to the notes not called for redemption, and holders of the notes not called for redemption will not be entitled to an increased conversion rate for such notes as described above on account of the redemption, except to the limited extent described further below. No sinking fund is provided for the Convertible Senior Notes, which means that the Company is not required to redeem or retire the Convertible Senior Notes periodically.</w:t>
      </w:r>
    </w:p>
    <w:p>
      <w:pPr>
        <w:spacing w:after="0" w:line="50"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If a fundamental change occurs, then each noteholder will have the right to require the Company to repurchase its notes (or any portion thereof in an authorized denomination) for cash on a date (the "fundamental change repurchase date") of the Company’s choosing, which must be a business day that is no more than 45, nor less than 20, business days after the date the Company distributes the related fundamental change notice.</w:t>
      </w:r>
    </w:p>
    <w:p>
      <w:pPr>
        <w:spacing w:after="0" w:line="49"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If an event of default, other than a reporting default remedied by special interest as defined in the indenture agreement, occurs with respect to the Company or any guarantor, then the principal amount of, and all accrued and unpaid interest on, all of the notes then outstanding will immediately become due and payable without any further action or notice by any person. If an event of default (other than a reporting event of default described above with respect to the Company or any guarantor and not solely with respect to a significant subsidiary of the Company’s or a guarantor, other than the Company or such guarantor) occurs and is continuing, then, the trustee, by notice to the Company, or noteholders of at least 25% of the aggregate principal amount of notes then outstanding, by written notice to the Company and the trustee, may declare the principal amount of, and all accrued and unpaid interest on, all of the notes then outstanding to become due and payable immediately.</w:t>
      </w:r>
    </w:p>
    <w:p>
      <w:pPr>
        <w:spacing w:after="0" w:line="63" w:lineRule="exact"/>
        <w:rPr>
          <w:sz w:val="20"/>
          <w:szCs w:val="20"/>
          <w:color w:val="auto"/>
        </w:rPr>
      </w:pPr>
    </w:p>
    <w:p>
      <w:pPr>
        <w:ind w:right="180" w:firstLine="619"/>
        <w:spacing w:after="0" w:line="287" w:lineRule="auto"/>
        <w:rPr>
          <w:sz w:val="20"/>
          <w:szCs w:val="20"/>
          <w:color w:val="auto"/>
        </w:rPr>
      </w:pPr>
      <w:r>
        <w:rPr>
          <w:rFonts w:ascii="Times New Roman" w:cs="Times New Roman" w:eastAsia="Times New Roman" w:hAnsi="Times New Roman"/>
          <w:sz w:val="17"/>
          <w:szCs w:val="17"/>
          <w:color w:val="auto"/>
        </w:rPr>
        <w:t>The Convertible Senior Notes have an initial conversion rate of 15.6539 shares of common stock per $1,000 principal amount of the Convertible Senior Notes, which will be subject to customary anti-dilution adjustments in certain circumstances.</w:t>
      </w:r>
    </w:p>
    <w:p>
      <w:pPr>
        <w:spacing w:after="0" w:line="22" w:lineRule="exact"/>
        <w:rPr>
          <w:sz w:val="20"/>
          <w:szCs w:val="20"/>
          <w:color w:val="auto"/>
        </w:rPr>
      </w:pPr>
    </w:p>
    <w:p>
      <w:pPr>
        <w:ind w:right="60" w:firstLine="619"/>
        <w:spacing w:after="0" w:line="256" w:lineRule="auto"/>
        <w:rPr>
          <w:sz w:val="20"/>
          <w:szCs w:val="20"/>
          <w:color w:val="auto"/>
        </w:rPr>
      </w:pPr>
      <w:r>
        <w:rPr>
          <w:rFonts w:ascii="Times New Roman" w:cs="Times New Roman" w:eastAsia="Times New Roman" w:hAnsi="Times New Roman"/>
          <w:sz w:val="17"/>
          <w:szCs w:val="17"/>
          <w:color w:val="auto"/>
        </w:rPr>
        <w:t>In connection with the pricing of the Convertible Senior Notes, the Company entered into privately negotiated capped call transactions with various financial institutions (the "Capped Call Transactions"). The Capped Call Transactions were entered into with third party broker-dealers to limit the potential dilution that would occur if the Company has to settle the conversion value in excess of the principal in shares. This exposure will be covered (i.e., the Company will receive as many shares as are required to be issued between the conversion price of $63.8818 and the maximum price of $91.2600). Any shares required to be issued by the Company over this amount would have net earnings per share dilution impact. By entering into the Capped Call Transactions, the Company expects to reduce the potential dilution to its common stock (or, in the event the conversion is settled in cash, to reduce its cash payment obligation) in the event that at the time of conversion its stock price exceeds the conversion price under the Convertible Senior Notes. The Company paid $39.0 million for the Capped Call Transactions, which was recorded as additional paid-in capital, using a portion of the gross proceeds from the sale of the Convertible Senior Notes. The cost of the Capped Call Transactions is not expected to be tax deductible as the Company did not elect to integrate the capped call into the Convertible Senior Notes for tax purposes. The cost of the Capped Call Transaction was recorded as a reduction of the Company’s additional paid-in capital in the accompanying condensed consolidated financial statements.</w:t>
      </w:r>
    </w:p>
    <w:p>
      <w:pPr>
        <w:spacing w:after="0" w:line="66" w:lineRule="exact"/>
        <w:rPr>
          <w:sz w:val="20"/>
          <w:szCs w:val="20"/>
          <w:color w:val="auto"/>
        </w:rPr>
      </w:pPr>
    </w:p>
    <w:p>
      <w:pPr>
        <w:ind w:right="340" w:firstLine="619"/>
        <w:spacing w:after="0" w:line="270" w:lineRule="auto"/>
        <w:rPr>
          <w:sz w:val="20"/>
          <w:szCs w:val="20"/>
          <w:color w:val="auto"/>
        </w:rPr>
      </w:pPr>
      <w:r>
        <w:rPr>
          <w:rFonts w:ascii="Times New Roman" w:cs="Times New Roman" w:eastAsia="Times New Roman" w:hAnsi="Times New Roman"/>
          <w:sz w:val="17"/>
          <w:szCs w:val="17"/>
          <w:color w:val="auto"/>
        </w:rPr>
        <w:t>The Company incurred debt issuance costs of $11.4 million in March 2021. The Convertible Senior Notes are presented net of issuance costs on the Company's condensed consolidated balance sheets. The debt issuance costs are amortized on an effective interest basis over the term of the Convertible Senior Notes and are included in interest expense and amortization of debt discount in the accompanying condensed consolidated statements of operations.</w:t>
      </w:r>
    </w:p>
    <w:p>
      <w:pPr>
        <w:spacing w:after="0" w:line="49" w:lineRule="exact"/>
        <w:rPr>
          <w:sz w:val="20"/>
          <w:szCs w:val="20"/>
          <w:color w:val="auto"/>
        </w:rPr>
      </w:pPr>
    </w:p>
    <w:p>
      <w:pPr>
        <w:ind w:right="360" w:firstLine="619"/>
        <w:spacing w:after="0" w:line="287" w:lineRule="auto"/>
        <w:rPr>
          <w:sz w:val="20"/>
          <w:szCs w:val="20"/>
          <w:color w:val="auto"/>
        </w:rPr>
      </w:pPr>
      <w:r>
        <w:rPr>
          <w:rFonts w:ascii="Times New Roman" w:cs="Times New Roman" w:eastAsia="Times New Roman" w:hAnsi="Times New Roman"/>
          <w:sz w:val="17"/>
          <w:szCs w:val="17"/>
          <w:color w:val="auto"/>
        </w:rPr>
        <w:t>During the year ended December 31, 2023, the Company repurchased $194.9 million of principal balance of its Convertible Senior Notes in the open market with cash on hand for $165.5 million.</w:t>
      </w:r>
    </w:p>
    <w:p>
      <w:pPr>
        <w:spacing w:after="0" w:line="22"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sets forth interest expense related to the Convertible Senior Notes for the three months ended March 31, 2025 and 2024 (in thousands, except interest rates):</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Contractual interest expense</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Amortization of debt issuance costs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interest expense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Effective interest rate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14"/>
        </w:trPr>
        <w:tc>
          <w:tcPr>
            <w:tcW w:w="24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tcPr>
          <w:p>
            <w:pPr>
              <w:jc w:val="right"/>
              <w:ind w:right="138"/>
              <w:spacing w:after="0"/>
              <w:rPr>
                <w:sz w:val="20"/>
                <w:szCs w:val="20"/>
                <w:color w:val="auto"/>
              </w:rPr>
            </w:pPr>
            <w:r>
              <w:rPr>
                <w:rFonts w:ascii="Times New Roman" w:cs="Times New Roman" w:eastAsia="Times New Roman" w:hAnsi="Times New Roman"/>
                <w:sz w:val="17"/>
                <w:szCs w:val="17"/>
                <w:color w:val="auto"/>
              </w:rPr>
              <w:t>128</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7"/>
                <w:szCs w:val="17"/>
                <w:color w:val="auto"/>
              </w:rPr>
              <w:t>128</w:t>
            </w:r>
          </w:p>
        </w:tc>
      </w:tr>
      <w:tr>
        <w:trPr>
          <w:trHeight w:val="223"/>
        </w:trPr>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7"/>
                <w:szCs w:val="17"/>
                <w:color w:val="auto"/>
              </w:rPr>
              <w:t>293</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7"/>
                <w:szCs w:val="17"/>
                <w:color w:val="auto"/>
              </w:rPr>
              <w:t>293</w:t>
            </w:r>
          </w:p>
        </w:tc>
      </w:tr>
      <w:tr>
        <w:trPr>
          <w:trHeight w:val="212"/>
        </w:trPr>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7"/>
                <w:szCs w:val="17"/>
                <w:color w:val="auto"/>
              </w:rPr>
              <w:t>421</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7"/>
                <w:szCs w:val="17"/>
                <w:color w:val="auto"/>
              </w:rPr>
              <w:t>421</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15"/>
        </w:trPr>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0.82 %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-4912360</wp:posOffset>
            </wp:positionH>
            <wp:positionV relativeFrom="paragraph">
              <wp:posOffset>-607695</wp:posOffset>
            </wp:positionV>
            <wp:extent cx="7138670" cy="147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-4912360</wp:posOffset>
            </wp:positionH>
            <wp:positionV relativeFrom="paragraph">
              <wp:posOffset>-321310</wp:posOffset>
            </wp:positionV>
            <wp:extent cx="7138670" cy="163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20" w:space="720"/>
            <w:col w:w="3500"/>
          </w:cols>
          <w:pgMar w:left="320" w:top="123" w:right="339" w:bottom="1440" w:gutter="0" w:footer="0" w:header="0"/>
          <w:type w:val="continuous"/>
        </w:sect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160" w:firstLine="619"/>
        <w:spacing w:after="0" w:line="287" w:lineRule="auto"/>
        <w:rPr>
          <w:sz w:val="20"/>
          <w:szCs w:val="20"/>
          <w:color w:val="auto"/>
        </w:rPr>
      </w:pPr>
      <w:r>
        <w:rPr>
          <w:rFonts w:ascii="Times New Roman" w:cs="Times New Roman" w:eastAsia="Times New Roman" w:hAnsi="Times New Roman"/>
          <w:sz w:val="17"/>
          <w:szCs w:val="17"/>
          <w:color w:val="auto"/>
        </w:rPr>
        <w:t>Amortization expense for the Company's debt issuance costs related to the Convertible Senior Notes for the fiscal years 2025 through 2026 is as follows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60" w:type="dxa"/>
            <w:vAlign w:val="bottom"/>
          </w:tcPr>
          <w:p>
            <w:pPr>
              <w:spacing w:after="0"/>
              <w:rPr>
                <w:sz w:val="15"/>
                <w:szCs w:val="15"/>
                <w:color w:val="auto"/>
              </w:rPr>
            </w:pPr>
          </w:p>
        </w:tc>
        <w:tc>
          <w:tcPr>
            <w:tcW w:w="1420" w:type="dxa"/>
            <w:vAlign w:val="bottom"/>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Debt Issuance Costs</w:t>
            </w:r>
          </w:p>
        </w:tc>
      </w:tr>
      <w:tr>
        <w:trPr>
          <w:trHeight w:val="22"/>
        </w:trPr>
        <w:tc>
          <w:tcPr>
            <w:tcW w:w="9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2"/>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Remaining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w:t>
            </w:r>
          </w:p>
        </w:tc>
      </w:tr>
      <w:tr>
        <w:trPr>
          <w:trHeight w:val="219"/>
        </w:trPr>
        <w:tc>
          <w:tcPr>
            <w:tcW w:w="9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w:t>
            </w:r>
          </w:p>
        </w:tc>
      </w:tr>
      <w:tr>
        <w:trPr>
          <w:trHeight w:val="237"/>
        </w:trPr>
        <w:tc>
          <w:tcPr>
            <w:tcW w:w="9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1,131</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2021 and 2024 Credit Agreements</w:t>
      </w:r>
    </w:p>
    <w:p>
      <w:pPr>
        <w:spacing w:after="0" w:line="94" w:lineRule="exact"/>
        <w:rPr>
          <w:sz w:val="20"/>
          <w:szCs w:val="20"/>
          <w:color w:val="auto"/>
        </w:rPr>
      </w:pPr>
    </w:p>
    <w:p>
      <w:pPr>
        <w:ind w:right="20" w:firstLine="619"/>
        <w:spacing w:after="0" w:line="260" w:lineRule="auto"/>
        <w:rPr>
          <w:sz w:val="20"/>
          <w:szCs w:val="20"/>
          <w:color w:val="auto"/>
        </w:rPr>
      </w:pPr>
      <w:r>
        <w:rPr>
          <w:rFonts w:ascii="Times New Roman" w:cs="Times New Roman" w:eastAsia="Times New Roman" w:hAnsi="Times New Roman"/>
          <w:sz w:val="17"/>
          <w:szCs w:val="17"/>
          <w:color w:val="auto"/>
        </w:rPr>
        <w:t>On April 30, 2021, the Company entered into a credit agreement (the "2021 Credit Agreement") with Goldman Sachs Bank USA as administrative agent and collateral agent, and other lender parties thereto. The 2021 Credit Agreement provided for a $360.0 million seven-year senior secured term loan facility ("2021 Term Loan B Facility"), which had a maturity in April 2028, and a $65.0 million senior secured revolving credit facility (as amended in June 2021, the "2021 Revolving Credit Facility"), which had a maturity in December 2025. In June 2023, the Company amended the 2021 Credit Agreement (the "Amended 2021 Credit Agreement") to transition away from a variable interest rate based on the Eurodollar Rate towards a similar variable interest rate based on Adjusted Term SOFR, as defined in the Amended 2021 Credit Agreement, which is based on the secured overnight financing rate ("SOFR").</w:t>
      </w:r>
    </w:p>
    <w:p>
      <w:pPr>
        <w:spacing w:after="0" w:line="57" w:lineRule="exact"/>
        <w:rPr>
          <w:sz w:val="20"/>
          <w:szCs w:val="20"/>
          <w:color w:val="auto"/>
        </w:rPr>
      </w:pPr>
    </w:p>
    <w:p>
      <w:pPr>
        <w:ind w:right="160" w:firstLine="619"/>
        <w:spacing w:after="0" w:line="264" w:lineRule="auto"/>
        <w:rPr>
          <w:sz w:val="20"/>
          <w:szCs w:val="20"/>
          <w:color w:val="auto"/>
        </w:rPr>
      </w:pPr>
      <w:r>
        <w:rPr>
          <w:rFonts w:ascii="Times New Roman" w:cs="Times New Roman" w:eastAsia="Times New Roman" w:hAnsi="Times New Roman"/>
          <w:sz w:val="17"/>
          <w:szCs w:val="17"/>
          <w:color w:val="auto"/>
        </w:rPr>
        <w:t>Amounts outstanding under the Amended 2021 Credit Agreement accrue interest at a rate equal to either, (1) for the 2021 Term Loan B Facility, at the Company’s election, the Adjusted Term SOFR plus a margin of 5.00% per annum, or ABR (as defined in the Amended 2021 Credit Agreement) plus a margin of 4.00%, and (2) for the 2021 Revolving Credit Facility, at the Company’s election, the Adjusted Term SOFR plus a margin of 4.25% to 4.75%, or ABR plus a margin of 3.25% to 3.75%, in each case, depending on the Company’s first lien net leverage ratio.</w:t>
      </w:r>
    </w:p>
    <w:p>
      <w:pPr>
        <w:spacing w:after="0" w:line="55"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On February 6, 2024, the Company refinanced its credit agreement whereby it entered into a new credit agreement (the "2024 Credit Agreement") with Morgan Stanley Senior Funding, Inc. as the Company term loan administrative agent and Citibank, N.A. as the Company's revolving facility administrative agent and collateral agent, and other lender parties thereto. The 2024 Credit Agreement included a $365.0 million seven-year senior secured term loan facility (the "2024 Term Loan B Facility"), whose loans will mature in February 2031 and a $175.0 million five-year senior secured revolving credit facility (the "2024 Revolving Credit Facility"), which will mature in February 2029. The Company primarily used the proceeds from the 2024 Term Loan B Facility to repay in full all outstanding amounts owed under the Company's Amended 2021 Credit Agreement. Accordingly, the Amended 2021 Credit Agreement was terminated and replaced in its entirety. The obligations under the 2024 Credit Agreement are secured by substantially all of the assets of the Company.</w:t>
      </w:r>
    </w:p>
    <w:p>
      <w:pPr>
        <w:spacing w:after="0" w:line="50" w:lineRule="exact"/>
        <w:rPr>
          <w:sz w:val="20"/>
          <w:szCs w:val="20"/>
          <w:color w:val="auto"/>
        </w:rPr>
      </w:pPr>
    </w:p>
    <w:p>
      <w:pPr>
        <w:ind w:right="120" w:firstLine="619"/>
        <w:spacing w:after="0" w:line="264" w:lineRule="auto"/>
        <w:rPr>
          <w:sz w:val="20"/>
          <w:szCs w:val="20"/>
          <w:color w:val="auto"/>
        </w:rPr>
      </w:pPr>
      <w:r>
        <w:rPr>
          <w:rFonts w:ascii="Times New Roman" w:cs="Times New Roman" w:eastAsia="Times New Roman" w:hAnsi="Times New Roman"/>
          <w:sz w:val="17"/>
          <w:szCs w:val="17"/>
          <w:color w:val="auto"/>
        </w:rPr>
        <w:t>Amounts outstanding under the 2024 Credit Agreement accrue interest at a rate equal to either, (1) for the 2024 Term Loan B Facility, at the Company’s election, Term SOFR (as defined in the 2024 Credit Agreement) plus a margin of 4.50% per annum, or ABR (as defined in the 2024 Credit Agreement) plus a margin of 3.50%, and (2) for the 2024 Revolving Credit Facility, at the Company’s election, Term SOFR plus a margin of 3.50% to 4.00%, or ABR plus a margin of 2.50% to 3.00%, in each case, depending on the Company’s First Lien Net Leverage Ratio (as defined in the 2024 Credit Agreement).</w:t>
      </w:r>
    </w:p>
    <w:p>
      <w:pPr>
        <w:spacing w:after="0" w:line="55" w:lineRule="exact"/>
        <w:rPr>
          <w:sz w:val="20"/>
          <w:szCs w:val="20"/>
          <w:color w:val="auto"/>
        </w:rPr>
      </w:pPr>
    </w:p>
    <w:p>
      <w:pPr>
        <w:ind w:right="240" w:firstLine="619"/>
        <w:spacing w:after="0" w:line="261" w:lineRule="auto"/>
        <w:rPr>
          <w:sz w:val="20"/>
          <w:szCs w:val="20"/>
          <w:color w:val="auto"/>
        </w:rPr>
      </w:pPr>
      <w:r>
        <w:rPr>
          <w:rFonts w:ascii="Times New Roman" w:cs="Times New Roman" w:eastAsia="Times New Roman" w:hAnsi="Times New Roman"/>
          <w:sz w:val="17"/>
          <w:szCs w:val="17"/>
          <w:color w:val="auto"/>
        </w:rPr>
        <w:t>On September 18, 2024, the Company entered into Amendment No. 1 to the 2024 Credit Agreement ("Amendment No. 1"), which reduced the interest rate of the 2024 Term Loan B Facility by 75 basis points to Term SOFR plus a margin of 3.75%, from the previous rate of Term SOFR plus a margin of 4.50%. Amendment No. 1 also reduced the interest rate margin of any ABR Loans (as defined in Amendment No. 1) by 75 basis points to ABR plus a margin of 2.75% from the previous rate of ABR plus a margin of 3.50%. The remaining terms of the 2024 Term Loan B Facility and 2024 Revolving Credit Facility were substantially unchanged.</w:t>
      </w:r>
    </w:p>
    <w:p>
      <w:pPr>
        <w:spacing w:after="0" w:line="59" w:lineRule="exact"/>
        <w:rPr>
          <w:sz w:val="20"/>
          <w:szCs w:val="20"/>
          <w:color w:val="auto"/>
        </w:rPr>
      </w:pPr>
    </w:p>
    <w:p>
      <w:pPr>
        <w:ind w:right="40" w:firstLine="619"/>
        <w:spacing w:after="0" w:line="260" w:lineRule="auto"/>
        <w:rPr>
          <w:sz w:val="20"/>
          <w:szCs w:val="20"/>
          <w:color w:val="auto"/>
        </w:rPr>
      </w:pPr>
      <w:r>
        <w:rPr>
          <w:rFonts w:ascii="Times New Roman" w:cs="Times New Roman" w:eastAsia="Times New Roman" w:hAnsi="Times New Roman"/>
          <w:sz w:val="17"/>
          <w:szCs w:val="17"/>
          <w:color w:val="auto"/>
        </w:rPr>
        <w:t>On March 18, 2025, the Company entered into Amendment No. 2 to the 2024 Credit Agreement ("Amendment No. 2"), which reduced the interest rate of the 2024 Term Loan B Facility by an additional 75 basis points to Term SOFR plus a margin of 3.00%, from the previous rate of Term SOFR plus a margin of 3.75%. Amendment No. 2 also reduced the interest rate margin of any ABR Loans (as defined in Amendment No. 2) by 75 basis points to ABR plus a margin of</w:t>
      </w:r>
    </w:p>
    <w:p>
      <w:pPr>
        <w:ind w:right="280"/>
        <w:spacing w:after="0" w:line="266" w:lineRule="auto"/>
        <w:rPr>
          <w:sz w:val="20"/>
          <w:szCs w:val="20"/>
          <w:color w:val="auto"/>
        </w:rPr>
      </w:pPr>
      <w:r>
        <w:rPr>
          <w:rFonts w:ascii="Times New Roman" w:cs="Times New Roman" w:eastAsia="Times New Roman" w:hAnsi="Times New Roman"/>
          <w:sz w:val="17"/>
          <w:szCs w:val="17"/>
          <w:color w:val="auto"/>
        </w:rPr>
        <w:t>2.00% from the previous rate of ABR plus a margin of 2.75%. The remaining terms of the 2024 Term Loan B Facility and 2024 Revolving Credit Facility were substantially unchanged.</w:t>
      </w:r>
    </w:p>
    <w:p>
      <w:pPr>
        <w:spacing w:after="0" w:line="40" w:lineRule="exact"/>
        <w:rPr>
          <w:sz w:val="20"/>
          <w:szCs w:val="20"/>
          <w:color w:val="auto"/>
        </w:rPr>
      </w:pPr>
    </w:p>
    <w:p>
      <w:pPr>
        <w:ind w:right="160" w:firstLine="619"/>
        <w:spacing w:after="0" w:line="270" w:lineRule="auto"/>
        <w:rPr>
          <w:sz w:val="20"/>
          <w:szCs w:val="20"/>
          <w:color w:val="auto"/>
        </w:rPr>
      </w:pPr>
      <w:r>
        <w:rPr>
          <w:rFonts w:ascii="Times New Roman" w:cs="Times New Roman" w:eastAsia="Times New Roman" w:hAnsi="Times New Roman"/>
          <w:sz w:val="17"/>
          <w:szCs w:val="17"/>
          <w:color w:val="auto"/>
        </w:rPr>
        <w:t>As of March 31, 2025, the contractual interest rate related to the 2024 Term Loan B Facility was 7.32%. In addition to having to pay contractual interest on the 2024 Term Loan B Facility, the Company is also required to pay certain other fees, primarily to the lenders under the 2024 Revolving Credit Facility, in order to maintain their revolving facility commitments.</w:t>
      </w:r>
    </w:p>
    <w:p>
      <w:pPr>
        <w:spacing w:after="0" w:line="49" w:lineRule="exact"/>
        <w:rPr>
          <w:sz w:val="20"/>
          <w:szCs w:val="20"/>
          <w:color w:val="auto"/>
        </w:rPr>
      </w:pPr>
    </w:p>
    <w:p>
      <w:pPr>
        <w:ind w:right="80" w:firstLine="619"/>
        <w:spacing w:after="0" w:line="264" w:lineRule="auto"/>
        <w:rPr>
          <w:sz w:val="20"/>
          <w:szCs w:val="20"/>
          <w:color w:val="auto"/>
        </w:rPr>
      </w:pPr>
      <w:r>
        <w:rPr>
          <w:rFonts w:ascii="Times New Roman" w:cs="Times New Roman" w:eastAsia="Times New Roman" w:hAnsi="Times New Roman"/>
          <w:sz w:val="17"/>
          <w:szCs w:val="17"/>
          <w:color w:val="auto"/>
        </w:rPr>
        <w:t>The covenants of the 2024 Credit Agreement include customary negative covenants that, among other things, restrict the Company’s ability to incur additional indebtedness, grant liens and make certain acquisitions, investments, asset dispositions and restricted payments. In addition, the 2024 Credit Agreement contains a springing financial covenant that is tested on the last day of any fiscal quarter only if utilization of the 2024 Revolving Credit Facility exceeds 35% of the total revolving commitments,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whereby the Company is required to maintain a First Lien Net Leverage Ratio below 3.25 to 1.00. As of March 31, 2025, no amounts were outstanding under the 2024 Revolving Credit Facility and the Company was in compliance with its debt covenants. At March 31, 2025, amounts available under the 2024 Revolving Credit Facility were $169.5 million, net of letters of credit outstanding in the amount of $5.5 million.</w:t>
      </w:r>
    </w:p>
    <w:p>
      <w:pPr>
        <w:spacing w:after="0" w:line="36" w:lineRule="exact"/>
        <w:rPr>
          <w:sz w:val="20"/>
          <w:szCs w:val="20"/>
          <w:color w:val="auto"/>
        </w:rPr>
      </w:pPr>
    </w:p>
    <w:p>
      <w:pPr>
        <w:ind w:right="160" w:firstLine="619"/>
        <w:spacing w:after="0" w:line="260" w:lineRule="auto"/>
        <w:rPr>
          <w:sz w:val="20"/>
          <w:szCs w:val="20"/>
          <w:color w:val="auto"/>
        </w:rPr>
      </w:pPr>
      <w:r>
        <w:rPr>
          <w:rFonts w:ascii="Times New Roman" w:cs="Times New Roman" w:eastAsia="Times New Roman" w:hAnsi="Times New Roman"/>
          <w:sz w:val="17"/>
          <w:szCs w:val="17"/>
          <w:color w:val="auto"/>
        </w:rPr>
        <w:t>The 2024 Credit Agreement includes customary events of default, and customary rights and remedies upon the occurrence of any event of default thereunder, including rights to accelerate the loans, terminate the commitments thereunder and realize upon the collateral securing the obligations under the 2024 Credit Agreement. The 2024 Credit Agreement calls for customary scheduled loan amortization payments of 0.25% of the initial principal balance, which at the time of Amendment No. 2 was $363.2 million, payable quarterly (i.e. 1% in aggregate per year) as well as a provision that requires the Company to prepay the 2024 Term Loan B Facility based on an annual calculation of free cash flow ("Excess Cash Flow") as defined by the 2024 Credit Agreement. The Company was not required to make any such mandatory prepayment required by the Excess Cash Flow provision for the period ended March 31, 2025.</w:t>
      </w:r>
    </w:p>
    <w:p>
      <w:pPr>
        <w:spacing w:after="0" w:line="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amount outstanding under the Company's 2024 Term Loan B Facility at March 31, 2025 and December 31, 2024: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2"/>
        </w:trPr>
        <w:tc>
          <w:tcPr>
            <w:tcW w:w="7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gridSpan w:val="4"/>
          </w:tcPr>
          <w:p>
            <w:pPr>
              <w:spacing w:after="0" w:line="20" w:lineRule="exact"/>
              <w:rPr>
                <w:sz w:val="1"/>
                <w:szCs w:val="1"/>
                <w:color w:val="auto"/>
              </w:rPr>
            </w:pPr>
          </w:p>
        </w:tc>
      </w:tr>
      <w:tr>
        <w:trPr>
          <w:trHeight w:val="181"/>
        </w:trPr>
        <w:tc>
          <w:tcPr>
            <w:tcW w:w="7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40" w:type="dxa"/>
            <w:vAlign w:val="bottom"/>
            <w:gridSpan w:val="4"/>
          </w:tcPr>
          <w:p>
            <w:pPr>
              <w:jc w:val="right"/>
              <w:ind w:right="1138"/>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15"/>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 B Facility</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363,177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363,177</w:t>
            </w:r>
          </w:p>
        </w:tc>
      </w:tr>
      <w:tr>
        <w:trPr>
          <w:trHeight w:val="21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Unamortized debt discount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(6,198)</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Unamortized debt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(6,877)</w:t>
            </w:r>
          </w:p>
        </w:tc>
      </w:tr>
      <w:tr>
        <w:trPr>
          <w:trHeight w:val="212"/>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Debt, net of debt discount and debt issuance costs</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352,633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350,102</w:t>
            </w:r>
          </w:p>
        </w:tc>
      </w:tr>
      <w:tr>
        <w:trPr>
          <w:trHeight w:val="20"/>
        </w:trPr>
        <w:tc>
          <w:tcPr>
            <w:tcW w:w="7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February 6, 2024 Debt Refinance</w:t>
      </w:r>
    </w:p>
    <w:p>
      <w:pPr>
        <w:spacing w:after="0" w:line="118" w:lineRule="exact"/>
        <w:rPr>
          <w:sz w:val="20"/>
          <w:szCs w:val="20"/>
          <w:color w:val="auto"/>
        </w:rPr>
      </w:pPr>
    </w:p>
    <w:p>
      <w:pPr>
        <w:ind w:right="200" w:firstLine="619"/>
        <w:spacing w:after="0" w:line="261" w:lineRule="auto"/>
        <w:rPr>
          <w:sz w:val="20"/>
          <w:szCs w:val="20"/>
          <w:color w:val="auto"/>
        </w:rPr>
      </w:pPr>
      <w:r>
        <w:rPr>
          <w:rFonts w:ascii="Times New Roman" w:cs="Times New Roman" w:eastAsia="Times New Roman" w:hAnsi="Times New Roman"/>
          <w:sz w:val="17"/>
          <w:szCs w:val="17"/>
          <w:color w:val="auto"/>
        </w:rPr>
        <w:t>As part of the debt refinance on February 6, 2024, where lenders under the 2021 Credit Agreement continued to be lenders under the 2024 Credit Agreement, certain of their loans and revolving facility commitments were deemed to have been modified ("Modified Loans" and "Modified Commitments," respectively). The Company continued to defer debt discount costs of $3.7 million and debt issuance costs of $5.7 million from Modified Loans over the term of the new 2024 Term Loan B Facility. The Company continued to defer financing costs as of February 6, 2024 of an immaterial amount from Modified Commitments over the term of the new 2024 Revolver Facility.</w:t>
      </w:r>
    </w:p>
    <w:p>
      <w:pPr>
        <w:spacing w:after="0" w:line="72"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For lenders of the 2021 Credit Agreement that did not continue to participate in the 2024 Credit Agreement, their pro-rata portion of the unamortized debt discount of $2.8 million, unamortized debt issuance costs of $4.3 million, and unamortized deferred financing costs of an immaterial amount were deemed to be extinguished. The resulting loss on extinguishment of debt of $7.4 million is included in other (income) expense in the Company's condensed consolidated statement of operations for the three months ended March 31, 2024.</w:t>
      </w:r>
    </w:p>
    <w:p>
      <w:pPr>
        <w:spacing w:after="0" w:line="68" w:lineRule="exact"/>
        <w:rPr>
          <w:sz w:val="20"/>
          <w:szCs w:val="20"/>
          <w:color w:val="auto"/>
        </w:rPr>
      </w:pPr>
    </w:p>
    <w:p>
      <w:pPr>
        <w:ind w:right="20" w:firstLine="619"/>
        <w:spacing w:after="0" w:line="259" w:lineRule="auto"/>
        <w:rPr>
          <w:sz w:val="20"/>
          <w:szCs w:val="20"/>
          <w:color w:val="auto"/>
        </w:rPr>
      </w:pPr>
      <w:r>
        <w:rPr>
          <w:rFonts w:ascii="Times New Roman" w:cs="Times New Roman" w:eastAsia="Times New Roman" w:hAnsi="Times New Roman"/>
          <w:sz w:val="17"/>
          <w:szCs w:val="17"/>
          <w:color w:val="auto"/>
        </w:rPr>
        <w:t>The Company paid $7.7 million in third-party fees related to the closing of the 2024 Credit Agreement. Third-party fees attributed to new lenders of $2.4 million were capitalized as part of the debt issuance costs and will be amortized over the term of the 2024 Term Loan B Facility while third-party fees attributed to Modified Loans of $3.1 million were included in general and administrative expenses in the Company's condensed consolidated statement of operations for the three months ended March 31, 2024. In addition, third-party fees of $2.1 million attributed to new revolving lenders and Modified Commitments were capitalized as part of deferred financing costs and will be amortized over the term of the 2024 Revolving Facility. The Company also capitalized additional debt discount costs of $3.7 million associated with the closing of the 2024 Term Loan B Facility, which will be amortized over the term of the 2024 Term Loan B Facility.</w:t>
      </w:r>
    </w:p>
    <w:p>
      <w:pPr>
        <w:spacing w:after="0" w:line="2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September 18, 2024 Debt Repricing</w:t>
      </w:r>
    </w:p>
    <w:p>
      <w:pPr>
        <w:spacing w:after="0" w:line="118" w:lineRule="exact"/>
        <w:rPr>
          <w:sz w:val="20"/>
          <w:szCs w:val="20"/>
          <w:color w:val="auto"/>
        </w:rPr>
      </w:pPr>
    </w:p>
    <w:p>
      <w:pPr>
        <w:ind w:right="80" w:firstLine="619"/>
        <w:spacing w:after="0" w:line="257" w:lineRule="auto"/>
        <w:rPr>
          <w:sz w:val="20"/>
          <w:szCs w:val="20"/>
          <w:color w:val="auto"/>
        </w:rPr>
      </w:pPr>
      <w:r>
        <w:rPr>
          <w:rFonts w:ascii="Times New Roman" w:cs="Times New Roman" w:eastAsia="Times New Roman" w:hAnsi="Times New Roman"/>
          <w:sz w:val="17"/>
          <w:szCs w:val="17"/>
          <w:color w:val="auto"/>
        </w:rPr>
        <w:t>The Company analyzed the changes of Amendment No. 1 on a lender-by-lender basis and determined that the transaction would primarily be accounted for as a modification, with a portion of it accounted for as debt extinguishment and new debt issuance. As a result, the Company recognized an immaterial loss on extinguishment related to unamortized debt discount and unamortized debt issuance costs related to the portion of the 2024 Term Loan B Facility that was extinguished. The Company paid $1.0 million in third-party fees related to Amendment No. 1 of which an immaterial amount was capitalized as debt issuance costs and $1.0 million was included in general and administrative expenses in the Company's condensed consolidated statement of operations for the three months ended September 30, 2024. As part of Amendment No. 1, most lenders decided to roll their loan balances over from the original 2024 Term Loan B Facility to the amended 2024 Term Loan B Facility, while some decided to cash out and reassign their loan balances. On September 18, 2024, $312.0 million of the 2024 Term Loan B Facility principal balance was rolled over as part of non-cash financing activities while $52.1 million of the 2024 Term Loan B Facility principal balance was repaid and then reissued.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4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March 18, 2025 Debt Repricing</w:t>
      </w:r>
    </w:p>
    <w:p>
      <w:pPr>
        <w:spacing w:after="0" w:line="118" w:lineRule="exact"/>
        <w:rPr>
          <w:sz w:val="20"/>
          <w:szCs w:val="20"/>
          <w:color w:val="auto"/>
        </w:rPr>
      </w:pPr>
    </w:p>
    <w:p>
      <w:pPr>
        <w:ind w:right="40" w:firstLine="619"/>
        <w:spacing w:after="0" w:line="257" w:lineRule="auto"/>
        <w:rPr>
          <w:sz w:val="20"/>
          <w:szCs w:val="20"/>
          <w:color w:val="auto"/>
        </w:rPr>
      </w:pPr>
      <w:r>
        <w:rPr>
          <w:rFonts w:ascii="Times New Roman" w:cs="Times New Roman" w:eastAsia="Times New Roman" w:hAnsi="Times New Roman"/>
          <w:sz w:val="17"/>
          <w:szCs w:val="17"/>
          <w:color w:val="auto"/>
        </w:rPr>
        <w:t>The Company analyzed the changes of Amendment No. 2 on a lender-by-lender basis and determined that the transaction would primarily be accounted for as a modification, with a portion of it accounted for as debt extinguishment and new debt issuance. As a result, the Company recognized a loss on extinguishment of $2.2 million related to $1.0 million of unamortized debt discount and $1.1 million of unamortized debt issuance costs related to the portion of the 2024 Term Loan B Facility that was extinguished. The Company paid $1.1 million in third-party fees related to Amendment No. 2 of which an immaterial amount was capitalized as debt issuance costs and $1.0 million was included in general and administrative expenses in the Company's condensed consolidated statement of operations for the three months ended March 31, 2025. As part of Amendment No. 2, most of the 2024 Term Loan B lenders decided to roll their loan balances over from Amendment No. 1 to Amendment No. 2, while some decided to cash out and reassign their loan balances. On March 18, 2025, $270.6 million of the 2024 Term Loan B principal balance from Amendment No. 1 was rolled over to Amendment No. 2 as part of non-cash financing activities while $92.6 million of the 2024 Term Loan B Facility principal balance from Amendment No. 1 was repaid and then reissued as part of Amendment No. 2.</w:t>
      </w:r>
    </w:p>
    <w:p>
      <w:pPr>
        <w:spacing w:after="0" w:line="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interest expense related to the 2024 Term Loan B Facility and the 2021 Term Loan B Facility (in thousands, except interest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rates):</w:t>
      </w:r>
    </w:p>
    <w:p>
      <w:pPr>
        <w:spacing w:after="0" w:line="115"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4913630</wp:posOffset>
            </wp:positionH>
            <wp:positionV relativeFrom="paragraph">
              <wp:posOffset>27940</wp:posOffset>
            </wp:positionV>
            <wp:extent cx="22269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26945"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Contractual interest expense</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Amortization of debt discount</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Amortization of debt issuance costs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interest expense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Effective interest rate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425"/>
        <w:spacing w:after="0"/>
        <w:rPr>
          <w:sz w:val="20"/>
          <w:szCs w:val="20"/>
          <w:color w:val="auto"/>
        </w:rPr>
      </w:pPr>
      <w:r>
        <w:rPr>
          <w:rFonts w:ascii="Times New Roman" w:cs="Times New Roman" w:eastAsia="Times New Roman" w:hAnsi="Times New Roman"/>
          <w:sz w:val="14"/>
          <w:szCs w:val="14"/>
          <w:b w:val="1"/>
          <w:bCs w:val="1"/>
          <w:color w:val="auto"/>
        </w:rPr>
        <w:t>March 31, 2025</w:t>
      </w:r>
    </w:p>
    <w:p>
      <w:pPr>
        <w:spacing w:after="0" w:line="40" w:lineRule="exact"/>
        <w:rPr>
          <w:sz w:val="20"/>
          <w:szCs w:val="20"/>
          <w:color w:val="auto"/>
        </w:rPr>
      </w:pPr>
    </w:p>
    <w:p>
      <w:pPr>
        <w:ind w:left="1085" w:hanging="1085"/>
        <w:spacing w:after="0"/>
        <w:tabs>
          <w:tab w:leader="none" w:pos="108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7,230</w:t>
      </w:r>
    </w:p>
    <w:p>
      <w:pPr>
        <w:spacing w:after="0" w:line="27" w:lineRule="exact"/>
        <w:rPr>
          <w:rFonts w:ascii="Times New Roman" w:cs="Times New Roman" w:eastAsia="Times New Roman" w:hAnsi="Times New Roman"/>
          <w:sz w:val="17"/>
          <w:szCs w:val="17"/>
          <w:color w:val="auto"/>
        </w:rPr>
      </w:pPr>
    </w:p>
    <w:p>
      <w:pPr>
        <w:ind w:left="122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256</w:t>
      </w:r>
    </w:p>
    <w:p>
      <w:pPr>
        <w:spacing w:after="0" w:line="23" w:lineRule="exact"/>
        <w:rPr>
          <w:rFonts w:ascii="Times New Roman" w:cs="Times New Roman" w:eastAsia="Times New Roman" w:hAnsi="Times New Roman"/>
          <w:sz w:val="17"/>
          <w:szCs w:val="17"/>
          <w:color w:val="auto"/>
        </w:rPr>
      </w:pPr>
    </w:p>
    <w:p>
      <w:pPr>
        <w:ind w:left="122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-4921885</wp:posOffset>
            </wp:positionH>
            <wp:positionV relativeFrom="paragraph">
              <wp:posOffset>-401955</wp:posOffset>
            </wp:positionV>
            <wp:extent cx="7138670" cy="1390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-4921885</wp:posOffset>
            </wp:positionH>
            <wp:positionV relativeFrom="paragraph">
              <wp:posOffset>-123825</wp:posOffset>
            </wp:positionV>
            <wp:extent cx="7138670" cy="147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13" w:lineRule="exact"/>
        <w:rPr>
          <w:sz w:val="20"/>
          <w:szCs w:val="20"/>
          <w:color w:val="auto"/>
        </w:rPr>
      </w:pPr>
    </w:p>
    <w:p>
      <w:pPr>
        <w:ind w:left="1085" w:hanging="1085"/>
        <w:spacing w:after="0"/>
        <w:tabs>
          <w:tab w:leader="none" w:pos="108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7,768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-4921885</wp:posOffset>
            </wp:positionH>
            <wp:positionV relativeFrom="paragraph">
              <wp:posOffset>17145</wp:posOffset>
            </wp:positionV>
            <wp:extent cx="7138670" cy="1720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8670" cy="172085"/>
                    </a:xfrm>
                    <a:prstGeom prst="rect">
                      <a:avLst/>
                    </a:prstGeom>
                    <a:noFill/>
                  </pic:spPr>
                </pic:pic>
              </a:graphicData>
            </a:graphic>
          </wp:anchor>
        </w:drawing>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8.56 %</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March 31, 2024</w:t>
      </w:r>
    </w:p>
    <w:p>
      <w:pPr>
        <w:spacing w:after="0" w:line="40" w:lineRule="exact"/>
        <w:rPr>
          <w:sz w:val="20"/>
          <w:szCs w:val="20"/>
          <w:color w:val="auto"/>
        </w:rPr>
      </w:pPr>
    </w:p>
    <w:p>
      <w:pPr>
        <w:ind w:left="1080" w:hanging="1080"/>
        <w:spacing w:after="0"/>
        <w:tabs>
          <w:tab w:leader="none" w:pos="10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9,166</w:t>
      </w:r>
    </w:p>
    <w:p>
      <w:pPr>
        <w:spacing w:after="0" w:line="27" w:lineRule="exact"/>
        <w:rPr>
          <w:rFonts w:ascii="Times New Roman" w:cs="Times New Roman" w:eastAsia="Times New Roman" w:hAnsi="Times New Roman"/>
          <w:sz w:val="17"/>
          <w:szCs w:val="17"/>
          <w:color w:val="auto"/>
        </w:rPr>
      </w:pPr>
    </w:p>
    <w:p>
      <w:pPr>
        <w:ind w:left="12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314</w:t>
      </w:r>
    </w:p>
    <w:p>
      <w:pPr>
        <w:spacing w:after="0" w:line="23" w:lineRule="exact"/>
        <w:rPr>
          <w:rFonts w:ascii="Times New Roman" w:cs="Times New Roman" w:eastAsia="Times New Roman" w:hAnsi="Times New Roman"/>
          <w:sz w:val="17"/>
          <w:szCs w:val="17"/>
          <w:color w:val="auto"/>
        </w:rPr>
      </w:pPr>
    </w:p>
    <w:p>
      <w:pPr>
        <w:ind w:left="12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10807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spacing w:after="0" w:line="13" w:lineRule="exact"/>
        <w:rPr>
          <w:sz w:val="20"/>
          <w:szCs w:val="20"/>
          <w:color w:val="auto"/>
        </w:rPr>
      </w:pPr>
    </w:p>
    <w:p>
      <w:pPr>
        <w:ind w:left="1080" w:hanging="1080"/>
        <w:spacing w:after="0"/>
        <w:tabs>
          <w:tab w:leader="none" w:pos="10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9,898</w:t>
      </w:r>
    </w:p>
    <w:p>
      <w:pPr>
        <w:spacing w:after="0" w:line="75" w:lineRule="exact"/>
        <w:rPr>
          <w:rFonts w:ascii="Times New Roman" w:cs="Times New Roman" w:eastAsia="Times New Roman" w:hAnsi="Times New Roman"/>
          <w:sz w:val="17"/>
          <w:szCs w:val="17"/>
          <w:color w:val="auto"/>
        </w:rPr>
      </w:pPr>
    </w:p>
    <w:p>
      <w:pPr>
        <w:ind w:left="1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11.03 %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-146685</wp:posOffset>
            </wp:positionV>
            <wp:extent cx="10807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spacing w:after="0" w:line="202" w:lineRule="exact"/>
        <w:rPr>
          <w:sz w:val="20"/>
          <w:szCs w:val="20"/>
          <w:color w:val="auto"/>
        </w:rPr>
      </w:pPr>
    </w:p>
    <w:p>
      <w:pPr>
        <w:sectPr>
          <w:pgSz w:w="11900" w:h="16838" w:orient="portrait"/>
          <w:cols w:equalWidth="0" w:num="3">
            <w:col w:w="7035" w:space="720"/>
            <w:col w:w="1665" w:space="140"/>
            <w:col w:w="1680"/>
          </w:cols>
          <w:pgMar w:left="320" w:top="123" w:right="339" w:bottom="1440" w:gutter="0" w:footer="0" w:header="0"/>
          <w:type w:val="continuous"/>
        </w:sectPr>
      </w:pPr>
    </w:p>
    <w:p>
      <w:pPr>
        <w:ind w:right="340" w:firstLine="619"/>
        <w:spacing w:after="0" w:line="287" w:lineRule="auto"/>
        <w:rPr>
          <w:sz w:val="20"/>
          <w:szCs w:val="20"/>
          <w:color w:val="auto"/>
        </w:rPr>
      </w:pPr>
      <w:r>
        <w:rPr>
          <w:rFonts w:ascii="Times New Roman" w:cs="Times New Roman" w:eastAsia="Times New Roman" w:hAnsi="Times New Roman"/>
          <w:sz w:val="17"/>
          <w:szCs w:val="17"/>
          <w:color w:val="auto"/>
        </w:rPr>
        <w:t>Amortization expense for the 2024 Term Loan B Facility debt discount and debt issuance costs for fiscal years 2025 through 2029 and thereafter is as follows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40" w:type="dxa"/>
            <w:vAlign w:val="bottom"/>
          </w:tcPr>
          <w:p>
            <w:pPr>
              <w:spacing w:after="0"/>
              <w:rPr>
                <w:sz w:val="15"/>
                <w:szCs w:val="15"/>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Debt Discount</w:t>
            </w:r>
          </w:p>
        </w:tc>
        <w:tc>
          <w:tcPr>
            <w:tcW w:w="160" w:type="dxa"/>
            <w:vAlign w:val="bottom"/>
          </w:tcPr>
          <w:p>
            <w:pPr>
              <w:spacing w:after="0"/>
              <w:rPr>
                <w:sz w:val="15"/>
                <w:szCs w:val="15"/>
                <w:color w:val="auto"/>
              </w:rPr>
            </w:pPr>
          </w:p>
        </w:tc>
        <w:tc>
          <w:tcPr>
            <w:tcW w:w="14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Debt Issuance Costs</w:t>
            </w:r>
          </w:p>
        </w:tc>
      </w:tr>
      <w:tr>
        <w:trPr>
          <w:trHeight w:val="22"/>
        </w:trPr>
        <w:tc>
          <w:tcPr>
            <w:tcW w:w="7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Remaining 2025</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w:t>
            </w:r>
          </w:p>
        </w:tc>
      </w:tr>
      <w:tr>
        <w:trPr>
          <w:trHeight w:val="21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978</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w:t>
            </w:r>
          </w:p>
        </w:tc>
      </w:tr>
      <w:tr>
        <w:trPr>
          <w:trHeight w:val="21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958</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w:t>
            </w:r>
          </w:p>
        </w:tc>
      </w:tr>
      <w:tr>
        <w:trPr>
          <w:trHeight w:val="21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1,030</w:t>
            </w:r>
          </w:p>
        </w:tc>
      </w:tr>
      <w:tr>
        <w:trPr>
          <w:trHeight w:val="237"/>
        </w:trPr>
        <w:tc>
          <w:tcPr>
            <w:tcW w:w="7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4,922</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Total Interest Expense and Interest Income</w:t>
      </w:r>
    </w:p>
    <w:p>
      <w:pPr>
        <w:spacing w:after="0" w:line="107" w:lineRule="exact"/>
        <w:rPr>
          <w:sz w:val="20"/>
          <w:szCs w:val="20"/>
          <w:color w:val="auto"/>
        </w:rPr>
      </w:pPr>
    </w:p>
    <w:p>
      <w:pPr>
        <w:ind w:right="140" w:firstLine="619"/>
        <w:spacing w:after="0" w:line="264" w:lineRule="auto"/>
        <w:rPr>
          <w:sz w:val="20"/>
          <w:szCs w:val="20"/>
          <w:color w:val="auto"/>
        </w:rPr>
      </w:pPr>
      <w:r>
        <w:rPr>
          <w:rFonts w:ascii="Times New Roman" w:cs="Times New Roman" w:eastAsia="Times New Roman" w:hAnsi="Times New Roman"/>
          <w:sz w:val="17"/>
          <w:szCs w:val="17"/>
          <w:color w:val="auto"/>
        </w:rPr>
        <w:t>Interest expense consists primarily of contractual interest expense and amortization of debt discount, debt issuance costs, and deferred financing costs related to the Company's debt facilities under its 2024 Credit Agreement and 2021 Credit Agreement as well as its Convertible Senior Notes. Interest income primarily consists of interest earned on the Company's cash equivalents. The following includes interest expense and interest income, as presented within interest expense, net in the condensed consolidated statement of operations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40" w:type="dxa"/>
            <w:vAlign w:val="bottom"/>
            <w:gridSpan w:val="4"/>
          </w:tcPr>
          <w:p>
            <w:pPr>
              <w:jc w:val="right"/>
              <w:ind w:right="91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6"/>
        </w:trPr>
        <w:tc>
          <w:tcPr>
            <w:tcW w:w="7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20" w:type="dxa"/>
            <w:vAlign w:val="bottom"/>
          </w:tcPr>
          <w:p>
            <w:pPr>
              <w:spacing w:after="0"/>
              <w:rPr>
                <w:sz w:val="17"/>
                <w:szCs w:val="17"/>
                <w:color w:val="auto"/>
              </w:rPr>
            </w:pPr>
          </w:p>
        </w:tc>
        <w:tc>
          <w:tcPr>
            <w:tcW w:w="136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2"/>
        </w:trPr>
        <w:tc>
          <w:tcPr>
            <w:tcW w:w="7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center"/>
              <w:ind w:left="761"/>
              <w:spacing w:after="0"/>
              <w:rPr>
                <w:sz w:val="20"/>
                <w:szCs w:val="20"/>
                <w:color w:val="auto"/>
              </w:rPr>
            </w:pPr>
            <w:r>
              <w:rPr>
                <w:rFonts w:ascii="Times New Roman" w:cs="Times New Roman" w:eastAsia="Times New Roman" w:hAnsi="Times New Roman"/>
                <w:sz w:val="17"/>
                <w:szCs w:val="17"/>
                <w:color w:val="auto"/>
              </w:rPr>
              <w:t>8,420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10,454</w:t>
            </w:r>
          </w:p>
        </w:tc>
      </w:tr>
      <w:tr>
        <w:trPr>
          <w:trHeight w:val="219"/>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741"/>
              <w:spacing w:after="0"/>
              <w:rPr>
                <w:sz w:val="20"/>
                <w:szCs w:val="20"/>
                <w:color w:val="auto"/>
              </w:rPr>
            </w:pPr>
            <w:r>
              <w:rPr>
                <w:rFonts w:ascii="Times New Roman" w:cs="Times New Roman" w:eastAsia="Times New Roman" w:hAnsi="Times New Roman"/>
                <w:sz w:val="17"/>
                <w:szCs w:val="17"/>
                <w:color w:val="auto"/>
              </w:rPr>
              <w:t>(3,243)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(2,496)</w:t>
            </w:r>
          </w:p>
        </w:tc>
      </w:tr>
      <w:tr>
        <w:trPr>
          <w:trHeight w:val="23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center"/>
              <w:ind w:left="761"/>
              <w:spacing w:after="0"/>
              <w:rPr>
                <w:sz w:val="20"/>
                <w:szCs w:val="20"/>
                <w:color w:val="auto"/>
              </w:rPr>
            </w:pPr>
            <w:r>
              <w:rPr>
                <w:rFonts w:ascii="Times New Roman" w:cs="Times New Roman" w:eastAsia="Times New Roman" w:hAnsi="Times New Roman"/>
                <w:sz w:val="17"/>
                <w:szCs w:val="17"/>
                <w:color w:val="auto"/>
              </w:rPr>
              <w:t>5,177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7,958</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32"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17"/>
          <w:szCs w:val="17"/>
          <w:i w:val="1"/>
          <w:iCs w:val="1"/>
          <w:color w:val="auto"/>
        </w:rPr>
        <w:t>This Quarterly Report on Form 10-Q and related statements by the Company contain forward-looking statements, including statements based upon or relating to our expectations, assumptions, estimates, and projections. In some cases, you can identify forward-looking statements by terms such as "may," "might," "will," "objective," "intend," "should," "could," "can," "would," "expect," "believe," "design," "anticipate," "estimate," "predict," "potential," "plan" or the negative of these terms, and similar expressions. Forward-looking statements may include, but are not limited to, statements concerning the Company's guidance or expectations with respect to future financial performance; acquisitions by the Company, or the anticipated benefits thereof; macroeconomic conditions or concerns related thereto; the growth of ad-supported programmatic connected television ("CTV"); our ability to use and collect data to provide our offerings; the scope and duration of client relationships; the fees we may charge in the future; key strategic objectives; anticipated benefits of new offerings; business mix; sales growth; benefits from supply path optimization; our ability to adapt to advancements in artificial intelligence; the development of identity solutions; client utilization of our offerings; the impact of requests for discounts, rebates or other fee concessions; our competitive differentiation; our market share and leadership position in the industry; market conditions, trends, and opportunities; certain statements regarding future operational performance measures; and other statements that are not historical facts. These statements are not guarantees of future performance; they reflect our current views with respect to future events and are based on assumptions and estimates and subject to known and unknown risks, uncertainties and other factors that may cause our actual results, performance or achievements to be materially different from expectations or results projected or implied by forward-looking statements.</w:t>
      </w:r>
    </w:p>
    <w:p>
      <w:pPr>
        <w:spacing w:after="0" w:line="62"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i w:val="1"/>
          <w:iCs w:val="1"/>
          <w:color w:val="auto"/>
        </w:rPr>
        <w:t>We discuss many of these risks and additional factors that could cause actual results to differ materially from those anticipated by our forward-looking statements under the headings "Risk Factors" and "Management's Discussion and Analysis of Financial Condition and Results of Operations," and elsewhere in this report and in other filings we have made and will make from time to time with the Securities and Exchange Commission, or SEC, including our Annual Report on Form 10-K for the year ended December 31, 2024 and subsequent filings. These forward-looking statements represent our estimates and assumptions only as of the date of the report in which they are included. Unless required by federal securities laws, we assume no obligation to update any of these forward-looking statements, or to update the reasons actual results could differ materially from those anticipated, to reflect circumstances or events that occur after the statements are made. Without limiting the foregoing, any guidance we may provide will generally be given only in connection with quarterly and annual earnings announcements, without interim updates, and we may appear at industry conferences or make other public statements without disclosing material nonpublic information in our possession. Given these uncertainties, investors should not place undue reliance on these forward-looking statements.</w:t>
      </w:r>
    </w:p>
    <w:p>
      <w:pPr>
        <w:spacing w:after="0" w:line="55" w:lineRule="exact"/>
        <w:rPr>
          <w:sz w:val="20"/>
          <w:szCs w:val="20"/>
          <w:color w:val="auto"/>
        </w:rPr>
      </w:pPr>
    </w:p>
    <w:p>
      <w:pPr>
        <w:ind w:right="380"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Investors should read this Quarterly Report on Form 10-Q and the documents that we reference in this report and have filed or will file with the SEC completely and with the understanding that our actual future results may be materially different from what we expect. We qualify all of our forward-looking statements by these cautionary statements.</w:t>
      </w:r>
    </w:p>
    <w:p>
      <w:pPr>
        <w:spacing w:after="0" w:line="48" w:lineRule="exact"/>
        <w:rPr>
          <w:sz w:val="20"/>
          <w:szCs w:val="20"/>
          <w:color w:val="auto"/>
        </w:rPr>
      </w:pPr>
    </w:p>
    <w:p>
      <w:pPr>
        <w:ind w:right="440" w:firstLine="619"/>
        <w:spacing w:after="0" w:line="287" w:lineRule="auto"/>
        <w:rPr>
          <w:sz w:val="20"/>
          <w:szCs w:val="20"/>
          <w:color w:val="auto"/>
        </w:rPr>
      </w:pPr>
      <w:r>
        <w:rPr>
          <w:rFonts w:ascii="Times New Roman" w:cs="Times New Roman" w:eastAsia="Times New Roman" w:hAnsi="Times New Roman"/>
          <w:sz w:val="17"/>
          <w:szCs w:val="17"/>
          <w:color w:val="auto"/>
        </w:rPr>
        <w:t>The following discussion should be read in conjunction with our unaudited condensed consolidated financial statements and notes thereto appearing elsewhere in this Quarterly Report on Form 10-Q.</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Magnite, Inc., ("we," or "us"), provides technology solutions to automate the purchase and sale of digital advertising inventory.</w:t>
      </w:r>
    </w:p>
    <w:p>
      <w:pPr>
        <w:spacing w:after="0" w:line="88" w:lineRule="exact"/>
        <w:rPr>
          <w:sz w:val="20"/>
          <w:szCs w:val="20"/>
          <w:color w:val="auto"/>
        </w:rPr>
      </w:pPr>
    </w:p>
    <w:p>
      <w:pPr>
        <w:ind w:right="340" w:firstLine="619"/>
        <w:spacing w:after="0" w:line="270" w:lineRule="auto"/>
        <w:rPr>
          <w:sz w:val="20"/>
          <w:szCs w:val="20"/>
          <w:color w:val="auto"/>
        </w:rPr>
      </w:pPr>
      <w:r>
        <w:rPr>
          <w:rFonts w:ascii="Times New Roman" w:cs="Times New Roman" w:eastAsia="Times New Roman" w:hAnsi="Times New Roman"/>
          <w:sz w:val="17"/>
          <w:szCs w:val="17"/>
          <w:color w:val="auto"/>
        </w:rPr>
        <w:t>We believe that we are the world’s largest independent omni-channel sell-side advertising platform ("SSP"), offering a single partner for transacting globally across all channels, formats and auction types, and the largest independent programmatic CTV marketplace, making it easier for buyers to reach CTV audiences at scale from industry-leading streaming content providers, broadcasters, platforms and device manufacturers.</w:t>
      </w:r>
    </w:p>
    <w:p>
      <w:pPr>
        <w:spacing w:after="0" w:line="49"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Our platform features applications and services for sellers of digital advertising inventory, or publishers, that own and operate CTV channels, applications, websites and other digital media properties, to manage and monetize their inventory; applications and services for buyers, including advertisers, agencies, agency trading desks, and demand side platforms ("DSPs"), to buy digital advertising inventory; and a transparent, independent marketplace that brings buyers and sellers together and facilitates intelligent decision making and automated transaction execution at scale. Our clients include many of the world’s leading buyers and sellers of digital advertising inventory. Our platform processes trillions of ad requests per month, allowing buyers access to a global, scaled, independent alternative to "walled gardens," who both own and sell inventory and maintain control on the demand side.</w:t>
      </w:r>
    </w:p>
    <w:p>
      <w:pPr>
        <w:spacing w:after="0" w:line="57" w:lineRule="exact"/>
        <w:rPr>
          <w:sz w:val="20"/>
          <w:szCs w:val="20"/>
          <w:color w:val="auto"/>
        </w:rPr>
      </w:pPr>
    </w:p>
    <w:p>
      <w:pPr>
        <w:ind w:right="260" w:firstLine="619"/>
        <w:spacing w:after="0" w:line="258" w:lineRule="auto"/>
        <w:rPr>
          <w:sz w:val="20"/>
          <w:szCs w:val="20"/>
          <w:color w:val="auto"/>
        </w:rPr>
      </w:pPr>
      <w:r>
        <w:rPr>
          <w:rFonts w:ascii="Times New Roman" w:cs="Times New Roman" w:eastAsia="Times New Roman" w:hAnsi="Times New Roman"/>
          <w:sz w:val="17"/>
          <w:szCs w:val="17"/>
          <w:color w:val="auto"/>
        </w:rPr>
        <w:t>Our recently combined streaming SSP and ad server, which we refer to as SpringServe, offers CTV sellers a holistic solution to manage and monetize their entire portfolio of CTV ad inventory, across both programmatic and direct-sold video inventory. We provide sellers with a full suite of tools to protect the consumer viewing experience and brand safety expectations, while increasing revenue opportunities, including tools for mediation and yield optimization, forecasting tools, customized ad experiences and ad formats, and advanced podding logic. These tools are particularly important to CTV sellers who need to provide a TV-like viewing and advertising experience for consumers. For instance, our ad-pod feature provides publishers with a tool analogous to commercial breaks in traditional linear television so that they can request and manage several ads at once from different demand sources. Other tools we offer include audio normalization tools to control for the volume of an ad relative to content, frequency capping to avoid exposing viewers to repetitive ad placements, and creative review so that a publisher can review and approve the ad units being served to its properties.</w:t>
      </w:r>
    </w:p>
    <w:p>
      <w:pPr>
        <w:spacing w:after="0" w:line="46" w:lineRule="exact"/>
        <w:rPr>
          <w:sz w:val="20"/>
          <w:szCs w:val="20"/>
          <w:color w:val="auto"/>
        </w:rPr>
      </w:pPr>
    </w:p>
    <w:p>
      <w:pPr>
        <w:ind w:right="380" w:firstLine="619"/>
        <w:spacing w:after="0" w:line="270" w:lineRule="auto"/>
        <w:rPr>
          <w:sz w:val="20"/>
          <w:szCs w:val="20"/>
          <w:color w:val="auto"/>
        </w:rPr>
      </w:pPr>
      <w:r>
        <w:rPr>
          <w:rFonts w:ascii="Times New Roman" w:cs="Times New Roman" w:eastAsia="Times New Roman" w:hAnsi="Times New Roman"/>
          <w:sz w:val="17"/>
          <w:szCs w:val="17"/>
          <w:color w:val="auto"/>
        </w:rPr>
        <w:t>Buyers leverage our platform to manage their advertising spend and reach their target audiences on brand-safe premium inventory, simplify order management and campaign tracking, obtain actionable insights into audiences for their advertising, and access impression-level purchasing from thousands of sellers. We believe that our scale, platform features, and omni-channel offering makes us an essential partner for buyers.</w:t>
      </w:r>
    </w:p>
    <w:p>
      <w:pPr>
        <w:spacing w:after="0" w:line="49"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We operate our business on a worldwide basis, with an established operating presence in North America, Australia and Europe, and a developing presence in Asia and South America. Our non-U.S. subsidiaries and operations perform primarily sales, marketing, and service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Industry and Company Trends</w:t>
      </w:r>
    </w:p>
    <w:p>
      <w:pPr>
        <w:spacing w:after="0" w:line="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Continued Shift Toward Digital Advertising</w:t>
      </w:r>
    </w:p>
    <w:p>
      <w:pPr>
        <w:spacing w:after="0" w:line="105"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Consumers are rapidly shifting their viewing habits towards digital mediums and expect to be able to consume content seamlessly across multiple devices, including computers, tablets, smartphones, and CTVs whenever and wherever they want. As digital content consumption continues to proliferate, we believe the percentage of advertising dollars spent through digital channels will continue to grow.</w:t>
      </w:r>
    </w:p>
    <w:p>
      <w:pPr>
        <w:spacing w:after="0" w:line="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Automation of Buying and Selling</w:t>
      </w:r>
    </w:p>
    <w:p>
      <w:pPr>
        <w:spacing w:after="0" w:line="92"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Due to the size and complexity of the digital advertising ecosystem and purchasing process, manual processes cannot effectively manage digital advertising inventory at scale. In addition, both buyers and sellers are demanding more transparency, better controls and more relevant insights from their advertising inventory purchases and sales. This has created a need for software solutions, known as programmatic advertising, that automate the process for planning, buying, selling and measuring digital advertising across screens. Programmatic transactions include biddable auctions, where multiple buyers bid against each other in a real-time auction for the right to purchase a publisher's inventory, as well as reserve auctions, where publishers establish direct deals or private marketplaces with select buyers. These reserve auctions may be "guaranteed," where a buyer has negotiated a pre-established price and volume with a seller, otherwise referred to as "programmatic guaranteed."</w:t>
      </w:r>
    </w:p>
    <w:p>
      <w:pPr>
        <w:spacing w:after="0" w:line="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Convergence of TV and Digital</w:t>
      </w:r>
    </w:p>
    <w:p>
      <w:pPr>
        <w:spacing w:after="0" w:line="105" w:lineRule="exact"/>
        <w:rPr>
          <w:sz w:val="20"/>
          <w:szCs w:val="20"/>
          <w:color w:val="auto"/>
        </w:rPr>
      </w:pPr>
    </w:p>
    <w:p>
      <w:pPr>
        <w:ind w:right="100" w:firstLine="619"/>
        <w:spacing w:after="0" w:line="257" w:lineRule="auto"/>
        <w:rPr>
          <w:sz w:val="20"/>
          <w:szCs w:val="20"/>
          <w:color w:val="auto"/>
        </w:rPr>
      </w:pPr>
      <w:r>
        <w:rPr>
          <w:rFonts w:ascii="Times New Roman" w:cs="Times New Roman" w:eastAsia="Times New Roman" w:hAnsi="Times New Roman"/>
          <w:sz w:val="17"/>
          <w:szCs w:val="17"/>
          <w:color w:val="auto"/>
        </w:rPr>
        <w:t>CTV viewership is growing rapidly and the pace of adoption is accelerating the transition of linear television to CTV programming. Initially, many streaming services were subscription based, but as the market has matured, the largest streaming publishers have adopted ad-supported models or hybrid models that rely on a combination of subscription fees and advertising. With the proliferation of CTV advertising inventory, we believe that brand advertisers looking to engage with streaming viewers will continue to shift their budgets from linear to CTV. Moreover, we believe that as the amount of CTV inventory continues to scale, CTV sellers will make a greater percentage of inventory available through biddable auction environments with multiple buyers rather than programmatic guaranteed, in order to attract a broader set of advertisers that have not historically advertised on linear TV. We believe that this shift, if it were to occur, would likely be beneficial to our CTV growth as biddable transactions tend to require a higher level of service and therefore carry a higher take-rate compared to reserve auctions. At the same time, we expect CTV advertisers that have historically transacted on our platform through managed service insertion orders to continue to shift budgets towards more automated solutions, which tend to carry a lower take rate; and as a result, we expect transactions through managed service insertion orders to become a smaller component of our overall business.</w:t>
      </w:r>
    </w:p>
    <w:p>
      <w:pPr>
        <w:spacing w:after="0" w:line="47"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We have made and plan to continue to make significant investments in technology, sales and support related to our CTV growth initiatives, and believe CTV will be a significant driver of our revenue growth for the foreseeable future. In April 2025, we announced the introduction of our next generation SpringServe CTV platform, which is currently in beta testing. The new SpringServe platform combines the features and functionalities of our streaming SSP and ad server to provide a more efficient connection for buyers to premium CTV supply, while offering powerful tools and streamlined workflow for sellers through a single user interface.</w:t>
      </w:r>
    </w:p>
    <w:p>
      <w:pPr>
        <w:spacing w:after="0" w:line="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Identity Solutions</w:t>
      </w:r>
    </w:p>
    <w:p>
      <w:pPr>
        <w:spacing w:after="0" w:line="105" w:lineRule="exact"/>
        <w:rPr>
          <w:sz w:val="20"/>
          <w:szCs w:val="20"/>
          <w:color w:val="auto"/>
        </w:rPr>
      </w:pPr>
    </w:p>
    <w:p>
      <w:pPr>
        <w:ind w:right="80" w:firstLine="619"/>
        <w:spacing w:after="0" w:line="261" w:lineRule="auto"/>
        <w:rPr>
          <w:sz w:val="20"/>
          <w:szCs w:val="20"/>
          <w:color w:val="auto"/>
        </w:rPr>
      </w:pPr>
      <w:r>
        <w:rPr>
          <w:rFonts w:ascii="Times New Roman" w:cs="Times New Roman" w:eastAsia="Times New Roman" w:hAnsi="Times New Roman"/>
          <w:sz w:val="17"/>
          <w:szCs w:val="17"/>
          <w:color w:val="auto"/>
        </w:rPr>
        <w:t>One of the advantages of programmatic advertising is that it enables more precise audience targeting, which is generally more effective and valuable for buyers than other types of advertising, resulting in better performance for buyers and more revenue for sellers. Historically, in desktop and mobile, one of the primary methods for delivering targeted advertisements was through the use of third-party cookies. However, in recent years the use of third-party cookies and other tracking technologies that collect user information have come under greater scrutiny due to privacy concerns, and a number of participants in the advertising technology ecosystem, in particular web browsers and device manufacturers, have taken steps to eliminate or restrict the use of these technologies.</w:t>
      </w:r>
    </w:p>
    <w:p>
      <w:pPr>
        <w:spacing w:after="0" w:line="46" w:lineRule="exact"/>
        <w:rPr>
          <w:sz w:val="20"/>
          <w:szCs w:val="20"/>
          <w:color w:val="auto"/>
        </w:rPr>
      </w:pPr>
    </w:p>
    <w:p>
      <w:pPr>
        <w:jc w:val="both"/>
        <w:ind w:right="400" w:firstLine="619"/>
        <w:spacing w:after="0" w:line="270" w:lineRule="auto"/>
        <w:rPr>
          <w:sz w:val="20"/>
          <w:szCs w:val="20"/>
          <w:color w:val="auto"/>
        </w:rPr>
      </w:pPr>
      <w:r>
        <w:rPr>
          <w:rFonts w:ascii="Times New Roman" w:cs="Times New Roman" w:eastAsia="Times New Roman" w:hAnsi="Times New Roman"/>
          <w:sz w:val="17"/>
          <w:szCs w:val="17"/>
          <w:color w:val="auto"/>
        </w:rPr>
        <w:t>For instance, Google had previously announced plans to fully deprecate third-party cookies by the end of 2024, and subsequently announced plan to introduce new features into its Chrome browser, which would allow consumers to more easily opt out of third-party cookies. However, in April 2025, Google announced that they would be maintaining their existing settings and would not introduce new features related to third-party cookies.</w:t>
      </w:r>
    </w:p>
    <w:p>
      <w:pPr>
        <w:spacing w:after="0" w:line="49" w:lineRule="exact"/>
        <w:rPr>
          <w:sz w:val="20"/>
          <w:szCs w:val="20"/>
          <w:color w:val="auto"/>
        </w:rPr>
      </w:pPr>
    </w:p>
    <w:p>
      <w:pPr>
        <w:ind w:right="20" w:firstLine="619"/>
        <w:spacing w:after="0" w:line="261" w:lineRule="auto"/>
        <w:rPr>
          <w:sz w:val="20"/>
          <w:szCs w:val="20"/>
          <w:color w:val="auto"/>
        </w:rPr>
      </w:pPr>
      <w:r>
        <w:rPr>
          <w:rFonts w:ascii="Times New Roman" w:cs="Times New Roman" w:eastAsia="Times New Roman" w:hAnsi="Times New Roman"/>
          <w:sz w:val="17"/>
          <w:szCs w:val="17"/>
          <w:color w:val="auto"/>
        </w:rPr>
        <w:t>In the long term, we believe that a decreased reliance on third-party cookies and other non-transparent tracking methods are a positive for the industry, and offer the potential to shift the programmatic ecosystem from an identity model powered by buyers that are able to aggregate and target audiences through cookies to one enabled by sellers that have direct relationships with consumers and are therefore better positioned to obtain user data and consent for implementing first party identifiers. In CTV, where third-party cookies do not exist, this identity model already largely exists with publishers more tightly controlling access to identifiers and user data, while offering proprietary first party data segments for reaching desired audiences.</w:t>
      </w:r>
    </w:p>
    <w:p>
      <w:pPr>
        <w:spacing w:after="0" w:line="59" w:lineRule="exact"/>
        <w:rPr>
          <w:sz w:val="20"/>
          <w:szCs w:val="20"/>
          <w:color w:val="auto"/>
        </w:rPr>
      </w:pPr>
    </w:p>
    <w:p>
      <w:pPr>
        <w:ind w:right="360" w:firstLine="619"/>
        <w:spacing w:after="0" w:line="287" w:lineRule="auto"/>
        <w:rPr>
          <w:sz w:val="20"/>
          <w:szCs w:val="20"/>
          <w:color w:val="auto"/>
        </w:rPr>
      </w:pPr>
      <w:r>
        <w:rPr>
          <w:rFonts w:ascii="Times New Roman" w:cs="Times New Roman" w:eastAsia="Times New Roman" w:hAnsi="Times New Roman"/>
          <w:sz w:val="17"/>
          <w:szCs w:val="17"/>
          <w:color w:val="auto"/>
        </w:rPr>
        <w:t>We believe that our scale and expertise in CTV position us well to take a leadership position in advancing this shift to a first-party identity model and creating additional value opportunities for our clients. Accordingly, we have invested and intend to</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7"/>
          <w:szCs w:val="17"/>
          <w:color w:val="auto"/>
        </w:rPr>
        <w:t>further invest in the development and enhancement of industry leading identity and audience solutions. For instance, in 2024 we launched Magnite Curator Marketplace, a self-service platform that allows buyers to create custom marketplaces that include curated pools of inventory that are enriched with the buyer's first-party or third-party data.</w:t>
      </w:r>
    </w:p>
    <w:p>
      <w:pPr>
        <w:spacing w:after="0" w:line="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Supply Path Optimization</w:t>
      </w:r>
    </w:p>
    <w:p>
      <w:pPr>
        <w:spacing w:after="0" w:line="105" w:lineRule="exact"/>
        <w:rPr>
          <w:sz w:val="20"/>
          <w:szCs w:val="20"/>
          <w:color w:val="auto"/>
        </w:rPr>
      </w:pPr>
    </w:p>
    <w:p>
      <w:pPr>
        <w:ind w:right="200" w:firstLine="619"/>
        <w:spacing w:after="0" w:line="264" w:lineRule="auto"/>
        <w:rPr>
          <w:sz w:val="20"/>
          <w:szCs w:val="20"/>
          <w:color w:val="auto"/>
        </w:rPr>
      </w:pPr>
      <w:r>
        <w:rPr>
          <w:rFonts w:ascii="Times New Roman" w:cs="Times New Roman" w:eastAsia="Times New Roman" w:hAnsi="Times New Roman"/>
          <w:sz w:val="17"/>
          <w:szCs w:val="17"/>
          <w:color w:val="auto"/>
        </w:rPr>
        <w:t>Supply Path Optimization ("SPO") refers to efforts by buyers to consolidate the number of vendors with which they work to find the most effective and cost-efficient paths to procure media. SPO is important to buyers because it can increase the proportion of their advertising ultimately spent on working media, with the goal of increasing return on their advertising spend, and can help them gain efficiencies by reducing the number of vendors with which they work in a complex ecosystem.</w:t>
      </w:r>
    </w:p>
    <w:p>
      <w:pPr>
        <w:spacing w:after="0" w:line="55" w:lineRule="exact"/>
        <w:rPr>
          <w:sz w:val="20"/>
          <w:szCs w:val="20"/>
          <w:color w:val="auto"/>
        </w:rPr>
      </w:pPr>
    </w:p>
    <w:p>
      <w:pPr>
        <w:ind w:right="80" w:firstLine="619"/>
        <w:spacing w:after="0" w:line="264" w:lineRule="auto"/>
        <w:rPr>
          <w:sz w:val="20"/>
          <w:szCs w:val="20"/>
          <w:color w:val="auto"/>
        </w:rPr>
      </w:pPr>
      <w:r>
        <w:rPr>
          <w:rFonts w:ascii="Times New Roman" w:cs="Times New Roman" w:eastAsia="Times New Roman" w:hAnsi="Times New Roman"/>
          <w:sz w:val="17"/>
          <w:szCs w:val="17"/>
          <w:color w:val="auto"/>
        </w:rPr>
        <w:t>SPO is important for us because it allows us to potentially attract unique advertising demand and increase revenue opportunities for our seller clients. We typically enter into SPO agreements directly with agencies or agency holding companies, which may provide for custom integrations, data flows or volume-based discounts. Under these SPO agreements, we may be designated as a preferred partner or otherwise enter into terms intended to increase the overall spend on our platform.</w:t>
      </w:r>
    </w:p>
    <w:p>
      <w:pPr>
        <w:spacing w:after="0" w:line="42" w:lineRule="exact"/>
        <w:rPr>
          <w:sz w:val="20"/>
          <w:szCs w:val="20"/>
          <w:color w:val="auto"/>
        </w:rPr>
      </w:pPr>
    </w:p>
    <w:p>
      <w:pPr>
        <w:jc w:val="both"/>
        <w:ind w:right="240" w:firstLine="619"/>
        <w:spacing w:after="0" w:line="270" w:lineRule="auto"/>
        <w:rPr>
          <w:sz w:val="20"/>
          <w:szCs w:val="20"/>
          <w:color w:val="auto"/>
        </w:rPr>
      </w:pPr>
      <w:r>
        <w:rPr>
          <w:rFonts w:ascii="Times New Roman" w:cs="Times New Roman" w:eastAsia="Times New Roman" w:hAnsi="Times New Roman"/>
          <w:sz w:val="17"/>
          <w:szCs w:val="17"/>
          <w:color w:val="auto"/>
        </w:rPr>
        <w:t>We believe we are well positioned to benefit from SPO in the long run as a result of our transparency, our broad and unique inventory supply across all channels and formats, buyer tools, such as our ClearLine product offering and agency marketplaces, traffic filtering technology that reduces the cost of working with us, and brand safety measures.</w:t>
      </w:r>
    </w:p>
    <w:p>
      <w:pPr>
        <w:spacing w:after="0" w:line="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Header Bidding and Data Processing</w:t>
      </w:r>
    </w:p>
    <w:p>
      <w:pPr>
        <w:spacing w:after="0" w:line="105"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Header bidding is a programmatic technique by which sellers offer inventory to multiple ad exchanges and supply side platforms, such as our platform, simultaneously. Header bidding has been rapidly adopted in recent years in the desktop and mobile channels and has experienced modest adoption in CTV. The adoption of header bidding has created a number of challenges and technical complexities for both sellers and buyers, which require sophisticated tools to manage.</w:t>
      </w:r>
    </w:p>
    <w:p>
      <w:pPr>
        <w:spacing w:after="0" w:line="36" w:lineRule="exact"/>
        <w:rPr>
          <w:sz w:val="20"/>
          <w:szCs w:val="20"/>
          <w:color w:val="auto"/>
        </w:rPr>
      </w:pPr>
    </w:p>
    <w:p>
      <w:pPr>
        <w:jc w:val="both"/>
        <w:ind w:right="60" w:firstLine="619"/>
        <w:spacing w:after="0" w:line="270" w:lineRule="auto"/>
        <w:rPr>
          <w:sz w:val="20"/>
          <w:szCs w:val="20"/>
          <w:color w:val="auto"/>
        </w:rPr>
      </w:pPr>
      <w:r>
        <w:rPr>
          <w:rFonts w:ascii="Times New Roman" w:cs="Times New Roman" w:eastAsia="Times New Roman" w:hAnsi="Times New Roman"/>
          <w:sz w:val="17"/>
          <w:szCs w:val="17"/>
          <w:color w:val="auto"/>
        </w:rPr>
        <w:t>In addition, header bidding has led to a significant increase in the number of ad impressions to be processed and analyzed through our platform as well as by DSPs, which can lead to increased costs if not properly addressed. We continuously work to increase the operational efficiency of our platform, so as to enable buyers and sellers to achieve their campaign and monetization objectives in a cost-effective manner.</w:t>
      </w:r>
    </w:p>
    <w:p>
      <w:pPr>
        <w:spacing w:after="0" w:line="49" w:lineRule="exact"/>
        <w:rPr>
          <w:sz w:val="20"/>
          <w:szCs w:val="20"/>
          <w:color w:val="auto"/>
        </w:rPr>
      </w:pPr>
    </w:p>
    <w:p>
      <w:pPr>
        <w:jc w:val="both"/>
        <w:ind w:right="100" w:firstLine="619"/>
        <w:spacing w:after="0" w:line="270" w:lineRule="auto"/>
        <w:rPr>
          <w:sz w:val="20"/>
          <w:szCs w:val="20"/>
          <w:color w:val="auto"/>
        </w:rPr>
      </w:pPr>
      <w:r>
        <w:rPr>
          <w:rFonts w:ascii="Times New Roman" w:cs="Times New Roman" w:eastAsia="Times New Roman" w:hAnsi="Times New Roman"/>
          <w:sz w:val="17"/>
          <w:szCs w:val="17"/>
          <w:color w:val="auto"/>
        </w:rPr>
        <w:t>While header-bidding technologies have not been largely adopted by CTV sellers, such solutions or similar solutions geared towards increasing demand competition have become more prevalent. We have addressed this, in part, through our ad server, which offers sellers a unified programmatic demand solution for CTV that leverages our existing programmatic SSP capabilities as well as connects with third party programmatic demand sources.</w:t>
      </w:r>
    </w:p>
    <w:p>
      <w:pPr>
        <w:spacing w:after="0" w:line="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Regulatory Developments</w:t>
      </w:r>
    </w:p>
    <w:p>
      <w:pPr>
        <w:spacing w:after="0" w:line="92"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On April 17, 2025, the United States District Court for the Eastern District of Virginia (the "Court") ruled that Google had violated federal antitrust laws by willfully acquiring and maintaining monopoly power in the display publisher ad server market and display ad exchange (also called an SSP) market, and had unlawfully tied its display ad server and ad exchange. Having found Google liable, the Court will hold a hearing to determine what remedy is appropriate to restore competition to the affected markets. While the specific timing and nature of the remedy remains uncertain, and Google has indicated its intent to appeal the decision, we expect this ruling to have a significant positive impact on our industry and business prospects.</w:t>
      </w:r>
    </w:p>
    <w:p>
      <w:pPr>
        <w:spacing w:after="0" w:line="59"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Our mobile and desktop SSP competes directly with Google's ad exchange for the placement of display ads within the Google display ad server, which is estimated to be used by approximately 90% of open-web publishers. We believe that the conduct found to be unlawful by the Court provided Google's ad exchange with an unfair advantage relative to rival exchanges, such as our SSP, and artificially depressed our ability to win impressions within the Google display ad server. Moreover, we believe that Google's illegal conduct foreclosed the ability of publishers to freely choose what SSPs or exchanges they worked with to monetize inventory. As such, any remedy that creates a more level playing field and increases publisher choice is likely to improve our ability to monetize a greater share of display inventory while growing our market share in open-web display.</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Macroeconomic Developments</w:t>
      </w:r>
    </w:p>
    <w:p>
      <w:pPr>
        <w:spacing w:after="0" w:line="92" w:lineRule="exact"/>
        <w:rPr>
          <w:sz w:val="20"/>
          <w:szCs w:val="20"/>
          <w:color w:val="auto"/>
        </w:rPr>
      </w:pPr>
    </w:p>
    <w:p>
      <w:pPr>
        <w:ind w:right="100" w:firstLine="619"/>
        <w:spacing w:after="0" w:line="261" w:lineRule="auto"/>
        <w:rPr>
          <w:sz w:val="20"/>
          <w:szCs w:val="20"/>
          <w:color w:val="auto"/>
        </w:rPr>
      </w:pPr>
      <w:r>
        <w:rPr>
          <w:rFonts w:ascii="Times New Roman" w:cs="Times New Roman" w:eastAsia="Times New Roman" w:hAnsi="Times New Roman"/>
          <w:sz w:val="17"/>
          <w:szCs w:val="17"/>
          <w:color w:val="auto"/>
        </w:rPr>
        <w:t>Macroeconomic challenges such as inflation, tariffs and trade wars, the interest rate environment, global conflicts, the risk of a recession, and labor strikes, generally have a negative impact on ad budgets, which in turn may lead to slower ad spend growth through our platform. Any worsening of macroeconomic conditions in future periods would likely have a negative effect on our financial results, the magnitude of which is difficult to predict. In addition, continued inflation and tariffs could result in an increase in our cost base relative to our revenue and increased cost associated with our infrastructure investments. Moreover, in response to US tariffs, foreign countries in which we operate may enact additional or new taxes that are applicable to our business.</w:t>
      </w:r>
    </w:p>
    <w:p>
      <w:pPr>
        <w:spacing w:after="0" w:line="59" w:lineRule="exact"/>
        <w:rPr>
          <w:sz w:val="20"/>
          <w:szCs w:val="20"/>
          <w:color w:val="auto"/>
        </w:rPr>
      </w:pPr>
    </w:p>
    <w:p>
      <w:pPr>
        <w:ind w:right="260" w:firstLine="619"/>
        <w:spacing w:after="0" w:line="287" w:lineRule="auto"/>
        <w:rPr>
          <w:sz w:val="20"/>
          <w:szCs w:val="20"/>
          <w:color w:val="auto"/>
        </w:rPr>
      </w:pPr>
      <w:r>
        <w:rPr>
          <w:rFonts w:ascii="Times New Roman" w:cs="Times New Roman" w:eastAsia="Times New Roman" w:hAnsi="Times New Roman"/>
          <w:sz w:val="17"/>
          <w:szCs w:val="17"/>
          <w:color w:val="auto"/>
        </w:rPr>
        <w:t>Refer to Item 1A. "Risk Factors" in our Annual Report on Form 10-K for the year ended December 31, 2024 for additional information related to risks associated with macroeconomic challenges.</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Our Results of Operations</w:t>
      </w:r>
    </w:p>
    <w:p>
      <w:pPr>
        <w:spacing w:after="0" w:line="105" w:lineRule="exact"/>
        <w:rPr>
          <w:sz w:val="20"/>
          <w:szCs w:val="20"/>
          <w:color w:val="auto"/>
        </w:rPr>
      </w:pPr>
    </w:p>
    <w:p>
      <w:pPr>
        <w:ind w:right="60" w:firstLine="619"/>
        <w:spacing w:after="0" w:line="287" w:lineRule="auto"/>
        <w:rPr>
          <w:sz w:val="20"/>
          <w:szCs w:val="20"/>
          <w:color w:val="auto"/>
        </w:rPr>
      </w:pPr>
      <w:r>
        <w:rPr>
          <w:rFonts w:ascii="Times New Roman" w:cs="Times New Roman" w:eastAsia="Times New Roman" w:hAnsi="Times New Roman"/>
          <w:sz w:val="17"/>
          <w:szCs w:val="17"/>
          <w:color w:val="auto"/>
        </w:rPr>
        <w:t>We report our financial results as one operating segment. Our consolidated operating results are regularly reviewed by our chief operating decision maker ("CODM"), principally to make decisions about how we allocate our resources and to measure our consolidated operating performance.</w:t>
      </w:r>
    </w:p>
    <w:p>
      <w:pPr>
        <w:spacing w:after="0" w:line="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07"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We generate revenue from the use of our platform for the purchase and sale of digital advertising inventory. Generally, our revenue is based on a percentage of the ad spend that runs through our platform, although for certain clients, services, or transaction types, we may receive a fixed CPM for each impression sold, and for advertising campaigns that are transacted through insertion orders, we earn revenue based on the full amount of ad spend that runs through our platform. In addition, we may receive certain fixed monthly fees for the use of our platform or products. We recognize revenue upon the fulfillment of our contractual obligations in connection with a completed transaction, subject to satisfying all other revenue recognition criteria. For the majority of transactions executed through our platform, we act as an agent on behalf of the publisher that is monetizing its inventory, and revenue is recognized net of any advertising inventory costs that we remit to sellers. With respect to certain revenue streams for managed advertising campaigns that are transacted through insertion orders, we report revenue on a gross basis, based primarily on our determination that the Company acts as the primary obligor in the delivery of advertising campaigns for our buyer clients with respect to such transactions.</w:t>
      </w:r>
    </w:p>
    <w:p>
      <w:pPr>
        <w:spacing w:after="0" w:line="6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For the three months ended March 31, 2025 and 2024, our revenue reported on a gross basis was 11% and 19%, respectively, of total revenue. Any mix shift that causes an increase in the relative percentage of our revenue accounted for on a gross basis would result in a higher revenue contribution and an associated decrease in our gross margin percentage (with no underlying impact on gross profit or Contribution ex-TAC, as defined in section "Key Operating and Financial Performance Metrics"). Our revenue recognition policies are discussed in more detail in our audited consolidated financial statements and Note 2 included in our Annual Report on Form 10-K for the year ended December 31, 2024 .</w:t>
      </w:r>
    </w:p>
    <w:p>
      <w:pPr>
        <w:spacing w:after="0" w:line="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Expenses</w:t>
      </w:r>
    </w:p>
    <w:p>
      <w:pPr>
        <w:spacing w:after="0" w:line="1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classify our expenses into the following categories:</w:t>
      </w:r>
    </w:p>
    <w:p>
      <w:pPr>
        <w:spacing w:after="0" w:line="97" w:lineRule="exact"/>
        <w:rPr>
          <w:sz w:val="20"/>
          <w:szCs w:val="20"/>
          <w:color w:val="auto"/>
        </w:rPr>
      </w:pPr>
    </w:p>
    <w:p>
      <w:pPr>
        <w:ind w:right="100" w:firstLine="619"/>
        <w:spacing w:after="0" w:line="259" w:lineRule="auto"/>
        <w:rPr>
          <w:sz w:val="20"/>
          <w:szCs w:val="20"/>
          <w:color w:val="auto"/>
        </w:rPr>
      </w:pPr>
      <w:r>
        <w:rPr>
          <w:rFonts w:ascii="Times New Roman" w:cs="Times New Roman" w:eastAsia="Times New Roman" w:hAnsi="Times New Roman"/>
          <w:sz w:val="17"/>
          <w:szCs w:val="17"/>
          <w:i w:val="1"/>
          <w:iCs w:val="1"/>
          <w:color w:val="auto"/>
        </w:rPr>
        <w:t>Cost of Revenue</w:t>
      </w:r>
      <w:r>
        <w:rPr>
          <w:rFonts w:ascii="Times New Roman" w:cs="Times New Roman" w:eastAsia="Times New Roman" w:hAnsi="Times New Roman"/>
          <w:sz w:val="17"/>
          <w:szCs w:val="17"/>
          <w:color w:val="auto"/>
        </w:rPr>
        <w:t>. Our cost of revenue primarily consists of cloud hosting, data center, and bandwidth costs, ad verification costs, depreciation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maintenance expense of hardware supporting our revenue-producing platform, amortization of internally-developed software costs for the development of our revenue-producing platform, amortization expense associated with acquired developed technologies, personnel costs, and software costs. In addition, for revenue booked on a gross basis, cost of revenue includes traffic acquisition costs. Personnel costs included in cost of revenue include salaries, bonuses, and stock-based compensation, and are primarily attributable to personnel in our network operations group who support our platform. We capitalize costs associated with software that is developed or obtained for internal use and amortize the costs associated with our revenue-producing platform in cost of revenue over their estimated useful lives. We amortize acquired developed technologies over their estimated useful lives.</w:t>
      </w:r>
    </w:p>
    <w:p>
      <w:pPr>
        <w:spacing w:after="0" w:line="45" w:lineRule="exact"/>
        <w:rPr>
          <w:sz w:val="20"/>
          <w:szCs w:val="20"/>
          <w:color w:val="auto"/>
        </w:rPr>
      </w:pPr>
    </w:p>
    <w:p>
      <w:pPr>
        <w:ind w:right="60" w:firstLine="619"/>
        <w:spacing w:after="0" w:line="262" w:lineRule="auto"/>
        <w:rPr>
          <w:sz w:val="20"/>
          <w:szCs w:val="20"/>
          <w:color w:val="auto"/>
        </w:rPr>
      </w:pPr>
      <w:r>
        <w:rPr>
          <w:rFonts w:ascii="Times New Roman" w:cs="Times New Roman" w:eastAsia="Times New Roman" w:hAnsi="Times New Roman"/>
          <w:sz w:val="17"/>
          <w:szCs w:val="17"/>
          <w:i w:val="1"/>
          <w:iCs w:val="1"/>
          <w:color w:val="auto"/>
        </w:rPr>
        <w:t>Sales and Marketing</w:t>
      </w:r>
      <w:r>
        <w:rPr>
          <w:rFonts w:ascii="Times New Roman" w:cs="Times New Roman" w:eastAsia="Times New Roman" w:hAnsi="Times New Roman"/>
          <w:sz w:val="17"/>
          <w:szCs w:val="17"/>
          <w:color w:val="auto"/>
        </w:rPr>
        <w:t>. Our sales and marketing expenses primarily consists of personnel costs, including salaries, bonuses, and stock-based compensation,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well as marketing expenses such as brand marketing, travel expenses, trade shows and marketing materials, amortization expense associated with client relationships, and non-compete agreements from our business acquisitions, professional services, facilities-related costs, and depreciation expense. Our sales and support organization focuses on increasing the adoption of our solution by existing and new buyers and sellers and supports ongoing client relationships. We amortize acquired intangibles associated with client relationships from our business acquisitions over their estimated useful lives.</w:t>
      </w:r>
    </w:p>
    <w:p>
      <w:pPr>
        <w:spacing w:after="0" w:line="42" w:lineRule="exact"/>
        <w:rPr>
          <w:sz w:val="20"/>
          <w:szCs w:val="20"/>
          <w:color w:val="auto"/>
        </w:rPr>
      </w:pPr>
    </w:p>
    <w:p>
      <w:pPr>
        <w:ind w:right="20" w:firstLine="619"/>
        <w:spacing w:after="0"/>
        <w:rPr>
          <w:sz w:val="20"/>
          <w:szCs w:val="20"/>
          <w:color w:val="auto"/>
        </w:rPr>
      </w:pPr>
      <w:r>
        <w:rPr>
          <w:rFonts w:ascii="Times New Roman" w:cs="Times New Roman" w:eastAsia="Times New Roman" w:hAnsi="Times New Roman"/>
          <w:sz w:val="17"/>
          <w:szCs w:val="17"/>
          <w:i w:val="1"/>
          <w:iCs w:val="1"/>
          <w:color w:val="auto"/>
        </w:rPr>
        <w:t>Technology and Development</w:t>
      </w:r>
      <w:r>
        <w:rPr>
          <w:rFonts w:ascii="Times New Roman" w:cs="Times New Roman" w:eastAsia="Times New Roman" w:hAnsi="Times New Roman"/>
          <w:sz w:val="17"/>
          <w:szCs w:val="17"/>
          <w:color w:val="auto"/>
        </w:rPr>
        <w:t>. Our technology and development expenses primarily consists of personnel costs, including salaries, bonuses, and stock-based compensation, as well as professional services associated with the ongoing development and maintenance of our solution, software costs, facilities-related costs, and depreciation and amortization expense.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qualifies for capitalization, which are then recorded as internal use software development costs, net, on our condensed consolidated balance sheets. We amortize internal use software development costs that relate to our revenue-producing activities on our platform to cost of revenue and amortize other internal use software development costs to technology and development costs or general and administrative expenses, depending on the nature of the related project. We amortize acquired intangibles associated with technology and development functions from our business acquisitions over their estimated useful lives.</w:t>
      </w:r>
    </w:p>
    <w:p>
      <w:pPr>
        <w:spacing w:after="0" w:line="71" w:lineRule="exact"/>
        <w:rPr>
          <w:sz w:val="20"/>
          <w:szCs w:val="20"/>
          <w:color w:val="auto"/>
        </w:rPr>
      </w:pPr>
    </w:p>
    <w:p>
      <w:pPr>
        <w:ind w:right="140"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General and Administrative</w:t>
      </w:r>
      <w:r>
        <w:rPr>
          <w:rFonts w:ascii="Times New Roman" w:cs="Times New Roman" w:eastAsia="Times New Roman" w:hAnsi="Times New Roman"/>
          <w:sz w:val="17"/>
          <w:szCs w:val="17"/>
          <w:color w:val="auto"/>
        </w:rPr>
        <w:t>. Our general and administrative expenses primarily consists of personnel costs, including salaries, bonuses, and stock-based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associated with our executive, finance, legal, human resources, compliance, and other administrative personnel, as well as accounting and legal professional services fees, facilities-related costs, depreciation expense, bad debt expense, and other corporate-related expenses.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p>
      <w:pPr>
        <w:spacing w:after="0" w:line="90" w:lineRule="exact"/>
        <w:rPr>
          <w:sz w:val="20"/>
          <w:szCs w:val="20"/>
          <w:color w:val="auto"/>
        </w:rPr>
      </w:pPr>
    </w:p>
    <w:p>
      <w:pPr>
        <w:ind w:right="40"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Interest (Income) Expense, Net. </w:t>
      </w:r>
      <w:r>
        <w:rPr>
          <w:rFonts w:ascii="Times New Roman" w:cs="Times New Roman" w:eastAsia="Times New Roman" w:hAnsi="Times New Roman"/>
          <w:sz w:val="17"/>
          <w:szCs w:val="17"/>
          <w:color w:val="auto"/>
        </w:rPr>
        <w:t>Interest expense primarily consists of interest expense associated with our 2024 Term Loan B Facility (defined below),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2021 Term Loan B Facility (defined below) and Convertible Senior Notes (defined below), and their related amortization of debt issuance costs and debt discount. Interest income primarily consists of interest earned on our cash equivalents.</w:t>
      </w:r>
    </w:p>
    <w:p>
      <w:pPr>
        <w:spacing w:after="0" w:line="44" w:lineRule="exact"/>
        <w:rPr>
          <w:sz w:val="20"/>
          <w:szCs w:val="20"/>
          <w:color w:val="auto"/>
        </w:rPr>
      </w:pPr>
    </w:p>
    <w:p>
      <w:pPr>
        <w:ind w:right="260" w:firstLine="619"/>
        <w:spacing w:after="0" w:line="262" w:lineRule="auto"/>
        <w:rPr>
          <w:sz w:val="20"/>
          <w:szCs w:val="20"/>
          <w:color w:val="auto"/>
        </w:rPr>
      </w:pPr>
      <w:r>
        <w:rPr>
          <w:rFonts w:ascii="Times New Roman" w:cs="Times New Roman" w:eastAsia="Times New Roman" w:hAnsi="Times New Roman"/>
          <w:sz w:val="17"/>
          <w:szCs w:val="17"/>
          <w:i w:val="1"/>
          <w:iCs w:val="1"/>
          <w:color w:val="auto"/>
        </w:rPr>
        <w:t>Foreign Currency Exchange (Gain) Loss, Net</w:t>
      </w:r>
      <w:r>
        <w:rPr>
          <w:rFonts w:ascii="Times New Roman" w:cs="Times New Roman" w:eastAsia="Times New Roman" w:hAnsi="Times New Roman"/>
          <w:sz w:val="17"/>
          <w:szCs w:val="17"/>
          <w:color w:val="auto"/>
        </w:rPr>
        <w:t>. Foreign currency exchange (gain) loss, net consists of gains and losses on foreign currency transactions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remeasurement of monetary assets and liabilities on our balance sheet denominated in foreign currencies. Foreign currency monetary assets and liabilities primarily consists of cash and cash equivalents, accounts receivable, accounts payable, and various intercompany balances held between our subsidiaries. Our primary foreign currency exposures are currencies other than the U.S. Dollar, principally the Australian Dollar, British Pound, Canadian Dollar, Euro, Japanese Yen, and New Zealand Dollar.</w:t>
      </w:r>
    </w:p>
    <w:p>
      <w:pPr>
        <w:spacing w:after="0" w:line="55" w:lineRule="exact"/>
        <w:rPr>
          <w:sz w:val="20"/>
          <w:szCs w:val="20"/>
          <w:color w:val="auto"/>
        </w:rPr>
      </w:pPr>
    </w:p>
    <w:p>
      <w:pPr>
        <w:ind w:right="340"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Loss on Extinguishment of Debt. L</w:t>
      </w:r>
      <w:r>
        <w:rPr>
          <w:rFonts w:ascii="Times New Roman" w:cs="Times New Roman" w:eastAsia="Times New Roman" w:hAnsi="Times New Roman"/>
          <w:sz w:val="17"/>
          <w:szCs w:val="17"/>
          <w:color w:val="auto"/>
        </w:rPr>
        <w:t>oss on extinguishment of debt consists of losses associated with the refinancing of our debt facilities, including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extinguishment of unamortized debt discount, debt issuance costs, and deferred financing costs.</w:t>
      </w:r>
    </w:p>
    <w:p>
      <w:pPr>
        <w:spacing w:after="0" w:line="14" w:lineRule="exact"/>
        <w:rPr>
          <w:sz w:val="20"/>
          <w:szCs w:val="20"/>
          <w:color w:val="auto"/>
        </w:rPr>
      </w:pPr>
    </w:p>
    <w:p>
      <w:pPr>
        <w:ind w:left="620" w:right="420"/>
        <w:spacing w:after="0" w:line="366" w:lineRule="auto"/>
        <w:rPr>
          <w:sz w:val="20"/>
          <w:szCs w:val="20"/>
          <w:color w:val="auto"/>
        </w:rPr>
      </w:pPr>
      <w:r>
        <w:rPr>
          <w:rFonts w:ascii="Times New Roman" w:cs="Times New Roman" w:eastAsia="Times New Roman" w:hAnsi="Times New Roman"/>
          <w:sz w:val="17"/>
          <w:szCs w:val="17"/>
          <w:i w:val="1"/>
          <w:iCs w:val="1"/>
          <w:color w:val="auto"/>
        </w:rPr>
        <w:t xml:space="preserve">Other Income. </w:t>
      </w:r>
      <w:r>
        <w:rPr>
          <w:rFonts w:ascii="Times New Roman" w:cs="Times New Roman" w:eastAsia="Times New Roman" w:hAnsi="Times New Roman"/>
          <w:sz w:val="17"/>
          <w:szCs w:val="17"/>
          <w:color w:val="auto"/>
        </w:rPr>
        <w:t>Other income primarily consists of rental income from commercial office space we hold under lease and have sublet to other tenants.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i w:val="1"/>
          <w:iCs w:val="1"/>
          <w:color w:val="auto"/>
        </w:rPr>
        <w:t>Provision (Benefit) for Income Taxes</w:t>
      </w:r>
    </w:p>
    <w:p>
      <w:pPr>
        <w:spacing w:after="0" w:line="1"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We are subject to income taxes in the U.S. (federal and state) and numerous foreign jurisdictions. Tax laws, regulations, administrative practices, principles, and interpretations in various jurisdictions may be subject to significant change, with or without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our business operations, acquisitions, investments, entry into new businesses and geographies, intercompany transactions, the relative amount of our foreign earnings, including earnings being lower than anticipated in jurisdictions where we have lower statutory rates and higher than anticipated in jurisdictions where we have higher statutory rates, losses incurred in jurisdictions for which we are not able to realize related income tax benefits, the applicability of special tax regimes, changes in foreign currency exchange rates, changes in our stock price, changes in our deferred tax assets ("DTAs") and liabilities and their valuation, changes in the laws, regulations, administrative practices, principles, and interpretations related to tax, including changes to the global tax framework, competition, and other laws and accounting rules in various jurisdictions.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sets forth our condensed consolidated results of operations: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82"/>
        </w:trPr>
        <w:tc>
          <w:tcPr>
            <w:tcW w:w="6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0" w:type="dxa"/>
            <w:vAlign w:val="bottom"/>
            <w:gridSpan w:val="4"/>
          </w:tcPr>
          <w:p>
            <w:pPr>
              <w:jc w:val="right"/>
              <w:ind w:right="78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2"/>
        </w:trPr>
        <w:tc>
          <w:tcPr>
            <w:tcW w:w="6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1"/>
        </w:trPr>
        <w:tc>
          <w:tcPr>
            <w:tcW w:w="67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Pr>
          <w:p>
            <w:pPr>
              <w:spacing w:after="0"/>
              <w:rPr>
                <w:sz w:val="15"/>
                <w:szCs w:val="15"/>
                <w:color w:val="auto"/>
              </w:rPr>
            </w:pPr>
          </w:p>
        </w:tc>
        <w:tc>
          <w:tcPr>
            <w:tcW w:w="13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Change %</w:t>
            </w:r>
          </w:p>
        </w:tc>
      </w:tr>
      <w:tr>
        <w:trPr>
          <w:trHeight w:val="186"/>
        </w:trPr>
        <w:tc>
          <w:tcPr>
            <w:tcW w:w="6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4"/>
          </w:tcPr>
          <w:p>
            <w:pPr>
              <w:jc w:val="right"/>
              <w:ind w:right="98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2"/>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155,771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149,319</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4 %</w:t>
            </w:r>
          </w:p>
        </w:tc>
      </w:tr>
      <w:tr>
        <w:trPr>
          <w:trHeight w:val="203"/>
        </w:trPr>
        <w:tc>
          <w:tcPr>
            <w:tcW w:w="6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Expenses:</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9"/>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Cost of revenue</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62,799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65,902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r>
      <w:tr>
        <w:trPr>
          <w:trHeight w:val="203"/>
        </w:trPr>
        <w:tc>
          <w:tcPr>
            <w:tcW w:w="67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Sales and marketing</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48,106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43,689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10 %</w:t>
            </w:r>
          </w:p>
        </w:tc>
      </w:tr>
      <w:tr>
        <w:trPr>
          <w:trHeight w:val="209"/>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Technology and development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26,891</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203"/>
        </w:trPr>
        <w:tc>
          <w:tcPr>
            <w:tcW w:w="6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23,938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26,665</w:t>
            </w:r>
          </w:p>
        </w:tc>
        <w:tc>
          <w:tcPr>
            <w:tcW w:w="14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202"/>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expenses</w:t>
            </w: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157,135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163,147</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196"/>
        </w:trPr>
        <w:tc>
          <w:tcPr>
            <w:tcW w:w="6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Loss from operations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(13,828)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(90)%</w:t>
            </w:r>
          </w:p>
        </w:tc>
      </w:tr>
      <w:tr>
        <w:trPr>
          <w:trHeight w:val="209"/>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expense, net</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9,123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11,738</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r>
      <w:tr>
        <w:trPr>
          <w:trHeight w:val="196"/>
        </w:trPr>
        <w:tc>
          <w:tcPr>
            <w:tcW w:w="6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Loss before income taxes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(10,487)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(25,566)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(59)%</w:t>
            </w:r>
          </w:p>
        </w:tc>
      </w:tr>
      <w:tr>
        <w:trPr>
          <w:trHeight w:val="209"/>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Benefit for income taxes</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(7,809)</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w:t>
            </w:r>
          </w:p>
        </w:tc>
      </w:tr>
      <w:tr>
        <w:trPr>
          <w:trHeight w:val="199"/>
        </w:trPr>
        <w:tc>
          <w:tcPr>
            <w:tcW w:w="6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(9,634)</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(17,757)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(46)%</w:t>
            </w:r>
          </w:p>
        </w:tc>
      </w:tr>
      <w:tr>
        <w:trPr>
          <w:trHeight w:val="20"/>
        </w:trPr>
        <w:tc>
          <w:tcPr>
            <w:tcW w:w="6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ind w:right="560" w:firstLine="169"/>
        <w:spacing w:after="0" w:line="287" w:lineRule="auto"/>
        <w:rPr>
          <w:sz w:val="20"/>
          <w:szCs w:val="20"/>
          <w:color w:val="auto"/>
        </w:rPr>
      </w:pPr>
      <w:r>
        <w:rPr>
          <w:rFonts w:ascii="Times New Roman" w:cs="Times New Roman" w:eastAsia="Times New Roman" w:hAnsi="Times New Roman"/>
          <w:sz w:val="17"/>
          <w:szCs w:val="17"/>
          <w:color w:val="auto"/>
        </w:rPr>
        <w:t>The following table sets forth our condensed consolidated results of operations for the specified periods as a percentage of our revenue for those periods presented:</w:t>
      </w:r>
    </w:p>
    <w:p>
      <w:pPr>
        <w:sectPr>
          <w:pgSz w:w="11900" w:h="16838" w:orient="portrait"/>
          <w:cols w:equalWidth="0" w:num="1">
            <w:col w:w="11200"/>
          </w:cols>
          <w:pgMar w:left="320" w:top="123" w:right="37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auto"/>
        </w:rPr>
        <w:t>Revenue</w:t>
      </w:r>
    </w:p>
    <w:p>
      <w:pPr>
        <w:spacing w:after="0" w:line="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Cost of revenue</w:t>
      </w:r>
    </w:p>
    <w:p>
      <w:pPr>
        <w:spacing w:after="0" w:line="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Sales and marketing</w:t>
      </w:r>
    </w:p>
    <w:p>
      <w:pPr>
        <w:spacing w:after="0" w:line="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Technology and development</w:t>
      </w:r>
    </w:p>
    <w:p>
      <w:pPr>
        <w:spacing w:after="0" w:line="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General and administrative</w:t>
      </w:r>
    </w:p>
    <w:p>
      <w:pPr>
        <w:spacing w:after="0" w:line="4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auto"/>
        </w:rPr>
        <w:t>Total expenses</w:t>
      </w:r>
    </w:p>
    <w:p>
      <w:pPr>
        <w:spacing w:after="0" w:line="47" w:lineRule="exact"/>
        <w:rPr>
          <w:sz w:val="20"/>
          <w:szCs w:val="20"/>
          <w:color w:val="auto"/>
        </w:rPr>
      </w:pPr>
    </w:p>
    <w:p>
      <w:pPr>
        <w:jc w:val="right"/>
        <w:ind w:right="1980"/>
        <w:spacing w:after="0"/>
        <w:rPr>
          <w:sz w:val="20"/>
          <w:szCs w:val="20"/>
          <w:color w:val="auto"/>
        </w:rPr>
      </w:pPr>
      <w:r>
        <w:rPr>
          <w:rFonts w:ascii="Times New Roman" w:cs="Times New Roman" w:eastAsia="Times New Roman" w:hAnsi="Times New Roman"/>
          <w:sz w:val="15"/>
          <w:szCs w:val="15"/>
          <w:color w:val="auto"/>
        </w:rPr>
        <w:t>Loss from operations</w:t>
      </w:r>
    </w:p>
    <w:p>
      <w:pPr>
        <w:spacing w:after="0" w:line="47" w:lineRule="exact"/>
        <w:rPr>
          <w:sz w:val="20"/>
          <w:szCs w:val="20"/>
          <w:color w:val="auto"/>
        </w:rPr>
      </w:pPr>
    </w:p>
    <w:p>
      <w:pPr>
        <w:jc w:val="right"/>
        <w:ind w:right="1940"/>
        <w:spacing w:after="0"/>
        <w:rPr>
          <w:sz w:val="20"/>
          <w:szCs w:val="20"/>
          <w:color w:val="auto"/>
        </w:rPr>
      </w:pPr>
      <w:r>
        <w:rPr>
          <w:rFonts w:ascii="Times New Roman" w:cs="Times New Roman" w:eastAsia="Times New Roman" w:hAnsi="Times New Roman"/>
          <w:sz w:val="15"/>
          <w:szCs w:val="15"/>
          <w:color w:val="auto"/>
        </w:rPr>
        <w:t>Other expense, net</w:t>
      </w:r>
    </w:p>
    <w:p>
      <w:pPr>
        <w:spacing w:after="0" w:line="3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auto"/>
        </w:rPr>
        <w:t>Loss before income taxes</w:t>
      </w:r>
    </w:p>
    <w:p>
      <w:pPr>
        <w:spacing w:after="0" w:line="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Benefit for income taxes</w:t>
      </w:r>
    </w:p>
    <w:p>
      <w:pPr>
        <w:spacing w:after="0" w:line="3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Net loss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4" w:lineRule="exact"/>
        <w:rPr>
          <w:sz w:val="20"/>
          <w:szCs w:val="20"/>
          <w:color w:val="auto"/>
        </w:rPr>
      </w:pPr>
    </w:p>
    <w:tbl>
      <w:tblPr>
        <w:tblLayout w:type="fixed"/>
        <w:tblInd w:w="3760" w:type="dxa"/>
        <w:tblCellMar>
          <w:top w:w="0" w:type="dxa"/>
          <w:left w:w="0" w:type="dxa"/>
          <w:bottom w:w="0" w:type="dxa"/>
          <w:right w:w="0" w:type="dxa"/>
        </w:tblCellMar>
      </w:tblPr>
      <w:tr>
        <w:trPr>
          <w:trHeight w:val="201"/>
        </w:trPr>
        <w:tc>
          <w:tcPr>
            <w:tcW w:w="14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Borders>
              <w:top w:val="single" w:sz="8" w:color="auto"/>
              <w:bottom w:val="single" w:sz="8" w:color="auto"/>
            </w:tcBorders>
          </w:tcPr>
          <w:p>
            <w:pPr>
              <w:spacing w:after="0"/>
              <w:rPr>
                <w:sz w:val="17"/>
                <w:szCs w:val="17"/>
                <w:color w:val="auto"/>
              </w:rPr>
            </w:pPr>
          </w:p>
        </w:tc>
      </w:tr>
      <w:tr>
        <w:trPr>
          <w:trHeight w:val="212"/>
        </w:trPr>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232"/>
        </w:trPr>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180" w:type="dxa"/>
            <w:vAlign w:val="bottom"/>
          </w:tcPr>
          <w:p>
            <w:pPr>
              <w:spacing w:after="0"/>
              <w:rPr>
                <w:sz w:val="20"/>
                <w:szCs w:val="20"/>
                <w:color w:val="auto"/>
              </w:rPr>
            </w:pPr>
          </w:p>
        </w:tc>
      </w:tr>
      <w:tr>
        <w:trPr>
          <w:trHeight w:val="232"/>
        </w:trPr>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180" w:type="dxa"/>
            <w:vAlign w:val="bottom"/>
          </w:tcPr>
          <w:p>
            <w:pPr>
              <w:spacing w:after="0"/>
              <w:rPr>
                <w:sz w:val="20"/>
                <w:szCs w:val="20"/>
                <w:color w:val="auto"/>
              </w:rPr>
            </w:pPr>
          </w:p>
        </w:tc>
      </w:tr>
      <w:tr>
        <w:trPr>
          <w:trHeight w:val="232"/>
        </w:trPr>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180" w:type="dxa"/>
            <w:vAlign w:val="bottom"/>
          </w:tcPr>
          <w:p>
            <w:pPr>
              <w:spacing w:after="0"/>
              <w:rPr>
                <w:sz w:val="20"/>
                <w:szCs w:val="20"/>
                <w:color w:val="auto"/>
              </w:rPr>
            </w:pPr>
          </w:p>
        </w:tc>
      </w:tr>
      <w:tr>
        <w:trPr>
          <w:trHeight w:val="209"/>
        </w:trPr>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180" w:type="dxa"/>
            <w:vAlign w:val="bottom"/>
            <w:tcBorders>
              <w:bottom w:val="single" w:sz="8" w:color="auto"/>
            </w:tcBorders>
          </w:tcPr>
          <w:p>
            <w:pPr>
              <w:spacing w:after="0"/>
              <w:rPr>
                <w:sz w:val="18"/>
                <w:szCs w:val="18"/>
                <w:color w:val="auto"/>
              </w:rPr>
            </w:pPr>
          </w:p>
        </w:tc>
      </w:tr>
      <w:tr>
        <w:trPr>
          <w:trHeight w:val="212"/>
        </w:trPr>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180" w:type="dxa"/>
            <w:vAlign w:val="bottom"/>
            <w:tcBorders>
              <w:bottom w:val="single" w:sz="8" w:color="auto"/>
            </w:tcBorders>
          </w:tcPr>
          <w:p>
            <w:pPr>
              <w:spacing w:after="0"/>
              <w:rPr>
                <w:sz w:val="18"/>
                <w:szCs w:val="18"/>
                <w:color w:val="auto"/>
              </w:rPr>
            </w:pPr>
          </w:p>
        </w:tc>
      </w:tr>
      <w:tr>
        <w:trPr>
          <w:trHeight w:val="196"/>
        </w:trPr>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80" w:type="dxa"/>
            <w:vAlign w:val="bottom"/>
          </w:tcPr>
          <w:p>
            <w:pPr>
              <w:spacing w:after="0"/>
              <w:rPr>
                <w:sz w:val="17"/>
                <w:szCs w:val="17"/>
                <w:color w:val="auto"/>
              </w:rPr>
            </w:pPr>
          </w:p>
        </w:tc>
      </w:tr>
      <w:tr>
        <w:trPr>
          <w:trHeight w:val="209"/>
        </w:trPr>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80" w:type="dxa"/>
            <w:vAlign w:val="bottom"/>
            <w:tcBorders>
              <w:bottom w:val="single" w:sz="8" w:color="auto"/>
            </w:tcBorders>
          </w:tcPr>
          <w:p>
            <w:pPr>
              <w:spacing w:after="0"/>
              <w:rPr>
                <w:sz w:val="18"/>
                <w:szCs w:val="18"/>
                <w:color w:val="auto"/>
              </w:rPr>
            </w:pPr>
          </w:p>
        </w:tc>
      </w:tr>
      <w:tr>
        <w:trPr>
          <w:trHeight w:val="196"/>
        </w:trPr>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80" w:type="dxa"/>
            <w:vAlign w:val="bottom"/>
          </w:tcPr>
          <w:p>
            <w:pPr>
              <w:spacing w:after="0"/>
              <w:rPr>
                <w:sz w:val="17"/>
                <w:szCs w:val="17"/>
                <w:color w:val="auto"/>
              </w:rPr>
            </w:pPr>
          </w:p>
        </w:tc>
      </w:tr>
      <w:tr>
        <w:trPr>
          <w:trHeight w:val="209"/>
        </w:trPr>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80" w:type="dxa"/>
            <w:vAlign w:val="bottom"/>
            <w:tcBorders>
              <w:bottom w:val="single" w:sz="8" w:color="auto"/>
            </w:tcBorders>
          </w:tcPr>
          <w:p>
            <w:pPr>
              <w:spacing w:after="0"/>
              <w:rPr>
                <w:sz w:val="18"/>
                <w:szCs w:val="18"/>
                <w:color w:val="auto"/>
              </w:rPr>
            </w:pPr>
          </w:p>
        </w:tc>
      </w:tr>
      <w:tr>
        <w:trPr>
          <w:trHeight w:val="196"/>
        </w:trPr>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 %</w:t>
            </w:r>
          </w:p>
        </w:tc>
        <w:tc>
          <w:tcPr>
            <w:tcW w:w="10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-1543050</wp:posOffset>
            </wp:positionV>
            <wp:extent cx="7065010" cy="147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65010" cy="14732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-1248410</wp:posOffset>
            </wp:positionV>
            <wp:extent cx="7065010" cy="147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65010" cy="14732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-953770</wp:posOffset>
            </wp:positionV>
            <wp:extent cx="7065010" cy="1308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65010" cy="13081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-675005</wp:posOffset>
            </wp:positionV>
            <wp:extent cx="7065010" cy="1390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65010" cy="13906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-405130</wp:posOffset>
            </wp:positionV>
            <wp:extent cx="7065010" cy="1390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65010" cy="13906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-135255</wp:posOffset>
            </wp:positionV>
            <wp:extent cx="7065010" cy="1555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65010" cy="15557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Note: Percentages may not sum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2387600</wp:posOffset>
            </wp:positionH>
            <wp:positionV relativeFrom="paragraph">
              <wp:posOffset>-100965</wp:posOffset>
            </wp:positionV>
            <wp:extent cx="21037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03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720"/>
            <w:col w:w="7080"/>
          </w:cols>
          <w:pgMar w:left="320" w:top="123" w:right="379" w:bottom="1440" w:gutter="0" w:footer="0" w:header="0"/>
          <w:type w:val="continuous"/>
        </w:sectPr>
      </w:pP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the Three Months Ended March 31, 2025 and 2024</w:t>
      </w:r>
    </w:p>
    <w:p>
      <w:pPr>
        <w:spacing w:after="0" w:line="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07" w:lineRule="exact"/>
        <w:rPr>
          <w:sz w:val="20"/>
          <w:szCs w:val="20"/>
          <w:color w:val="auto"/>
        </w:rPr>
      </w:pPr>
    </w:p>
    <w:p>
      <w:pPr>
        <w:ind w:right="20" w:firstLine="619"/>
        <w:spacing w:after="0" w:line="260" w:lineRule="auto"/>
        <w:rPr>
          <w:sz w:val="20"/>
          <w:szCs w:val="20"/>
          <w:color w:val="auto"/>
        </w:rPr>
      </w:pPr>
      <w:r>
        <w:rPr>
          <w:rFonts w:ascii="Times New Roman" w:cs="Times New Roman" w:eastAsia="Times New Roman" w:hAnsi="Times New Roman"/>
          <w:sz w:val="17"/>
          <w:szCs w:val="17"/>
          <w:color w:val="auto"/>
        </w:rPr>
        <w:t>Revenue increased $6.5 million, or 4%, for the three months ended March 31, 2025 compared to the prior year period. Our revenue growth was driven by growth in mobile and desktop revenue, which increased by $4.5 million, or 8%, and $2.0 million, or 9%, respectively. Revenue from CTV for the three months ended March 31, 2025 was relatively flat year-over-year. Our CTV revenue results were impacted by declines in transactions that are reported on a gross basis, resulting in a year-over-year decline of approximately $9.4 million; however, this decrease was primarily offset by increases in revenue from programmatic CTV transactions, which are reported on a net basis. As a result, despite CTV revenue being relatively flat year-over-year, our Contribution ex-TAC attributable to CTV increased by 15% year-over-year. See Key Operating and Financial Performance Metrics below for a discussion of Contribution ex-TAC.</w:t>
      </w:r>
    </w:p>
    <w:p>
      <w:pPr>
        <w:spacing w:after="0" w:line="57" w:lineRule="exact"/>
        <w:rPr>
          <w:sz w:val="20"/>
          <w:szCs w:val="20"/>
          <w:color w:val="auto"/>
        </w:rPr>
      </w:pPr>
    </w:p>
    <w:p>
      <w:pPr>
        <w:ind w:right="100" w:firstLine="619"/>
        <w:spacing w:after="0" w:line="270" w:lineRule="auto"/>
        <w:rPr>
          <w:sz w:val="20"/>
          <w:szCs w:val="20"/>
          <w:color w:val="auto"/>
        </w:rPr>
      </w:pPr>
      <w:r>
        <w:rPr>
          <w:rFonts w:ascii="Times New Roman" w:cs="Times New Roman" w:eastAsia="Times New Roman" w:hAnsi="Times New Roman"/>
          <w:sz w:val="17"/>
          <w:szCs w:val="17"/>
          <w:color w:val="auto"/>
        </w:rPr>
        <w:t>Our revenue is largely a function of the number of advertising transactions and the price, or CPM, at which the inventory is sold, which results in total advertising spend on our platform, and, with respect to our revenue reported on a net basis, the take rate we charge for our services. Because pricing and take rate vary across publisher, channel, and transaction type, our revenue is subject</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changes in publisher-specific take rates, and shifts in the mix of advertising spend on our platform among publishers and transaction types.</w:t>
      </w:r>
    </w:p>
    <w:p>
      <w:pPr>
        <w:spacing w:after="0" w:line="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2025, we believe our revenue will increase compared to the prior year period and we expect CTV will be our biggest growth driver.</w:t>
      </w:r>
    </w:p>
    <w:p>
      <w:pPr>
        <w:spacing w:after="0" w:line="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107" w:lineRule="exact"/>
        <w:rPr>
          <w:sz w:val="20"/>
          <w:szCs w:val="20"/>
          <w:color w:val="auto"/>
        </w:rPr>
      </w:pPr>
    </w:p>
    <w:p>
      <w:pPr>
        <w:ind w:right="60" w:firstLine="619"/>
        <w:spacing w:after="0" w:line="264" w:lineRule="auto"/>
        <w:rPr>
          <w:sz w:val="20"/>
          <w:szCs w:val="20"/>
          <w:color w:val="auto"/>
        </w:rPr>
      </w:pPr>
      <w:r>
        <w:rPr>
          <w:rFonts w:ascii="Times New Roman" w:cs="Times New Roman" w:eastAsia="Times New Roman" w:hAnsi="Times New Roman"/>
          <w:sz w:val="17"/>
          <w:szCs w:val="17"/>
          <w:color w:val="auto"/>
        </w:rPr>
        <w:t>Cost of revenue decreased $3.1 million, or 5%, for the three months ended March 31, 2025 compared to the prior year period, primarily due to decreases of $8.8 million in traffic acquisition costs due to a decrease in revenue reported on a gross basis. The decreases were partially offset by increases of $4.1 million in software costs and $2.3 million in depreciation and amortization primarily due to investments made to our on-prem data centers to support increasing volume of transactions processed on our platform.</w:t>
      </w:r>
    </w:p>
    <w:p>
      <w:pPr>
        <w:spacing w:after="0" w:line="29" w:lineRule="exact"/>
        <w:rPr>
          <w:sz w:val="20"/>
          <w:szCs w:val="20"/>
          <w:color w:val="auto"/>
        </w:rPr>
      </w:pPr>
    </w:p>
    <w:p>
      <w:pPr>
        <w:ind w:right="220" w:firstLine="619"/>
        <w:spacing w:after="0" w:line="254" w:lineRule="auto"/>
        <w:rPr>
          <w:sz w:val="20"/>
          <w:szCs w:val="20"/>
          <w:color w:val="auto"/>
        </w:rPr>
      </w:pPr>
      <w:r>
        <w:rPr>
          <w:rFonts w:ascii="Times New Roman" w:cs="Times New Roman" w:eastAsia="Times New Roman" w:hAnsi="Times New Roman"/>
          <w:sz w:val="17"/>
          <w:szCs w:val="17"/>
          <w:color w:val="auto"/>
        </w:rPr>
        <w:t>Cost of revenue may fluctuate from quarter to quarter and period to period, on an absolute dollar basis and as a percentage of revenue, depending on revenue levels and the volume of transactions we process supporting those revenues, and the timing and amounts of depreciation and amortization of equipment and software.</w:t>
      </w:r>
    </w:p>
    <w:p>
      <w:pPr>
        <w:spacing w:after="0" w:line="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w:t>
      </w:r>
    </w:p>
    <w:p>
      <w:pPr>
        <w:spacing w:after="0" w:line="94" w:lineRule="exact"/>
        <w:rPr>
          <w:sz w:val="20"/>
          <w:szCs w:val="20"/>
          <w:color w:val="auto"/>
        </w:rPr>
      </w:pPr>
    </w:p>
    <w:p>
      <w:pPr>
        <w:ind w:right="260" w:firstLine="619"/>
        <w:spacing w:after="0" w:line="287" w:lineRule="auto"/>
        <w:rPr>
          <w:sz w:val="20"/>
          <w:szCs w:val="20"/>
          <w:color w:val="auto"/>
        </w:rPr>
      </w:pPr>
      <w:r>
        <w:rPr>
          <w:rFonts w:ascii="Times New Roman" w:cs="Times New Roman" w:eastAsia="Times New Roman" w:hAnsi="Times New Roman"/>
          <w:sz w:val="17"/>
          <w:szCs w:val="17"/>
          <w:color w:val="auto"/>
        </w:rPr>
        <w:t>Sales and marketing expenses increased $4.4 million, or 10%, for the three months ended March 31, 2025 compared to the prior year period, primarily due to increases of $3.6 million in personnel costs.</w:t>
      </w:r>
    </w:p>
    <w:p>
      <w:pPr>
        <w:spacing w:after="0" w:line="35" w:lineRule="exact"/>
        <w:rPr>
          <w:sz w:val="20"/>
          <w:szCs w:val="20"/>
          <w:color w:val="auto"/>
        </w:rPr>
      </w:pPr>
    </w:p>
    <w:p>
      <w:pPr>
        <w:ind w:right="160" w:firstLine="619"/>
        <w:spacing w:after="0" w:line="287" w:lineRule="auto"/>
        <w:rPr>
          <w:sz w:val="20"/>
          <w:szCs w:val="20"/>
          <w:color w:val="auto"/>
        </w:rPr>
      </w:pPr>
      <w:r>
        <w:rPr>
          <w:rFonts w:ascii="Times New Roman" w:cs="Times New Roman" w:eastAsia="Times New Roman" w:hAnsi="Times New Roman"/>
          <w:sz w:val="17"/>
          <w:szCs w:val="17"/>
          <w:color w:val="auto"/>
        </w:rPr>
        <w:t>Sales and marketing expenses may fluctuate quarter to quarter and period to period, on an absolute dollar basis and as a percentage of revenue, based on revenue levels, the timing of our investments and seasonality in our industry and business.</w:t>
      </w:r>
    </w:p>
    <w:p>
      <w:pPr>
        <w:spacing w:after="0" w:line="1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Technology and Development</w:t>
      </w:r>
    </w:p>
    <w:p>
      <w:pPr>
        <w:spacing w:after="0" w:line="107" w:lineRule="exact"/>
        <w:rPr>
          <w:sz w:val="20"/>
          <w:szCs w:val="20"/>
          <w:color w:val="auto"/>
        </w:rPr>
      </w:pPr>
    </w:p>
    <w:p>
      <w:pPr>
        <w:ind w:right="280" w:firstLine="619"/>
        <w:spacing w:after="0" w:line="287" w:lineRule="auto"/>
        <w:rPr>
          <w:sz w:val="20"/>
          <w:szCs w:val="20"/>
          <w:color w:val="auto"/>
        </w:rPr>
      </w:pPr>
      <w:r>
        <w:rPr>
          <w:rFonts w:ascii="Times New Roman" w:cs="Times New Roman" w:eastAsia="Times New Roman" w:hAnsi="Times New Roman"/>
          <w:sz w:val="17"/>
          <w:szCs w:val="17"/>
          <w:color w:val="auto"/>
        </w:rPr>
        <w:t>Technology and development expenses decreased $4.6 million, or 17%, for the three months ended March 31, 2025 compared to the prior year period, primarily due to decreases of $1.8 million in software costs, $1.5 million in personnel costs, and $1.3 million in event and travel-related expenses.</w:t>
      </w:r>
    </w:p>
    <w:p>
      <w:pPr>
        <w:spacing w:after="0" w:line="35" w:lineRule="exact"/>
        <w:rPr>
          <w:sz w:val="20"/>
          <w:szCs w:val="20"/>
          <w:color w:val="auto"/>
        </w:rPr>
      </w:pPr>
    </w:p>
    <w:p>
      <w:pPr>
        <w:ind w:right="120" w:firstLine="619"/>
        <w:spacing w:after="0" w:line="264" w:lineRule="auto"/>
        <w:rPr>
          <w:sz w:val="20"/>
          <w:szCs w:val="20"/>
          <w:color w:val="auto"/>
        </w:rPr>
      </w:pPr>
      <w:r>
        <w:rPr>
          <w:rFonts w:ascii="Times New Roman" w:cs="Times New Roman" w:eastAsia="Times New Roman" w:hAnsi="Times New Roman"/>
          <w:sz w:val="17"/>
          <w:szCs w:val="17"/>
          <w:color w:val="auto"/>
        </w:rPr>
        <w:t>The timing and amount of our capitalized development and enhancement projects may affect the amount of development costs expensed in any given period. As a percentage of revenue, technology and development expense may fluctuate from quarter to quarter and period to period based on revenue levels, the timing and amounts of technology and development efforts, the timing and the rate of the amortization of internally-developed capitalized projects and the timing and amounts of future capitalized internally-developed software costs.</w:t>
      </w:r>
    </w:p>
    <w:p>
      <w:pPr>
        <w:spacing w:after="0" w:line="1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w:t>
      </w:r>
    </w:p>
    <w:p>
      <w:pPr>
        <w:spacing w:after="0" w:line="107" w:lineRule="exact"/>
        <w:rPr>
          <w:sz w:val="20"/>
          <w:szCs w:val="20"/>
          <w:color w:val="auto"/>
        </w:rPr>
      </w:pPr>
    </w:p>
    <w:p>
      <w:pPr>
        <w:ind w:right="260" w:firstLine="619"/>
        <w:spacing w:after="0" w:line="270" w:lineRule="auto"/>
        <w:rPr>
          <w:sz w:val="20"/>
          <w:szCs w:val="20"/>
          <w:color w:val="auto"/>
        </w:rPr>
      </w:pPr>
      <w:r>
        <w:rPr>
          <w:rFonts w:ascii="Times New Roman" w:cs="Times New Roman" w:eastAsia="Times New Roman" w:hAnsi="Times New Roman"/>
          <w:sz w:val="17"/>
          <w:szCs w:val="17"/>
          <w:color w:val="auto"/>
        </w:rPr>
        <w:t>General and administrative expenses decreased $2.7 million, or 10%, for the three months ended March 31, 2025 compared to the prior year period, primarily due to decreases of $2.2 million in refinancing expenses associated with our 2024 Term Loan B Facility (defined below) in February 2024 and March 2025.</w:t>
      </w:r>
    </w:p>
    <w:p>
      <w:pPr>
        <w:spacing w:after="0" w:line="24" w:lineRule="exact"/>
        <w:rPr>
          <w:sz w:val="20"/>
          <w:szCs w:val="20"/>
          <w:color w:val="auto"/>
        </w:rPr>
      </w:pPr>
    </w:p>
    <w:p>
      <w:pPr>
        <w:ind w:right="200" w:firstLine="619"/>
        <w:spacing w:after="0" w:line="271" w:lineRule="auto"/>
        <w:rPr>
          <w:sz w:val="20"/>
          <w:szCs w:val="20"/>
          <w:color w:val="auto"/>
        </w:rPr>
      </w:pPr>
      <w:r>
        <w:rPr>
          <w:rFonts w:ascii="Times New Roman" w:cs="Times New Roman" w:eastAsia="Times New Roman" w:hAnsi="Times New Roman"/>
          <w:sz w:val="17"/>
          <w:szCs w:val="17"/>
          <w:color w:val="auto"/>
        </w:rPr>
        <w:t>General and administrative expenses may fluctuate from quarter to quarter and period to period based on the timing and amounts of expenditures in our general and administrative functions as they vary in scope and scale over periods. Such fluctuations may not be directly proportional to changes in revenue.</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80" w:type="dxa"/>
            <w:vAlign w:val="bottom"/>
            <w:gridSpan w:val="4"/>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2"/>
        </w:trPr>
        <w:tc>
          <w:tcPr>
            <w:tcW w:w="8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1"/>
        </w:trPr>
        <w:tc>
          <w:tcPr>
            <w:tcW w:w="83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173"/>
        </w:trPr>
        <w:tc>
          <w:tcPr>
            <w:tcW w:w="8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80" w:type="dxa"/>
            <w:vAlign w:val="bottom"/>
            <w:gridSpan w:val="4"/>
          </w:tcPr>
          <w:p>
            <w:pPr>
              <w:jc w:val="right"/>
              <w:ind w:right="957"/>
              <w:spacing w:after="0"/>
              <w:rPr>
                <w:sz w:val="20"/>
                <w:szCs w:val="20"/>
                <w:color w:val="auto"/>
              </w:rPr>
            </w:pPr>
            <w:r>
              <w:rPr>
                <w:rFonts w:ascii="Times New Roman" w:cs="Times New Roman" w:eastAsia="Times New Roman" w:hAnsi="Times New Roman"/>
                <w:sz w:val="13"/>
                <w:szCs w:val="13"/>
                <w:b w:val="1"/>
                <w:bCs w:val="1"/>
                <w:color w:val="auto"/>
              </w:rPr>
              <w:t>(in thousands)</w:t>
            </w:r>
          </w:p>
        </w:tc>
      </w:tr>
      <w:tr>
        <w:trPr>
          <w:trHeight w:val="225"/>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7,958</w:t>
            </w:r>
          </w:p>
        </w:tc>
      </w:tr>
      <w:tr>
        <w:trPr>
          <w:trHeight w:val="219"/>
        </w:trPr>
        <w:tc>
          <w:tcPr>
            <w:tcW w:w="8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exchange (gain) loss, net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(2,315)</w:t>
            </w:r>
          </w:p>
        </w:tc>
      </w:tr>
      <w:tr>
        <w:trPr>
          <w:trHeight w:val="21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7,387</w:t>
            </w:r>
          </w:p>
        </w:tc>
      </w:tr>
      <w:tr>
        <w:trPr>
          <w:trHeight w:val="219"/>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income</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(1,292)</w:t>
            </w:r>
          </w:p>
        </w:tc>
      </w:tr>
      <w:tr>
        <w:trPr>
          <w:trHeight w:val="237"/>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expense,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9,123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11,738</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right="60" w:firstLine="619"/>
        <w:spacing w:after="0" w:line="270" w:lineRule="auto"/>
        <w:rPr>
          <w:sz w:val="20"/>
          <w:szCs w:val="20"/>
          <w:color w:val="auto"/>
        </w:rPr>
      </w:pPr>
      <w:r>
        <w:rPr>
          <w:rFonts w:ascii="Times New Roman" w:cs="Times New Roman" w:eastAsia="Times New Roman" w:hAnsi="Times New Roman"/>
          <w:sz w:val="17"/>
          <w:szCs w:val="17"/>
          <w:color w:val="auto"/>
        </w:rPr>
        <w:t>Interest expense, net decreased $2.8 million for the three months ended March 31, 2025, compared to the prior year period. The net decrease is due to an increase in interest income and a decrease in interest expense as a result of lower interest incurred under the 2024 Term Loan B Facility (defined below) compared to the 2021 Term Loan B Facility (defined below).</w:t>
      </w:r>
    </w:p>
    <w:p>
      <w:pPr>
        <w:spacing w:after="0" w:line="49" w:lineRule="exact"/>
        <w:rPr>
          <w:sz w:val="20"/>
          <w:szCs w:val="20"/>
          <w:color w:val="auto"/>
        </w:rPr>
      </w:pPr>
    </w:p>
    <w:p>
      <w:pPr>
        <w:ind w:right="380" w:firstLine="619"/>
        <w:spacing w:after="0" w:line="270" w:lineRule="auto"/>
        <w:rPr>
          <w:sz w:val="20"/>
          <w:szCs w:val="20"/>
          <w:color w:val="auto"/>
        </w:rPr>
      </w:pPr>
      <w:r>
        <w:rPr>
          <w:rFonts w:ascii="Times New Roman" w:cs="Times New Roman" w:eastAsia="Times New Roman" w:hAnsi="Times New Roman"/>
          <w:sz w:val="17"/>
          <w:szCs w:val="17"/>
          <w:color w:val="auto"/>
        </w:rPr>
        <w:t>Foreign exchange (gain) loss, net changed by $4.5 million for the three months ended March 31, 2025 compared to the prior year period due to movements in foreign currency exchange rates and the amount of foreign currency-denominated cash, receivables, and payables, which were impacted by our billings to buyers, payments to sellers, and intercompany balances.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right="280" w:firstLine="619"/>
        <w:spacing w:after="0" w:line="254" w:lineRule="auto"/>
        <w:rPr>
          <w:sz w:val="20"/>
          <w:szCs w:val="20"/>
          <w:color w:val="auto"/>
        </w:rPr>
      </w:pPr>
      <w:r>
        <w:rPr>
          <w:rFonts w:ascii="Times New Roman" w:cs="Times New Roman" w:eastAsia="Times New Roman" w:hAnsi="Times New Roman"/>
          <w:sz w:val="17"/>
          <w:szCs w:val="17"/>
          <w:color w:val="auto"/>
        </w:rPr>
        <w:t>The loss on extinguishment of debt of $2.2 million and $7.4 million for the three months ended March 31, 2025 and 2024, respectively, was due to the March 2025 repricing of our 2024 Term Loan B Facility (defined below) and the February 2024 refinancing of our prior 2021 Term Loan B Facility (defined below), which are further discussed below.</w:t>
      </w:r>
    </w:p>
    <w:p>
      <w:pPr>
        <w:spacing w:after="0" w:line="1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Provision (Benefit) for Income Taxes</w:t>
      </w:r>
    </w:p>
    <w:p>
      <w:pPr>
        <w:spacing w:after="0" w:line="94"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We recorded an income tax benefit of $0.9 million for the three months ended March 31, 2025 and an income tax benefit of $7.8 million for the three months ended March 31, 2024. The tax benefit for the three months ended March 31, 2025 was primarily the result of the Company's ability to recognize DTAs subject to the domestic valuation allowance and the federal, state, and foreign income tax provisions. The tax benefit for the three months ended March 31, 2024 was primarily the result of the Company's ability to recognize DTAs subject to the domestic valuation allowance, Base Erosion and Anti-Abuse Tax ("BEAT"), and the foreign income tax provision. Given our current earnings and anticipated future earnings, we believe that there is a reasonable possibility that within the next twelve months, sufficient positive evidence may become available to allow us to reach a conclusion that all or a significant portion of the valuation allowance will no longer be needed.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Operating and Financial Performance Metrics</w:t>
      </w:r>
    </w:p>
    <w:p>
      <w:pPr>
        <w:spacing w:after="0" w:line="105" w:lineRule="exact"/>
        <w:rPr>
          <w:sz w:val="20"/>
          <w:szCs w:val="20"/>
          <w:color w:val="auto"/>
        </w:rPr>
      </w:pPr>
    </w:p>
    <w:p>
      <w:pPr>
        <w:ind w:right="120" w:firstLine="619"/>
        <w:spacing w:after="0" w:line="264" w:lineRule="auto"/>
        <w:rPr>
          <w:sz w:val="20"/>
          <w:szCs w:val="20"/>
          <w:color w:val="auto"/>
        </w:rPr>
      </w:pPr>
      <w:r>
        <w:rPr>
          <w:rFonts w:ascii="Times New Roman" w:cs="Times New Roman" w:eastAsia="Times New Roman" w:hAnsi="Times New Roman"/>
          <w:sz w:val="17"/>
          <w:szCs w:val="17"/>
          <w:color w:val="auto"/>
        </w:rPr>
        <w:t>In addition to our GAAP results, we review non-GAAP financial measures, including Contribution ex-TAC and Adjusted EBITDA, to help us evaluate our business on a consistent basis, measure our performance, identify trends affecting our business, establish budgets, measure the effectiveness of investments in our technology and development and sales and marketing, and assess our operational efficiencies. Our non-GAAP financial measures are discussed below. Revenue and net income (loss) are discussed above under the headings "Components of Our Results of Operations" and "Results of Operations."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tcPr>
          <w:p>
            <w:pPr>
              <w:spacing w:after="0"/>
              <w:rPr>
                <w:sz w:val="15"/>
                <w:szCs w:val="15"/>
                <w:color w:val="auto"/>
              </w:rPr>
            </w:pPr>
          </w:p>
        </w:tc>
      </w:tr>
      <w:tr>
        <w:trPr>
          <w:trHeight w:val="22"/>
        </w:trPr>
        <w:tc>
          <w:tcPr>
            <w:tcW w:w="7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1"/>
        </w:trPr>
        <w:tc>
          <w:tcPr>
            <w:tcW w:w="7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w w:val="98"/>
              </w:rPr>
              <w:t>March 31, 2025</w:t>
            </w: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w w:val="98"/>
              </w:rPr>
              <w:t>March 31, 2024</w:t>
            </w:r>
          </w:p>
        </w:tc>
        <w:tc>
          <w:tcPr>
            <w:tcW w:w="10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Change %</w:t>
            </w:r>
          </w:p>
        </w:tc>
      </w:tr>
      <w:tr>
        <w:trPr>
          <w:trHeight w:val="186"/>
        </w:trPr>
        <w:tc>
          <w:tcPr>
            <w:tcW w:w="7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40" w:type="dxa"/>
            <w:vAlign w:val="bottom"/>
            <w:gridSpan w:val="3"/>
          </w:tcPr>
          <w:p>
            <w:pPr>
              <w:jc w:val="right"/>
              <w:ind w:right="97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tcPr>
          <w:p>
            <w:pPr>
              <w:spacing w:after="0"/>
              <w:rPr>
                <w:sz w:val="16"/>
                <w:szCs w:val="16"/>
                <w:color w:val="auto"/>
              </w:rPr>
            </w:pPr>
          </w:p>
        </w:tc>
      </w:tr>
      <w:tr>
        <w:trPr>
          <w:trHeight w:val="22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Financial Measures and non-GAAP Financial Measures: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9"/>
        </w:trPr>
        <w:tc>
          <w:tcPr>
            <w:tcW w:w="7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155,771</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rPr>
              <w:t>149,319</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4 %</w:t>
            </w:r>
          </w:p>
        </w:tc>
      </w:tr>
      <w:tr>
        <w:trPr>
          <w:trHeight w:val="219"/>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Gross profit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92,972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83,417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r>
      <w:tr>
        <w:trPr>
          <w:trHeight w:val="219"/>
        </w:trPr>
        <w:tc>
          <w:tcPr>
            <w:tcW w:w="7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Contribution ex-TAC</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145,848</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rPr>
              <w:t>130,553</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12 %</w:t>
            </w:r>
          </w:p>
        </w:tc>
      </w:tr>
      <w:tr>
        <w:trPr>
          <w:trHeight w:val="219"/>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(17,757)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23"/>
        </w:trPr>
        <w:tc>
          <w:tcPr>
            <w:tcW w:w="7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36,800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rPr>
              <w:t>25,026</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47 %</w:t>
            </w:r>
          </w:p>
        </w:tc>
      </w:tr>
    </w:tbl>
    <w:p>
      <w:pPr>
        <w:spacing w:after="0" w:line="2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Contribution ex-TAC</w:t>
      </w:r>
    </w:p>
    <w:p>
      <w:pPr>
        <w:spacing w:after="0" w:line="92" w:lineRule="exact"/>
        <w:rPr>
          <w:sz w:val="20"/>
          <w:szCs w:val="20"/>
          <w:color w:val="auto"/>
        </w:rPr>
      </w:pPr>
    </w:p>
    <w:p>
      <w:pPr>
        <w:ind w:right="60" w:firstLine="619"/>
        <w:spacing w:after="0" w:line="263" w:lineRule="auto"/>
        <w:rPr>
          <w:sz w:val="20"/>
          <w:szCs w:val="20"/>
          <w:color w:val="auto"/>
        </w:rPr>
      </w:pPr>
      <w:r>
        <w:rPr>
          <w:rFonts w:ascii="Times New Roman" w:cs="Times New Roman" w:eastAsia="Times New Roman" w:hAnsi="Times New Roman"/>
          <w:sz w:val="17"/>
          <w:szCs w:val="17"/>
          <w:color w:val="auto"/>
        </w:rPr>
        <w:t>Contribution ex-TAC is calculated as gross profit plus cost of revenue excluding traffic acquisition cost ("TAC"). Traffic acquisition cost, a component of cost of revenue, represents what we must pay sellers for the sale of advertising inventory through our platform for revenue reported on a gross basis. Contribution ex-TAC is a non-GAAP financial measure that is most comparable to gross profit. Our management believes Contribution ex-TAC is a useful measure in facilitating a consistent comparison against our core business without considering the impact of traffic acquisition costs related to revenue reported on a gross basis.</w:t>
      </w:r>
    </w:p>
    <w:p>
      <w:pPr>
        <w:spacing w:after="0" w:line="265" w:lineRule="exact"/>
        <w:rPr>
          <w:sz w:val="20"/>
          <w:szCs w:val="20"/>
          <w:color w:val="auto"/>
        </w:rPr>
      </w:pPr>
    </w:p>
    <w:p>
      <w:pPr>
        <w:ind w:right="80" w:firstLine="619"/>
        <w:spacing w:after="0" w:line="261" w:lineRule="auto"/>
        <w:rPr>
          <w:sz w:val="20"/>
          <w:szCs w:val="20"/>
          <w:color w:val="auto"/>
        </w:rPr>
      </w:pPr>
      <w:r>
        <w:rPr>
          <w:rFonts w:ascii="Times New Roman" w:cs="Times New Roman" w:eastAsia="Times New Roman" w:hAnsi="Times New Roman"/>
          <w:sz w:val="17"/>
          <w:szCs w:val="17"/>
          <w:color w:val="auto"/>
        </w:rPr>
        <w:t>Our use of Contribution ex-TAC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which have similar business arrangements, may define Contribution ex-TAC differently, which may make comparisons difficult. Because of these and other limitations, you should consider our non-GAAP measures only as supplemental to GAAP-based financial performance measures, including revenue, gross profit, net income (loss) and cash flows.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220"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presents the calculation of gross profit and reconciliation of gross profit to Contribution ex-TAC for the three months ended March 31, 2025 and 2024:</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gridSpan w:val="3"/>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1140" w:type="dxa"/>
            <w:vAlign w:val="bottom"/>
          </w:tcPr>
          <w:p>
            <w:pPr>
              <w:spacing w:after="0"/>
              <w:rPr>
                <w:sz w:val="15"/>
                <w:szCs w:val="15"/>
                <w:color w:val="auto"/>
              </w:rPr>
            </w:pPr>
          </w:p>
        </w:tc>
      </w:tr>
      <w:tr>
        <w:trPr>
          <w:trHeight w:val="22"/>
        </w:trPr>
        <w:tc>
          <w:tcPr>
            <w:tcW w:w="7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7"/>
        </w:trPr>
        <w:tc>
          <w:tcPr>
            <w:tcW w:w="7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w w:val="98"/>
              </w:rPr>
              <w:t>March 31, 2025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w w:val="98"/>
              </w:rPr>
              <w:t>March 31, 2024</w:t>
            </w:r>
          </w:p>
        </w:tc>
        <w:tc>
          <w:tcPr>
            <w:tcW w:w="114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Change %</w:t>
            </w:r>
          </w:p>
        </w:tc>
      </w:tr>
      <w:tr>
        <w:trPr>
          <w:trHeight w:val="22"/>
        </w:trPr>
        <w:tc>
          <w:tcPr>
            <w:tcW w:w="7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gridSpan w:val="4"/>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1"/>
        </w:trPr>
        <w:tc>
          <w:tcPr>
            <w:tcW w:w="7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60" w:type="dxa"/>
            <w:vAlign w:val="bottom"/>
            <w:gridSpan w:val="4"/>
          </w:tcPr>
          <w:p>
            <w:pPr>
              <w:jc w:val="right"/>
              <w:ind w:right="79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spacing w:after="0"/>
              <w:rPr>
                <w:sz w:val="15"/>
                <w:szCs w:val="15"/>
                <w:color w:val="auto"/>
              </w:rPr>
            </w:pPr>
          </w:p>
        </w:tc>
      </w:tr>
      <w:tr>
        <w:trPr>
          <w:trHeight w:val="225"/>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155,771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149,319</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r>
      <w:tr>
        <w:trPr>
          <w:trHeight w:val="219"/>
        </w:trPr>
        <w:tc>
          <w:tcPr>
            <w:tcW w:w="7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Less: Cost of revenue</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62,799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65,902</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2"/>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92,972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83,417</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r>
      <w:tr>
        <w:trPr>
          <w:trHeight w:val="212"/>
        </w:trPr>
        <w:tc>
          <w:tcPr>
            <w:tcW w:w="7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Add back: Cost of revenue, excluding TAC</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52,876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47,136</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12 %</w:t>
            </w:r>
          </w:p>
        </w:tc>
      </w:tr>
      <w:tr>
        <w:trPr>
          <w:trHeight w:val="237"/>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Contribution ex-TAC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145,848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130,553</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12 %</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164" w:lineRule="exact"/>
        <w:rPr>
          <w:sz w:val="20"/>
          <w:szCs w:val="20"/>
          <w:color w:val="auto"/>
        </w:rPr>
      </w:pPr>
    </w:p>
    <w:p>
      <w:pPr>
        <w:ind w:right="760" w:firstLine="619"/>
        <w:spacing w:after="0" w:line="287" w:lineRule="auto"/>
        <w:rPr>
          <w:sz w:val="20"/>
          <w:szCs w:val="20"/>
          <w:color w:val="auto"/>
        </w:rPr>
      </w:pPr>
      <w:r>
        <w:rPr>
          <w:rFonts w:ascii="Times New Roman" w:cs="Times New Roman" w:eastAsia="Times New Roman" w:hAnsi="Times New Roman"/>
          <w:sz w:val="17"/>
          <w:szCs w:val="17"/>
          <w:color w:val="auto"/>
        </w:rPr>
        <w:t>Sellers use our technology to monetize their content across all digital channels, including CTV, mobile, and desktop.We track the breakdown of Contribution ex-TAC across channels to better understand how our clients are transacting on our platform.</w:t>
      </w:r>
    </w:p>
    <w:p>
      <w:pPr>
        <w:spacing w:after="0" w:line="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Contribution ex-TAC by channel for the three months ended March 31, 2025 and 2024:</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gridSpan w:val="3"/>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w w:val="95"/>
              </w:rPr>
              <w:t>Contribution ex-TAC</w:t>
            </w:r>
          </w:p>
        </w:tc>
        <w:tc>
          <w:tcPr>
            <w:tcW w:w="1160" w:type="dxa"/>
            <w:vAlign w:val="bottom"/>
          </w:tcPr>
          <w:p>
            <w:pPr>
              <w:spacing w:after="0"/>
              <w:rPr>
                <w:sz w:val="15"/>
                <w:szCs w:val="15"/>
                <w:color w:val="auto"/>
              </w:rPr>
            </w:pPr>
          </w:p>
        </w:tc>
      </w:tr>
      <w:tr>
        <w:trPr>
          <w:trHeight w:val="22"/>
        </w:trPr>
        <w:tc>
          <w:tcPr>
            <w:tcW w:w="7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3"/>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1"/>
        </w:trPr>
        <w:tc>
          <w:tcPr>
            <w:tcW w:w="7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1160" w:type="dxa"/>
            <w:vAlign w:val="bottom"/>
            <w:tcBorders>
              <w:bottom w:val="single" w:sz="8" w:color="auto"/>
            </w:tcBorders>
          </w:tcPr>
          <w:p>
            <w:pPr>
              <w:spacing w:after="0"/>
              <w:rPr>
                <w:sz w:val="15"/>
                <w:szCs w:val="15"/>
                <w:color w:val="auto"/>
              </w:rPr>
            </w:pPr>
          </w:p>
        </w:tc>
      </w:tr>
      <w:tr>
        <w:trPr>
          <w:trHeight w:val="186"/>
        </w:trPr>
        <w:tc>
          <w:tcPr>
            <w:tcW w:w="7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1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Change %</w:t>
            </w:r>
          </w:p>
        </w:tc>
      </w:tr>
      <w:tr>
        <w:trPr>
          <w:trHeight w:val="186"/>
        </w:trPr>
        <w:tc>
          <w:tcPr>
            <w:tcW w:w="7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4"/>
          </w:tcPr>
          <w:p>
            <w:pPr>
              <w:jc w:val="right"/>
              <w:ind w:right="81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6"/>
                <w:szCs w:val="16"/>
                <w:color w:val="auto"/>
              </w:rPr>
            </w:pPr>
          </w:p>
        </w:tc>
      </w:tr>
      <w:tr>
        <w:trPr>
          <w:trHeight w:val="22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Channel:</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9"/>
        </w:trPr>
        <w:tc>
          <w:tcPr>
            <w:tcW w:w="74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CTV</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63,225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54,894</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15 %</w:t>
            </w:r>
          </w:p>
        </w:tc>
      </w:tr>
      <w:tr>
        <w:trPr>
          <w:trHeight w:val="219"/>
        </w:trPr>
        <w:tc>
          <w:tcPr>
            <w:tcW w:w="7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Mobile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58,008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53,299</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r>
      <w:tr>
        <w:trPr>
          <w:trHeight w:val="219"/>
        </w:trPr>
        <w:tc>
          <w:tcPr>
            <w:tcW w:w="74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Desktop</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24,615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22,360</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10 %</w:t>
            </w:r>
          </w:p>
        </w:tc>
      </w:tr>
      <w:tr>
        <w:trPr>
          <w:trHeight w:val="237"/>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145,848</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130,553</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12 %</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151" w:lineRule="exact"/>
        <w:rPr>
          <w:sz w:val="20"/>
          <w:szCs w:val="20"/>
          <w:color w:val="auto"/>
        </w:rPr>
      </w:pPr>
    </w:p>
    <w:p>
      <w:pPr>
        <w:ind w:right="360" w:firstLine="619"/>
        <w:spacing w:after="0" w:line="287" w:lineRule="auto"/>
        <w:rPr>
          <w:sz w:val="20"/>
          <w:szCs w:val="20"/>
          <w:color w:val="auto"/>
        </w:rPr>
      </w:pPr>
      <w:r>
        <w:rPr>
          <w:rFonts w:ascii="Times New Roman" w:cs="Times New Roman" w:eastAsia="Times New Roman" w:hAnsi="Times New Roman"/>
          <w:sz w:val="17"/>
          <w:szCs w:val="17"/>
          <w:color w:val="auto"/>
        </w:rPr>
        <w:t>Contribution ex-TAC increased $15.3 million, or 12%, for the three months ended March 31, 2025 compared to the prior year period. The increase in Contribution ex-TAC was primarily due to the growth drivers described above for revenue.</w:t>
      </w:r>
    </w:p>
    <w:p>
      <w:pPr>
        <w:spacing w:after="0" w:line="35" w:lineRule="exact"/>
        <w:rPr>
          <w:sz w:val="20"/>
          <w:szCs w:val="20"/>
          <w:color w:val="auto"/>
        </w:rPr>
      </w:pPr>
    </w:p>
    <w:p>
      <w:pPr>
        <w:ind w:right="480" w:firstLine="619"/>
        <w:spacing w:after="0" w:line="287" w:lineRule="auto"/>
        <w:rPr>
          <w:sz w:val="20"/>
          <w:szCs w:val="20"/>
          <w:color w:val="auto"/>
        </w:rPr>
      </w:pPr>
      <w:r>
        <w:rPr>
          <w:rFonts w:ascii="Times New Roman" w:cs="Times New Roman" w:eastAsia="Times New Roman" w:hAnsi="Times New Roman"/>
          <w:sz w:val="17"/>
          <w:szCs w:val="17"/>
          <w:color w:val="auto"/>
        </w:rPr>
        <w:t>For the remainder of 2025, we expect Contribution ex-TAC will increase compared to the prior year period, and we expect CTV will be our biggest growth driver in 2025.</w:t>
      </w:r>
    </w:p>
    <w:p>
      <w:pPr>
        <w:spacing w:after="0" w:line="1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Adjusted EBITDA</w:t>
      </w:r>
    </w:p>
    <w:p>
      <w:pPr>
        <w:spacing w:after="0" w:line="105"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We define Adjusted EBITDA as net income (loss) adjusted to exclude stock-based compensation expense, depreciation and amortization, amortization of acquired intangible assets, impairment charges, interest income or expense, and other cash and non-cash based income or expenses that we do not consider indicative of our core operating performance, including, but not limited to foreign exchange gains and losses, acquisition and related items, gains or losses on extinguishment of debt, other debt refinancing expenses, non-operational real estate and other expenses (income), net, and provision (benefit) for income taxes. We believe Adjusted EBITDA is useful to investors in evaluating our performance for the following reasons:</w:t>
      </w:r>
    </w:p>
    <w:p>
      <w:pPr>
        <w:spacing w:after="0" w:line="59" w:lineRule="exact"/>
        <w:rPr>
          <w:sz w:val="20"/>
          <w:szCs w:val="20"/>
          <w:color w:val="auto"/>
        </w:rPr>
      </w:pPr>
    </w:p>
    <w:p>
      <w:pPr>
        <w:ind w:left="620" w:right="220" w:hanging="307"/>
        <w:spacing w:after="0" w:line="270"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is widely used by investors and securities analysts to measure a company’s performance without regard to items such as those we exclude in calculating this measure, which can vary substantially from company to company depending upon their financing, capital structures, and the method by which assets were acquired.</w:t>
      </w:r>
    </w:p>
    <w:p>
      <w:pPr>
        <w:spacing w:after="0" w:line="36" w:lineRule="exact"/>
        <w:rPr>
          <w:rFonts w:ascii="Times New Roman" w:cs="Times New Roman" w:eastAsia="Times New Roman" w:hAnsi="Times New Roman"/>
          <w:sz w:val="17"/>
          <w:szCs w:val="17"/>
          <w:color w:val="auto"/>
        </w:rPr>
      </w:pPr>
    </w:p>
    <w:p>
      <w:pPr>
        <w:ind w:left="620" w:right="220" w:hanging="307"/>
        <w:spacing w:after="0" w:line="270"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management uses Adjusted EBITDA in conjunction with GAAP financial measures for planning purposes, including the preparation of our annual operating budget, as a measure of performance and the effectiveness of our business strategies, and in communications with our board of directors concerning our performance. Adjusted EBITDA is also used as a metric for determining payment of cash incentive compensation.</w:t>
      </w:r>
    </w:p>
    <w:p>
      <w:pPr>
        <w:spacing w:after="0" w:line="49" w:lineRule="exact"/>
        <w:rPr>
          <w:rFonts w:ascii="Times New Roman" w:cs="Times New Roman" w:eastAsia="Times New Roman" w:hAnsi="Times New Roman"/>
          <w:sz w:val="17"/>
          <w:szCs w:val="17"/>
          <w:color w:val="auto"/>
        </w:rPr>
      </w:pPr>
    </w:p>
    <w:p>
      <w:pPr>
        <w:jc w:val="both"/>
        <w:ind w:left="620" w:right="120" w:hanging="307"/>
        <w:spacing w:after="0" w:line="270"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provides a measure of consistency and comparability with our past performance that many investors find useful, facilitates period-to-period comparisons of operations, and also facilitates comparisons with other peer companies, many of which use similar non-GAAP financial measures to supplement their GAAP results.</w:t>
      </w:r>
    </w:p>
    <w:p>
      <w:pPr>
        <w:spacing w:after="0" w:line="127"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Although Adjusted EBITDA is frequently used by investors and securities analysts in their evaluations of companies, Adjusted EBITDA has limitations as an analytical tool, and should not be considered in isolation or as a substitute for analysis of our results of operations as reported under GAAP. These limitations include:</w:t>
      </w:r>
    </w:p>
    <w:p>
      <w:pPr>
        <w:spacing w:after="0" w:line="49" w:lineRule="exact"/>
        <w:rPr>
          <w:sz w:val="20"/>
          <w:szCs w:val="20"/>
          <w:color w:val="auto"/>
        </w:rPr>
      </w:pPr>
    </w:p>
    <w:p>
      <w:pPr>
        <w:ind w:left="620" w:right="140" w:hanging="307"/>
        <w:spacing w:after="0" w:line="287"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Stock-based compensation is a non-cash charge and will remain an element of our long-term incentive compensation package, although we exclude it as an expense when evaluating our ongoing operating performance for a particular period.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left="620" w:right="580" w:hanging="307"/>
        <w:spacing w:after="0" w:line="287"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Depreciation and amortization are non-cash charges, and the assets being depreciated or amortized will often have to be replaced in the future, but Adjusted EBITDA does not reflect any cash requirements for these replacements.</w:t>
      </w:r>
    </w:p>
    <w:p>
      <w:pPr>
        <w:spacing w:after="0" w:line="2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Impairment charges are non-cash charges related to goodwill, intangible assets and/or long-lived assets.</w:t>
      </w:r>
    </w:p>
    <w:p>
      <w:pPr>
        <w:spacing w:after="0" w:line="101" w:lineRule="exact"/>
        <w:rPr>
          <w:rFonts w:ascii="Times New Roman" w:cs="Times New Roman" w:eastAsia="Times New Roman" w:hAnsi="Times New Roman"/>
          <w:sz w:val="17"/>
          <w:szCs w:val="17"/>
          <w:color w:val="auto"/>
        </w:rPr>
      </w:pPr>
    </w:p>
    <w:p>
      <w:pPr>
        <w:ind w:left="620" w:right="100" w:hanging="307"/>
        <w:spacing w:after="0" w:line="287"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does not reflect certain cash and non-cash charges related to acquisition and related items, such as amortization of acquired intangible assets, merger, acquisition, or restructuring related severance costs, and changes in the fair value of contingent consideration.</w:t>
      </w:r>
    </w:p>
    <w:p>
      <w:pPr>
        <w:spacing w:after="0" w:line="35" w:lineRule="exact"/>
        <w:rPr>
          <w:rFonts w:ascii="Times New Roman" w:cs="Times New Roman" w:eastAsia="Times New Roman" w:hAnsi="Times New Roman"/>
          <w:sz w:val="17"/>
          <w:szCs w:val="17"/>
          <w:color w:val="auto"/>
        </w:rPr>
      </w:pPr>
    </w:p>
    <w:p>
      <w:pPr>
        <w:ind w:left="620" w:right="380" w:hanging="307"/>
        <w:spacing w:after="0" w:line="287"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does not reflect cash and non-cash charges and changes in, or cash requirements for, acquisition and related items, such as certain transaction expenses.</w:t>
      </w:r>
    </w:p>
    <w:p>
      <w:pPr>
        <w:spacing w:after="0" w:line="22" w:lineRule="exact"/>
        <w:rPr>
          <w:rFonts w:ascii="Times New Roman" w:cs="Times New Roman" w:eastAsia="Times New Roman" w:hAnsi="Times New Roman"/>
          <w:sz w:val="17"/>
          <w:szCs w:val="17"/>
          <w:color w:val="auto"/>
        </w:rPr>
      </w:pPr>
    </w:p>
    <w:p>
      <w:pPr>
        <w:ind w:left="620" w:right="180" w:hanging="307"/>
        <w:spacing w:after="0" w:line="287"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does not reflect cash and non-cash charges related to certain financing transactions such as gains or losses on extinguishment of debt or other debt refinancing expenses.</w:t>
      </w:r>
    </w:p>
    <w:p>
      <w:pPr>
        <w:spacing w:after="0" w:line="35" w:lineRule="exact"/>
        <w:rPr>
          <w:rFonts w:ascii="Times New Roman" w:cs="Times New Roman" w:eastAsia="Times New Roman" w:hAnsi="Times New Roman"/>
          <w:sz w:val="17"/>
          <w:szCs w:val="17"/>
          <w:color w:val="auto"/>
        </w:rPr>
      </w:pPr>
    </w:p>
    <w:p>
      <w:pPr>
        <w:ind w:left="620" w:right="20" w:hanging="307"/>
        <w:spacing w:after="0" w:line="287"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does not reflect certain non-operational real estate and other (income) and expense, net, which consists of transactions or expenses that are typically by nature non-operating, one-time items, or unrelated to our core operations.</w:t>
      </w:r>
    </w:p>
    <w:p>
      <w:pPr>
        <w:spacing w:after="0" w:line="3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does not reflect changes in our working capital needs, capital expenditures, or contractual commitments.</w:t>
      </w:r>
    </w:p>
    <w:p>
      <w:pPr>
        <w:spacing w:after="0" w:line="8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does not reflect cash requirements for income taxes and the cash impact of other income or expense.</w:t>
      </w:r>
    </w:p>
    <w:p>
      <w:pPr>
        <w:spacing w:after="0" w:line="10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companies may calculate Adjusted EBITDA differently than we do, limiting its usefulness as a comparative measure.</w:t>
      </w:r>
    </w:p>
    <w:p>
      <w:pPr>
        <w:spacing w:after="0" w:line="178" w:lineRule="exact"/>
        <w:rPr>
          <w:sz w:val="20"/>
          <w:szCs w:val="20"/>
          <w:color w:val="auto"/>
        </w:rPr>
      </w:pPr>
    </w:p>
    <w:p>
      <w:pPr>
        <w:jc w:val="both"/>
        <w:ind w:right="120" w:firstLine="619"/>
        <w:spacing w:after="0" w:line="270" w:lineRule="auto"/>
        <w:rPr>
          <w:sz w:val="20"/>
          <w:szCs w:val="20"/>
          <w:color w:val="auto"/>
        </w:rPr>
      </w:pPr>
      <w:r>
        <w:rPr>
          <w:rFonts w:ascii="Times New Roman" w:cs="Times New Roman" w:eastAsia="Times New Roman" w:hAnsi="Times New Roman"/>
          <w:sz w:val="17"/>
          <w:szCs w:val="17"/>
          <w:color w:val="auto"/>
        </w:rPr>
        <w:t>Our Adjusted EBITDA is influenced by fluctuations in our revenue, cost of revenue, and the timing and amounts of the cost of our operations. Adjusted EBITDA should not be considered as an alternative to net income (loss), income (loss) from operations, or any other measure of financial performance calculated and presented in accordance with GAAP.</w:t>
      </w:r>
    </w:p>
    <w:p>
      <w:pPr>
        <w:spacing w:after="0" w:line="140" w:lineRule="exact"/>
        <w:rPr>
          <w:sz w:val="20"/>
          <w:szCs w:val="20"/>
          <w:color w:val="auto"/>
        </w:rPr>
      </w:pPr>
    </w:p>
    <w:p>
      <w:pPr>
        <w:ind w:right="220"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presents a reconciliation of net loss, the most comparable GAAP measure, to Adjusted EBITDA for the three months ended March 31, 2025 and 2024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80" w:type="dxa"/>
            <w:vAlign w:val="bottom"/>
            <w:gridSpan w:val="4"/>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2"/>
        </w:trPr>
        <w:tc>
          <w:tcPr>
            <w:tcW w:w="8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7"/>
        </w:trPr>
        <w:tc>
          <w:tcPr>
            <w:tcW w:w="8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5"/>
                <w:szCs w:val="15"/>
                <w:color w:val="auto"/>
              </w:rPr>
            </w:pPr>
          </w:p>
        </w:tc>
        <w:tc>
          <w:tcPr>
            <w:tcW w:w="12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2"/>
        </w:trPr>
        <w:tc>
          <w:tcPr>
            <w:tcW w:w="8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2"/>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(17,757)</w:t>
            </w:r>
          </w:p>
        </w:tc>
      </w:tr>
      <w:tr>
        <w:trPr>
          <w:trHeight w:val="219"/>
        </w:trPr>
        <w:tc>
          <w:tcPr>
            <w:tcW w:w="8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 back (deduct):</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9"/>
        </w:trPr>
        <w:tc>
          <w:tcPr>
            <w:tcW w:w="8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Depreciation and amortization expense, excluding amortization of acquired intangible assets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5,978</w:t>
            </w:r>
          </w:p>
        </w:tc>
      </w:tr>
      <w:tr>
        <w:trPr>
          <w:trHeight w:val="219"/>
        </w:trPr>
        <w:tc>
          <w:tcPr>
            <w:tcW w:w="8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Amortization of acquired intangibles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7,589</w:t>
            </w:r>
          </w:p>
        </w:tc>
      </w:tr>
      <w:tr>
        <w:trPr>
          <w:trHeight w:val="219"/>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20,831</w:t>
            </w:r>
          </w:p>
        </w:tc>
      </w:tr>
      <w:tr>
        <w:trPr>
          <w:trHeight w:val="219"/>
        </w:trPr>
        <w:tc>
          <w:tcPr>
            <w:tcW w:w="8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Non-operational real estate and other (income) expense, net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19"/>
        </w:trPr>
        <w:tc>
          <w:tcPr>
            <w:tcW w:w="8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expense, net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7,958</w:t>
            </w:r>
          </w:p>
        </w:tc>
      </w:tr>
      <w:tr>
        <w:trPr>
          <w:trHeight w:val="219"/>
        </w:trPr>
        <w:tc>
          <w:tcPr>
            <w:tcW w:w="8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Foreign exchange (gain) loss, net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(2,315)</w:t>
            </w:r>
          </w:p>
        </w:tc>
      </w:tr>
      <w:tr>
        <w:trPr>
          <w:trHeight w:val="219"/>
        </w:trPr>
        <w:tc>
          <w:tcPr>
            <w:tcW w:w="8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7,387</w:t>
            </w:r>
          </w:p>
        </w:tc>
      </w:tr>
      <w:tr>
        <w:trPr>
          <w:trHeight w:val="219"/>
        </w:trPr>
        <w:tc>
          <w:tcPr>
            <w:tcW w:w="8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 debt refinancing expense</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3,140</w:t>
            </w:r>
          </w:p>
        </w:tc>
      </w:tr>
      <w:tr>
        <w:trPr>
          <w:trHeight w:val="219"/>
        </w:trPr>
        <w:tc>
          <w:tcPr>
            <w:tcW w:w="8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Benefit for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(7,809)</w:t>
            </w:r>
          </w:p>
        </w:tc>
      </w:tr>
      <w:tr>
        <w:trPr>
          <w:trHeight w:val="212"/>
        </w:trPr>
        <w:tc>
          <w:tcPr>
            <w:tcW w:w="8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36,800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25,026</w:t>
            </w:r>
          </w:p>
        </w:tc>
      </w:tr>
      <w:tr>
        <w:trPr>
          <w:trHeight w:val="20"/>
        </w:trPr>
        <w:tc>
          <w:tcPr>
            <w:tcW w:w="8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ind w:right="100" w:firstLine="619"/>
        <w:spacing w:after="0" w:line="287" w:lineRule="auto"/>
        <w:rPr>
          <w:sz w:val="20"/>
          <w:szCs w:val="20"/>
          <w:color w:val="auto"/>
        </w:rPr>
      </w:pPr>
      <w:r>
        <w:rPr>
          <w:rFonts w:ascii="Times New Roman" w:cs="Times New Roman" w:eastAsia="Times New Roman" w:hAnsi="Times New Roman"/>
          <w:sz w:val="17"/>
          <w:szCs w:val="17"/>
          <w:color w:val="auto"/>
        </w:rPr>
        <w:t>Adjusted EBITDA increased by $11.8 million during the three months ended March 31, 2025 compared to the prior year period, primarily due to increases in revenue and decreases in certain operating expenses, as described in the "Comparison of the Three Months Ended March 31, 2025 and 2024"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Liquidity</w:t>
      </w:r>
    </w:p>
    <w:p>
      <w:pPr>
        <w:spacing w:after="0" w:line="81" w:lineRule="exact"/>
        <w:rPr>
          <w:sz w:val="20"/>
          <w:szCs w:val="20"/>
          <w:color w:val="auto"/>
        </w:rPr>
      </w:pPr>
    </w:p>
    <w:p>
      <w:pPr>
        <w:ind w:right="20" w:firstLine="619"/>
        <w:spacing w:after="0" w:line="245" w:lineRule="auto"/>
        <w:rPr>
          <w:sz w:val="20"/>
          <w:szCs w:val="20"/>
          <w:color w:val="auto"/>
        </w:rPr>
      </w:pPr>
      <w:r>
        <w:rPr>
          <w:rFonts w:ascii="Times New Roman" w:cs="Times New Roman" w:eastAsia="Times New Roman" w:hAnsi="Times New Roman"/>
          <w:sz w:val="17"/>
          <w:szCs w:val="17"/>
          <w:color w:val="auto"/>
        </w:rPr>
        <w:t>As of March 31, 2025, we had cash and cash equivalents of $429.7 million, of which $57.1 million was held in foreign currency denominated cash accounts, and an aggregate gross principal amount of $568.2 million of indebtedness outstanding under our 2024 Term Loan B Facility (as defined below) and our Convertible Senior Notes (as defined below). In addition, we were party to a $175.0 million 2024 Revolving Credit Facility (as defined below), of which approximately $5.5 million was assigned to outstanding but undrawn letters of credit. See "Capital Resources" below for further information about our outstanding debt.</w:t>
      </w:r>
    </w:p>
    <w:p>
      <w:pPr>
        <w:spacing w:after="0" w:line="72" w:lineRule="exact"/>
        <w:rPr>
          <w:sz w:val="20"/>
          <w:szCs w:val="20"/>
          <w:color w:val="auto"/>
        </w:rPr>
      </w:pPr>
    </w:p>
    <w:p>
      <w:pPr>
        <w:ind w:right="80" w:firstLine="619"/>
        <w:spacing w:after="0" w:line="260" w:lineRule="auto"/>
        <w:rPr>
          <w:sz w:val="20"/>
          <w:szCs w:val="20"/>
          <w:color w:val="auto"/>
        </w:rPr>
      </w:pPr>
      <w:r>
        <w:rPr>
          <w:rFonts w:ascii="Times New Roman" w:cs="Times New Roman" w:eastAsia="Times New Roman" w:hAnsi="Times New Roman"/>
          <w:sz w:val="17"/>
          <w:szCs w:val="17"/>
          <w:color w:val="auto"/>
        </w:rPr>
        <w:t>Our principal cash requirements for the twelve-month period following this report primarily consists of personnel costs, contractual payment obligations, including office leases, data center costs and cloud hosting costs, capital expenditures, payment of interest, required principal payments on our Convertible Senior Notes, which mature in March 2026, and our 2024 Term Loan B Facility, cash outlays for income taxes, and cash requirements to fund working capital. In the longer term, we would expect to have similar cash requirements, excluding the one-time payment related to the maturity of our Convertible Senior Notes, with increases in absolute dollars associated with the continued growth of our business and expansion of operations. See "Contractual Obligations and Known Future Cash Requirements" for a further discussion of our known material contractual obligations.</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On February 1, 2024, the Board of Directors approved a new repurchase plan (the "February 2024 Repurchase Plan"), which fully replaced the prior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repurchase plan, pursuant to which we are authorized to repurchase common stock or Convertible Senior Notes, with an aggregate market value of up to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$125.0 million, through February 1, 2026. During three months ended March 31, 2025, we repurchased 1,500,000 shares of the Company's common stock for an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aggregate amount of $19.2 million. As of March 31, 2025, $91.2 million remains available under the February 2024 Repurchase Plan.</w:t>
      </w:r>
    </w:p>
    <w:p>
      <w:pPr>
        <w:spacing w:after="0" w:line="84"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Our working capital needs and cash conversion cycle, which is influenced by seasonality and by the mix of terms among our buyers and sellers and which may be negatively impacted as a result of pandemics, inflationary, recessionary and other macroeconomic challenges, can have large fluctuations due to the timing of receipts from buyers and timing of disbursements to sellers. In addition, in the event a buyer defaults on payment, we may still be required to pay sellers for the inventory purchased. The impacts from changes in working capital and capital expenditures can significantly impact our cash flows and therefore, our liquidity during any period presented.</w:t>
      </w:r>
    </w:p>
    <w:p>
      <w:pPr>
        <w:spacing w:after="0" w:line="59"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We have historically relied upon cash and cash equivalents, cash generated from operations, borrowings under credit facilities and issuance of debt for our liquidity needs. Our ability to meet our cash requirements depends on, among other things, our operating performance, competitive developments, and financial market conditions, all of which are significantly affected by business, financial, economic, political, global health-related and other factors, many of which we may not be able to control or influence.</w:t>
      </w:r>
    </w:p>
    <w:p>
      <w:pPr>
        <w:spacing w:after="0" w:line="42" w:lineRule="exact"/>
        <w:rPr>
          <w:sz w:val="20"/>
          <w:szCs w:val="20"/>
          <w:color w:val="auto"/>
        </w:rPr>
      </w:pPr>
    </w:p>
    <w:p>
      <w:pPr>
        <w:ind w:right="140" w:firstLine="619"/>
        <w:spacing w:after="0" w:line="261" w:lineRule="auto"/>
        <w:rPr>
          <w:sz w:val="20"/>
          <w:szCs w:val="20"/>
          <w:color w:val="auto"/>
        </w:rPr>
      </w:pPr>
      <w:r>
        <w:rPr>
          <w:rFonts w:ascii="Times New Roman" w:cs="Times New Roman" w:eastAsia="Times New Roman" w:hAnsi="Times New Roman"/>
          <w:sz w:val="17"/>
          <w:szCs w:val="17"/>
          <w:color w:val="auto"/>
        </w:rPr>
        <w:t>We believe our existing cash and cash equivalents, cash generated from operating activities, and amounts available to borrow under our 2024 Revolving Credit Facility will be sufficient to meet our liquidity requirements for at least the next twelve months from the issuance of our financial statements. However, there are multiple factors that could impact our cash balances in the future, including the factors described above with respect to working capital and cash conversion cycles, as well as the duration and severity of events beyond our control, macroeconomic factors, and other factors set forth in Part I, Item 1A: "Risk Factors" of our Annual Report on Form 10-K for the year ended December 31, 2024.</w:t>
      </w:r>
    </w:p>
    <w:p>
      <w:pPr>
        <w:spacing w:after="0" w:line="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Capital Resources</w:t>
      </w:r>
    </w:p>
    <w:p>
      <w:pPr>
        <w:spacing w:after="0" w:line="107" w:lineRule="exact"/>
        <w:rPr>
          <w:sz w:val="20"/>
          <w:szCs w:val="20"/>
          <w:color w:val="auto"/>
        </w:rPr>
      </w:pPr>
    </w:p>
    <w:p>
      <w:pPr>
        <w:ind w:right="20" w:firstLine="619"/>
        <w:spacing w:after="0" w:line="260" w:lineRule="auto"/>
        <w:rPr>
          <w:sz w:val="20"/>
          <w:szCs w:val="20"/>
          <w:color w:val="auto"/>
        </w:rPr>
      </w:pPr>
      <w:r>
        <w:rPr>
          <w:rFonts w:ascii="Times New Roman" w:cs="Times New Roman" w:eastAsia="Times New Roman" w:hAnsi="Times New Roman"/>
          <w:sz w:val="17"/>
          <w:szCs w:val="17"/>
          <w:color w:val="auto"/>
        </w:rPr>
        <w:t>In March 2021, we sold convertible senior notes ("Convertible Senior Notes") for gross proceeds of $400.0 million. The Convertible Senior Notes are senior, unsecured obligations with interest payable semi-annually in cash at a rate of 0.25% per annum in arrears on March 15 and September 15. The Convertible Senior Notes will mature on March 15, 2026, unless earlier converted, redeemed, or repurchased. The initial conversion rate is 15.6539 shares per $1,000 principal amount of notes, which represents an initial conversion price of approximately $63.88 per share of the Company’s common stock and is subject to adjustment as described in the Offering Memorandum. At March 31, 2025, the balance of the Convertible Senior Notes was $203.9 million, net of unamortized debt issuance costs of $1.1 million and is reflected as debt, current, net of debt issuance costs in the Company’s condensed balance sheet.</w:t>
      </w:r>
    </w:p>
    <w:p>
      <w:pPr>
        <w:spacing w:after="0" w:line="44"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conjunction with the issuance of the Convertible Senior Notes, we entered into capped call transactions to reduce the Company's exposure to additional cash payments above principal balances in the event of a cash conversion of the Convertible Senior Notes. The Company may owe additional cash or shares to the holders of the Convertible Senior Notes upon early conversion if our stock price exceeds $91.260 per share, which is subject to certain adjustments.</w:t>
      </w:r>
    </w:p>
    <w:p>
      <w:pPr>
        <w:spacing w:after="0" w:line="36" w:lineRule="exact"/>
        <w:rPr>
          <w:sz w:val="20"/>
          <w:szCs w:val="20"/>
          <w:color w:val="auto"/>
        </w:rPr>
      </w:pPr>
    </w:p>
    <w:p>
      <w:pPr>
        <w:ind w:right="320" w:firstLine="619"/>
        <w:spacing w:after="0" w:line="245" w:lineRule="auto"/>
        <w:rPr>
          <w:sz w:val="20"/>
          <w:szCs w:val="20"/>
          <w:color w:val="auto"/>
        </w:rPr>
      </w:pPr>
      <w:r>
        <w:rPr>
          <w:rFonts w:ascii="Times New Roman" w:cs="Times New Roman" w:eastAsia="Times New Roman" w:hAnsi="Times New Roman"/>
          <w:sz w:val="17"/>
          <w:szCs w:val="17"/>
          <w:color w:val="auto"/>
        </w:rPr>
        <w:t>On February 6, 2024, we entered into a credit agreement (the "2024 Credit Agreement") with Morgan Stanley Senior Funding, Inc. as our term loan administrative agent and Citibank, N.A. as our revolving facility administrative agent and collateral agent, and other lender parties thereto. The 2024 Credit Agreement provided for a $365.0 million seven-year senior secured term loan facility (the "2024 Term Loan B Facility") and a $175.0 million five-year senior secured revolving credit facility (the "2024 Revolving Credit Facility"). The proceeds from the 2024 Term Loan B Facility were used, among other things, to terminate and to repay in full the outstanding facilities under the prior credit agreement entered into in April 2021 (the "2021 Credit Agreement"),</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which included a term loan facility (the "2021 Term Loan B Facility") and a revolving facility (the "2021 Revolving Credit Facility").</w:t>
      </w:r>
    </w:p>
    <w:p>
      <w:pPr>
        <w:spacing w:after="0" w:line="75" w:lineRule="exact"/>
        <w:rPr>
          <w:sz w:val="20"/>
          <w:szCs w:val="20"/>
          <w:color w:val="auto"/>
        </w:rPr>
      </w:pPr>
    </w:p>
    <w:p>
      <w:pPr>
        <w:ind w:firstLine="619"/>
        <w:spacing w:after="0" w:line="254" w:lineRule="auto"/>
        <w:rPr>
          <w:sz w:val="20"/>
          <w:szCs w:val="20"/>
          <w:color w:val="auto"/>
        </w:rPr>
      </w:pPr>
      <w:r>
        <w:rPr>
          <w:rFonts w:ascii="Times New Roman" w:cs="Times New Roman" w:eastAsia="Times New Roman" w:hAnsi="Times New Roman"/>
          <w:sz w:val="17"/>
          <w:szCs w:val="17"/>
          <w:color w:val="auto"/>
        </w:rPr>
        <w:t>On September 18, 2024, we entered into Amendment No. 1 to the 2024 Credit Agreement ("Amendment No. 1"), which reduced the interest rate of the 2024 Term Loan B Facility by 75 basis points to Term SOFR plus a margin of 3.75% from the previous rate of Term SOFR plus a margin of 4.50%. The remaining terms of the 2024 Term Loan B Facility and the 2024 Revolving Credit Facility were substantially unchanged.</w:t>
      </w:r>
    </w:p>
    <w:p>
      <w:pPr>
        <w:spacing w:after="0" w:line="50" w:lineRule="exact"/>
        <w:rPr>
          <w:sz w:val="20"/>
          <w:szCs w:val="20"/>
          <w:color w:val="auto"/>
        </w:rPr>
      </w:pPr>
    </w:p>
    <w:p>
      <w:pPr>
        <w:jc w:val="both"/>
        <w:ind w:right="100" w:firstLine="619"/>
        <w:spacing w:after="0" w:line="254" w:lineRule="auto"/>
        <w:rPr>
          <w:sz w:val="20"/>
          <w:szCs w:val="20"/>
          <w:color w:val="auto"/>
        </w:rPr>
      </w:pPr>
      <w:r>
        <w:rPr>
          <w:rFonts w:ascii="Times New Roman" w:cs="Times New Roman" w:eastAsia="Times New Roman" w:hAnsi="Times New Roman"/>
          <w:sz w:val="17"/>
          <w:szCs w:val="17"/>
          <w:color w:val="auto"/>
        </w:rPr>
        <w:t>On March 18, 2025, we entered into Amendment No. 2 to the 2024 Credit Agreement ("Amendment No. 2"), which reduced the interest rate of the 2024 Term Loan B Facility by an additional 75 basis points to Term SOFR plus a margin of 3.00% from the previous rate of Term SOFR plus a margin of 3.75%. The remaining terms of the 2024 Term Loan B Facility and the 2024 Revolving Credit Facility were substantially unchanged.</w:t>
      </w:r>
    </w:p>
    <w:p>
      <w:pPr>
        <w:spacing w:after="0" w:line="37" w:lineRule="exact"/>
        <w:rPr>
          <w:sz w:val="20"/>
          <w:szCs w:val="20"/>
          <w:color w:val="auto"/>
        </w:rPr>
      </w:pPr>
    </w:p>
    <w:p>
      <w:pPr>
        <w:jc w:val="both"/>
        <w:ind w:right="100" w:firstLine="619"/>
        <w:spacing w:after="0" w:line="271" w:lineRule="auto"/>
        <w:rPr>
          <w:sz w:val="20"/>
          <w:szCs w:val="20"/>
          <w:color w:val="auto"/>
        </w:rPr>
      </w:pPr>
      <w:r>
        <w:rPr>
          <w:rFonts w:ascii="Times New Roman" w:cs="Times New Roman" w:eastAsia="Times New Roman" w:hAnsi="Times New Roman"/>
          <w:sz w:val="17"/>
          <w:szCs w:val="17"/>
          <w:color w:val="auto"/>
        </w:rPr>
        <w:t>At March 31, 2025, the balance of the 2024 Term Loan B Facility was $352.6 million, net of unamortized debt discount and debt issuance costs of $10.5 million, and amounts available under the 2024 Revolving Credit Facility were $169.5 million, net of letters of credit outstanding in the amount of $5.5 million.</w:t>
      </w:r>
    </w:p>
    <w:p>
      <w:pPr>
        <w:spacing w:after="0" w:line="36" w:lineRule="exact"/>
        <w:rPr>
          <w:sz w:val="20"/>
          <w:szCs w:val="20"/>
          <w:color w:val="auto"/>
        </w:rPr>
      </w:pPr>
    </w:p>
    <w:p>
      <w:pPr>
        <w:ind w:right="140" w:firstLine="619"/>
        <w:spacing w:after="0" w:line="241" w:lineRule="auto"/>
        <w:rPr>
          <w:sz w:val="20"/>
          <w:szCs w:val="20"/>
          <w:color w:val="auto"/>
        </w:rPr>
      </w:pPr>
      <w:r>
        <w:rPr>
          <w:rFonts w:ascii="Times New Roman" w:cs="Times New Roman" w:eastAsia="Times New Roman" w:hAnsi="Times New Roman"/>
          <w:sz w:val="17"/>
          <w:szCs w:val="17"/>
          <w:color w:val="auto"/>
        </w:rPr>
        <w:t>In the future, we may attempt to raise additional capital through the sale of equity securities or through equity-linked or debt financing arrangements. If we raise additional funds by issuing equity or equity-linked securities, the ownership of our existing stockholders may be diluted. If we raise additional financing by incurring indebtedness, we will be subject to increased fixed payment obligations and could also be subject to financial maintenance covenants, or restrictive covenants, such as limitations on our ability to incur additional debt, and other operating restrictions that could adversely impact our ability to conduct our business. Any future indebtedness we incur may result in terms that could be unfavorable to equity investors. An inability to raise additional capital could adversely affect our ability to achieve our business objectives.</w:t>
      </w:r>
    </w:p>
    <w:p>
      <w:pPr>
        <w:spacing w:after="0" w:line="73" w:lineRule="exact"/>
        <w:rPr>
          <w:sz w:val="20"/>
          <w:szCs w:val="20"/>
          <w:color w:val="auto"/>
        </w:rPr>
      </w:pPr>
    </w:p>
    <w:p>
      <w:pPr>
        <w:ind w:right="180" w:firstLine="619"/>
        <w:spacing w:after="0" w:line="261" w:lineRule="auto"/>
        <w:rPr>
          <w:sz w:val="20"/>
          <w:szCs w:val="20"/>
          <w:color w:val="auto"/>
        </w:rPr>
      </w:pPr>
      <w:r>
        <w:rPr>
          <w:rFonts w:ascii="Times New Roman" w:cs="Times New Roman" w:eastAsia="Times New Roman" w:hAnsi="Times New Roman"/>
          <w:sz w:val="17"/>
          <w:szCs w:val="17"/>
          <w:color w:val="auto"/>
        </w:rPr>
        <w:t>Our cash and cash equivalents balance is affected by our results of operations, the timing of capital expenditures and by changes in our working capital, particularly changes in accounts receivable and accounts payable. The timing of cash receipts from buyers and payments to sellers can significantly impact our cash flows from operating activities and our liquidity for, and within, any period presented. Our collection and payment cycle can vary from period to period depending upon various circumstances, including seasonality, and may be negatively impacted by certain macroeconomic challenges, such as capital market disruptions and instability of financial institutions.</w:t>
      </w:r>
    </w:p>
    <w:p>
      <w:pPr>
        <w:spacing w:after="0" w:line="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1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cash flows for the periods presented:</w:t>
      </w:r>
    </w:p>
    <w:p>
      <w:pPr>
        <w:spacing w:after="0" w:line="132" w:lineRule="exact"/>
        <w:rPr>
          <w:sz w:val="20"/>
          <w:szCs w:val="20"/>
          <w:color w:val="auto"/>
        </w:rPr>
      </w:pPr>
    </w:p>
    <w:tbl>
      <w:tblPr>
        <w:tblLayout w:type="fixed"/>
        <w:tblInd w:w="120" w:type="dxa"/>
        <w:tblCellMar>
          <w:top w:w="0" w:type="dxa"/>
          <w:left w:w="0" w:type="dxa"/>
          <w:bottom w:w="0" w:type="dxa"/>
          <w:right w:w="0" w:type="dxa"/>
        </w:tblCellMar>
      </w:tblPr>
      <w:tr>
        <w:trPr>
          <w:trHeight w:val="182"/>
        </w:trPr>
        <w:tc>
          <w:tcPr>
            <w:tcW w:w="7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20" w:type="dxa"/>
            <w:vAlign w:val="bottom"/>
            <w:gridSpan w:val="4"/>
          </w:tcPr>
          <w:p>
            <w:pPr>
              <w:jc w:val="right"/>
              <w:ind w:right="1017"/>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2"/>
        </w:trPr>
        <w:tc>
          <w:tcPr>
            <w:tcW w:w="7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1"/>
        </w:trPr>
        <w:tc>
          <w:tcPr>
            <w:tcW w:w="7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186"/>
        </w:trPr>
        <w:tc>
          <w:tcPr>
            <w:tcW w:w="7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20" w:type="dxa"/>
            <w:vAlign w:val="bottom"/>
            <w:gridSpan w:val="4"/>
          </w:tcPr>
          <w:p>
            <w:pPr>
              <w:jc w:val="right"/>
              <w:ind w:right="1217"/>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5"/>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provided by (used in) operating activities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2,561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(60,411)</w:t>
            </w:r>
          </w:p>
        </w:tc>
      </w:tr>
      <w:tr>
        <w:trPr>
          <w:trHeight w:val="219"/>
        </w:trPr>
        <w:tc>
          <w:tcPr>
            <w:tcW w:w="7580" w:type="dxa"/>
            <w:vAlign w:val="bottom"/>
          </w:tcPr>
          <w:p>
            <w:pPr>
              <w:spacing w:after="0"/>
              <w:rPr>
                <w:sz w:val="20"/>
                <w:szCs w:val="20"/>
                <w:color w:val="auto"/>
              </w:rPr>
            </w:pPr>
            <w:r>
              <w:rPr>
                <w:rFonts w:ascii="Times New Roman" w:cs="Times New Roman" w:eastAsia="Times New Roman" w:hAnsi="Times New Roman"/>
                <w:sz w:val="17"/>
                <w:szCs w:val="17"/>
                <w:color w:val="auto"/>
              </w:rPr>
              <w:t>Cash flows used in investing activities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(9,252)</w:t>
            </w:r>
          </w:p>
        </w:tc>
      </w:tr>
      <w:tr>
        <w:trPr>
          <w:trHeight w:val="21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used in financing activities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(3,101)</w:t>
            </w:r>
          </w:p>
        </w:tc>
      </w:tr>
      <w:tr>
        <w:trPr>
          <w:trHeight w:val="219"/>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Effects of exchange rate changes on cash, cash equivalents and restricted cash</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575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(621)</w:t>
            </w:r>
          </w:p>
        </w:tc>
      </w:tr>
      <w:tr>
        <w:trPr>
          <w:trHeight w:val="237"/>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cash, cash equivalents and restricted cash</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(53,512)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(73,385)</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94" w:lineRule="exact"/>
        <w:rPr>
          <w:sz w:val="20"/>
          <w:szCs w:val="20"/>
          <w:color w:val="auto"/>
        </w:rPr>
      </w:pPr>
    </w:p>
    <w:p>
      <w:pPr>
        <w:ind w:right="220" w:firstLine="619"/>
        <w:spacing w:after="0" w:line="270" w:lineRule="auto"/>
        <w:rPr>
          <w:sz w:val="20"/>
          <w:szCs w:val="20"/>
          <w:color w:val="auto"/>
        </w:rPr>
      </w:pPr>
      <w:r>
        <w:rPr>
          <w:rFonts w:ascii="Times New Roman" w:cs="Times New Roman" w:eastAsia="Times New Roman" w:hAnsi="Times New Roman"/>
          <w:sz w:val="17"/>
          <w:szCs w:val="17"/>
          <w:color w:val="auto"/>
        </w:rPr>
        <w:t>Our cash flows from operating activities are primarily driven by revenue generated by our business, offset by the cash costs of operations, and are significantly influenced by the timing of and fluctuations in receipts from buyers and related payments to sellers. Our future cash flows will be diminished if we cannot increase our revenue levels and manage costs appropriately.</w:t>
      </w:r>
    </w:p>
    <w:p>
      <w:pPr>
        <w:spacing w:after="0" w:line="49"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For the three months ended March 31, 2025, net cash provided by operating activities was $2.6 million compared to net cash used in operating activities of $60.4 million for the three months ended March 31, 2024. Our operating activities included our net loss of $9.6 million and $17.8 million for the three months ended March 31, 2025 and 2024, respectively, which were offset by non-cash adjustments of $44.0 million and $30.8 million, respectively. Net changes in our working capital resulted in $31.8 million and $73.5 million of cash used in operating activities for the three months ended March 31, 2025 and March 31, 2024, respectively. The net changes in working capital for both periods presented are primarily due to the timing of cash receipts from buyers and the timing of payments to sellers.</w:t>
      </w:r>
    </w:p>
    <w:p>
      <w:pPr>
        <w:spacing w:after="0" w:line="3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107"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Our primary investing activities have consisted of purchases of property and equipment, and capital expenditures in support of creating and enhancing our technology infrastructure. Purchases of property and equipment and investments in internal use software development may vary from period-to-period due to the timing of the expansion of our operations, changes to headcount, and the cycles of our internal use software development.</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During the three months ended March 31, 2025 and 2024, our investing activities used net cash of $17.2 million and $9.3 million, respectively. During the three months ended March 31, 2025 and 2024, we used cash for purchases of property and equipment of $14.4 million and $5.9 million, respectively, and used cash for investments in our internally developed software of $2.8 million and $3.4 million, respectively.</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1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financing activities consisted of our debt refinancing and repricing activities, and transactions related to our share repurchases and equity plans.</w:t>
      </w:r>
    </w:p>
    <w:p>
      <w:pPr>
        <w:spacing w:after="0" w:line="88"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For the three months ended March 31, 2025 and 2024, net cash used in financing activities was $39.5 million and $3.1 million, respectively. Cash outflows from financing activities for the three months ended March 31, 2025 primarily included $92.6 million of payments to certain 2024 Term Loan B Facility lenders related to our Amendment No. 2 repricing activity, $20.3 million for taxes paid related to net share settlement of stock-based awards, and $19.2 million of payments related to share repurchases. The outflows were partially offset by cash proceeds primarily consisting of $92.6 million from certain 2024 Term Loan B Facility lenders related to our Amendment No. 2 repricing activity. In connection with Amendment No. 2, most lenders decided to roll their principal balance from the 2024 Term Loan B Facility over from Amendment No. 1 to Amendment No. 2, while some decided to cash out and reassign their loan balances. On March 18, 2025, $270.6 million of the Amendment No. 1 principal balance was rolled over as part of non-cash financing activities while the remaining lenders who were repaid and then had their loans reissued were included in the $92.6 million cash outflows and the $92.6 million cash proceeds mentioned above.</w:t>
      </w:r>
    </w:p>
    <w:p>
      <w:pPr>
        <w:spacing w:after="0" w:line="59" w:lineRule="exact"/>
        <w:rPr>
          <w:sz w:val="20"/>
          <w:szCs w:val="20"/>
          <w:color w:val="auto"/>
        </w:rPr>
      </w:pPr>
    </w:p>
    <w:p>
      <w:pPr>
        <w:ind w:right="180" w:firstLine="619"/>
        <w:spacing w:after="0" w:line="264" w:lineRule="auto"/>
        <w:rPr>
          <w:sz w:val="20"/>
          <w:szCs w:val="20"/>
          <w:color w:val="auto"/>
        </w:rPr>
      </w:pPr>
      <w:r>
        <w:rPr>
          <w:rFonts w:ascii="Times New Roman" w:cs="Times New Roman" w:eastAsia="Times New Roman" w:hAnsi="Times New Roman"/>
          <w:sz w:val="17"/>
          <w:szCs w:val="17"/>
          <w:color w:val="auto"/>
        </w:rPr>
        <w:t>Cash outflows from financing activities for the three months ended March 31, 2024 primarily included $351.0 million of payments related to paying off our 2021 Term Loan B Facility, $8.9 million for taxes paid related to net share settlement of stock-based awards, and $4.5 million of payments related to debt issuance costs for our 2024 Term Loan B Facility and 2024 Revolver Facility. The outflows were partially offset by cash proceeds of $361.4 million from the issuance of our 2024 Term Loan B Facility, net of debt discount.</w:t>
      </w:r>
    </w:p>
    <w:p>
      <w:pPr>
        <w:spacing w:after="0" w:line="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Contractual Obligations and Known Future Cash Requirements</w:t>
      </w:r>
    </w:p>
    <w:p>
      <w:pPr>
        <w:spacing w:after="0" w:line="94" w:lineRule="exact"/>
        <w:rPr>
          <w:sz w:val="20"/>
          <w:szCs w:val="20"/>
          <w:color w:val="auto"/>
        </w:rPr>
      </w:pPr>
    </w:p>
    <w:p>
      <w:pPr>
        <w:ind w:right="80" w:firstLine="619"/>
        <w:spacing w:after="0" w:line="264" w:lineRule="auto"/>
        <w:rPr>
          <w:sz w:val="20"/>
          <w:szCs w:val="20"/>
          <w:color w:val="auto"/>
        </w:rPr>
      </w:pPr>
      <w:r>
        <w:rPr>
          <w:rFonts w:ascii="Times New Roman" w:cs="Times New Roman" w:eastAsia="Times New Roman" w:hAnsi="Times New Roman"/>
          <w:sz w:val="17"/>
          <w:szCs w:val="17"/>
          <w:color w:val="auto"/>
        </w:rPr>
        <w:t>Our principal commitments as of March 31, 2025 consist of obligations under our Convertible Senior Notes, 2024 Term Loan B Facility, 2024 Revolving Credit Facility, leases for our various office facilities, including our corporate headquarters in New York, New York and offices in Los Angeles, California, and operating lease agreements, including data centers, and cloud hosting services that expire at various times through 2033. In certain cases, the terms of the lease agreements provide for rental payments on a graduated basis.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20"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summarizes our future lease obligations, payments of principal and interest under our debt agreements, and other future payments due under non-cancelable agreements at March 31, 2025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00" w:type="dxa"/>
            <w:vAlign w:val="bottom"/>
          </w:tcPr>
          <w:p>
            <w:pPr>
              <w:spacing w:after="0"/>
              <w:rPr>
                <w:sz w:val="15"/>
                <w:szCs w:val="15"/>
                <w:color w:val="auto"/>
              </w:rPr>
            </w:pP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Remaining 2025</w:t>
            </w:r>
          </w:p>
        </w:tc>
        <w:tc>
          <w:tcPr>
            <w:tcW w:w="280" w:type="dxa"/>
            <w:vAlign w:val="bottom"/>
          </w:tcPr>
          <w:p>
            <w:pPr>
              <w:spacing w:after="0"/>
              <w:rPr>
                <w:sz w:val="15"/>
                <w:szCs w:val="15"/>
                <w:color w:val="auto"/>
              </w:rPr>
            </w:pPr>
          </w:p>
        </w:tc>
        <w:tc>
          <w:tcPr>
            <w:tcW w:w="86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60" w:type="dxa"/>
            <w:vAlign w:val="bottom"/>
          </w:tcPr>
          <w:p>
            <w:pPr>
              <w:spacing w:after="0"/>
              <w:rPr>
                <w:sz w:val="15"/>
                <w:szCs w:val="15"/>
                <w:color w:val="auto"/>
              </w:rPr>
            </w:pPr>
          </w:p>
        </w:tc>
        <w:tc>
          <w:tcPr>
            <w:tcW w:w="86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
        </w:trPr>
        <w:tc>
          <w:tcPr>
            <w:tcW w:w="2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29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7"/>
                <w:szCs w:val="17"/>
                <w:color w:val="auto"/>
              </w:rPr>
              <w:t>Lease liabilities associated with leases</w:t>
            </w: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90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7"/>
                <w:szCs w:val="17"/>
                <w:color w:val="auto"/>
              </w:rPr>
              <w:t>included right-of-use assets as of March</w:t>
            </w:r>
          </w:p>
        </w:tc>
        <w:tc>
          <w:tcPr>
            <w:tcW w:w="320" w:type="dxa"/>
            <w:vAlign w:val="bottom"/>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14,868</w:t>
            </w:r>
          </w:p>
        </w:tc>
        <w:tc>
          <w:tcPr>
            <w:tcW w:w="8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15,700</w:t>
            </w:r>
          </w:p>
        </w:tc>
        <w:tc>
          <w:tcPr>
            <w:tcW w:w="8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11,505</w:t>
            </w:r>
          </w:p>
        </w:tc>
        <w:tc>
          <w:tcPr>
            <w:tcW w:w="8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9,435</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9,333</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7,972</w:t>
            </w:r>
          </w:p>
        </w:tc>
        <w:tc>
          <w:tcPr>
            <w:tcW w:w="8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68,813</w:t>
            </w: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31, 2025</w:t>
            </w:r>
          </w:p>
        </w:tc>
        <w:tc>
          <w:tcPr>
            <w:tcW w:w="32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90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color w:val="auto"/>
              </w:rPr>
              <w:t>Obligations for leases not included in</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 Liabilities as of March 31, 2025</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13,823</w:t>
            </w: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Convertible Senior Notes</w:t>
            </w: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205,067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205,067</w:t>
            </w:r>
          </w:p>
        </w:tc>
        <w:tc>
          <w:tcPr>
            <w:tcW w:w="0" w:type="dxa"/>
            <w:vAlign w:val="bottom"/>
          </w:tcPr>
          <w:p>
            <w:pPr>
              <w:spacing w:after="0"/>
              <w:rPr>
                <w:sz w:val="1"/>
                <w:szCs w:val="1"/>
                <w:color w:val="auto"/>
              </w:rPr>
            </w:pPr>
          </w:p>
        </w:tc>
      </w:tr>
      <w:tr>
        <w:trPr>
          <w:trHeight w:val="219"/>
        </w:trPr>
        <w:tc>
          <w:tcPr>
            <w:tcW w:w="2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Convertible Senior Notes</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w:t>
            </w: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2024 Term Loan B Facility </w:t>
            </w:r>
            <w:r>
              <w:rPr>
                <w:rFonts w:ascii="Times New Roman" w:cs="Times New Roman" w:eastAsia="Times New Roman" w:hAnsi="Times New Roman"/>
                <w:sz w:val="22"/>
                <w:szCs w:val="22"/>
                <w:color w:val="auto"/>
                <w:vertAlign w:val="superscript"/>
              </w:rPr>
              <w:t>(1)</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345,925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363,177</w:t>
            </w:r>
          </w:p>
        </w:tc>
        <w:tc>
          <w:tcPr>
            <w:tcW w:w="0" w:type="dxa"/>
            <w:vAlign w:val="bottom"/>
          </w:tcPr>
          <w:p>
            <w:pPr>
              <w:spacing w:after="0"/>
              <w:rPr>
                <w:sz w:val="1"/>
                <w:szCs w:val="1"/>
                <w:color w:val="auto"/>
              </w:rPr>
            </w:pPr>
          </w:p>
        </w:tc>
      </w:tr>
      <w:tr>
        <w:trPr>
          <w:trHeight w:val="219"/>
        </w:trPr>
        <w:tc>
          <w:tcPr>
            <w:tcW w:w="290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Interest, 2024 Term Loan B Facility </w:t>
            </w:r>
            <w:r>
              <w:rPr>
                <w:rFonts w:ascii="Times New Roman" w:cs="Times New Roman" w:eastAsia="Times New Roman" w:hAnsi="Times New Roman"/>
                <w:sz w:val="22"/>
                <w:szCs w:val="22"/>
                <w:color w:val="auto"/>
                <w:vertAlign w:val="superscript"/>
              </w:rPr>
              <w:t>(2)</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20,247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26,637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26,367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28,133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153,383</w:t>
            </w:r>
          </w:p>
        </w:tc>
        <w:tc>
          <w:tcPr>
            <w:tcW w:w="0" w:type="dxa"/>
            <w:vAlign w:val="bottom"/>
          </w:tcPr>
          <w:p>
            <w:pPr>
              <w:spacing w:after="0"/>
              <w:rPr>
                <w:sz w:val="1"/>
                <w:szCs w:val="1"/>
                <w:color w:val="auto"/>
              </w:rPr>
            </w:pPr>
          </w:p>
        </w:tc>
      </w:tr>
      <w:tr>
        <w:trPr>
          <w:trHeight w:val="177"/>
        </w:trPr>
        <w:tc>
          <w:tcPr>
            <w:tcW w:w="290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Contractual fees related to the 2024 Term</w:t>
            </w: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90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7"/>
                <w:szCs w:val="17"/>
                <w:color w:val="auto"/>
              </w:rPr>
              <w:t>Loan B Facility and the 2024 Revolving</w:t>
            </w:r>
          </w:p>
        </w:tc>
        <w:tc>
          <w:tcPr>
            <w:tcW w:w="3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2,907</w:t>
            </w: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Credit Facility </w:t>
            </w:r>
            <w:r>
              <w:rPr>
                <w:rFonts w:ascii="Times New Roman" w:cs="Times New Roman" w:eastAsia="Times New Roman" w:hAnsi="Times New Roman"/>
                <w:sz w:val="22"/>
                <w:szCs w:val="22"/>
                <w:color w:val="auto"/>
                <w:vertAlign w:val="superscript"/>
              </w:rPr>
              <w:t>(3)</w:t>
            </w:r>
          </w:p>
        </w:tc>
        <w:tc>
          <w:tcPr>
            <w:tcW w:w="3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non-cancelable obligations</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15,953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22,871</w:t>
            </w:r>
          </w:p>
        </w:tc>
        <w:tc>
          <w:tcPr>
            <w:tcW w:w="0" w:type="dxa"/>
            <w:vAlign w:val="bottom"/>
          </w:tcPr>
          <w:p>
            <w:pPr>
              <w:spacing w:after="0"/>
              <w:rPr>
                <w:sz w:val="1"/>
                <w:szCs w:val="1"/>
                <w:color w:val="auto"/>
              </w:rPr>
            </w:pPr>
          </w:p>
        </w:tc>
      </w:tr>
      <w:tr>
        <w:trPr>
          <w:trHeight w:val="218"/>
        </w:trPr>
        <w:tc>
          <w:tcPr>
            <w:tcW w:w="2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42,550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270,857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49,765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382,547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830,553</w:t>
            </w:r>
          </w:p>
        </w:tc>
        <w:tc>
          <w:tcPr>
            <w:tcW w:w="0" w:type="dxa"/>
            <w:vAlign w:val="bottom"/>
          </w:tcPr>
          <w:p>
            <w:pPr>
              <w:spacing w:after="0"/>
              <w:rPr>
                <w:sz w:val="1"/>
                <w:szCs w:val="1"/>
                <w:color w:val="auto"/>
              </w:rPr>
            </w:pPr>
          </w:p>
        </w:tc>
      </w:tr>
    </w:tbl>
    <w:p>
      <w:pPr>
        <w:ind w:left="160" w:hanging="140"/>
        <w:spacing w:after="0"/>
        <w:tabs>
          <w:tab w:leader="none" w:pos="160" w:val="left"/>
        </w:tabs>
        <w:numPr>
          <w:ilvl w:val="0"/>
          <w:numId w:val="1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only customary scheduled loan amortization payments and excludes currently unknown prepayment amounts that may be required, per terms of the 2024 Credit Agreement.</w:t>
      </w:r>
    </w:p>
    <w:p>
      <w:pPr>
        <w:spacing w:after="0" w:line="24" w:lineRule="exact"/>
        <w:rPr>
          <w:rFonts w:ascii="Times New Roman" w:cs="Times New Roman" w:eastAsia="Times New Roman" w:hAnsi="Times New Roman"/>
          <w:sz w:val="9"/>
          <w:szCs w:val="9"/>
          <w:color w:val="auto"/>
        </w:rPr>
      </w:pPr>
    </w:p>
    <w:p>
      <w:pPr>
        <w:ind w:left="160" w:hanging="140"/>
        <w:spacing w:after="0"/>
        <w:tabs>
          <w:tab w:leader="none" w:pos="160" w:val="left"/>
        </w:tabs>
        <w:numPr>
          <w:ilvl w:val="0"/>
          <w:numId w:val="1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Interest payments are based on an assumed rate of 7.32%, which was the rate as of March 31, 2025 for the associated 2024 Term Loan B Facility.</w:t>
      </w:r>
    </w:p>
    <w:p>
      <w:pPr>
        <w:spacing w:after="0" w:line="32" w:lineRule="exact"/>
        <w:rPr>
          <w:rFonts w:ascii="Times New Roman" w:cs="Times New Roman" w:eastAsia="Times New Roman" w:hAnsi="Times New Roman"/>
          <w:sz w:val="9"/>
          <w:szCs w:val="9"/>
          <w:color w:val="auto"/>
        </w:rPr>
      </w:pPr>
    </w:p>
    <w:p>
      <w:pPr>
        <w:ind w:left="20" w:right="460"/>
        <w:spacing w:after="0" w:line="238" w:lineRule="auto"/>
        <w:tabs>
          <w:tab w:leader="none" w:pos="158" w:val="left"/>
        </w:tabs>
        <w:numPr>
          <w:ilvl w:val="0"/>
          <w:numId w:val="1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estimated fees based on current available amounts under our 2024 Revolving Credit Facility and using the current commitment rate as of March 31, 2025, fees based on outstanding but undrawn letters of credit as of March 31, 2025, and fees owed to our administrative agents for both facilities under the 2024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-320040</wp:posOffset>
            </wp:positionV>
            <wp:extent cx="7138670" cy="1225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8670" cy="122555"/>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-434975</wp:posOffset>
            </wp:positionV>
            <wp:extent cx="53047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04790" cy="8255"/>
                    </a:xfrm>
                    <a:prstGeom prst="rect">
                      <a:avLst/>
                    </a:prstGeom>
                    <a:noFill/>
                  </pic:spPr>
                </pic:pic>
              </a:graphicData>
            </a:graphic>
          </wp:anchor>
        </w:drawing>
      </w:r>
    </w:p>
    <w:p>
      <w:pPr>
        <w:spacing w:after="0" w:line="142" w:lineRule="exact"/>
        <w:rPr>
          <w:sz w:val="20"/>
          <w:szCs w:val="20"/>
          <w:color w:val="auto"/>
        </w:rPr>
      </w:pPr>
    </w:p>
    <w:p>
      <w:pPr>
        <w:ind w:right="180" w:firstLine="619"/>
        <w:spacing w:after="0" w:line="271" w:lineRule="auto"/>
        <w:rPr>
          <w:sz w:val="20"/>
          <w:szCs w:val="20"/>
          <w:color w:val="auto"/>
        </w:rPr>
      </w:pPr>
      <w:r>
        <w:rPr>
          <w:rFonts w:ascii="Times New Roman" w:cs="Times New Roman" w:eastAsia="Times New Roman" w:hAnsi="Times New Roman"/>
          <w:sz w:val="17"/>
          <w:szCs w:val="17"/>
          <w:color w:val="auto"/>
        </w:rPr>
        <w:t>Obligations for leases not included in the lease liabilities as of March 31, 2025 include commitments under agreements for office space and data centers that have not commenced as of March 31, 2025.</w:t>
      </w:r>
    </w:p>
    <w:p>
      <w:pPr>
        <w:spacing w:after="0" w:line="23" w:lineRule="exact"/>
        <w:rPr>
          <w:sz w:val="20"/>
          <w:szCs w:val="20"/>
          <w:color w:val="auto"/>
        </w:rPr>
      </w:pPr>
    </w:p>
    <w:p>
      <w:pPr>
        <w:ind w:right="460" w:firstLine="619"/>
        <w:spacing w:after="0" w:line="271" w:lineRule="auto"/>
        <w:rPr>
          <w:sz w:val="20"/>
          <w:szCs w:val="20"/>
          <w:color w:val="auto"/>
        </w:rPr>
      </w:pPr>
      <w:r>
        <w:rPr>
          <w:rFonts w:ascii="Times New Roman" w:cs="Times New Roman" w:eastAsia="Times New Roman" w:hAnsi="Times New Roman"/>
          <w:sz w:val="17"/>
          <w:szCs w:val="17"/>
          <w:color w:val="auto"/>
        </w:rPr>
        <w:t>Payments associated with our Convertible Senior Notes, 2024 Term Loan B, and 2024 Revolving Credit Facility are based on contractual terms and intended timing of repayments of current and long-term debt and associated interest and required fees.</w:t>
      </w:r>
    </w:p>
    <w:p>
      <w:pPr>
        <w:spacing w:after="0" w:line="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Other non-cancelable obligations above consist of agreements in the normal course of business that are in excess of one year as of March 31, 2025.</w:t>
      </w:r>
    </w:p>
    <w:p>
      <w:pPr>
        <w:spacing w:after="0" w:line="75" w:lineRule="exact"/>
        <w:rPr>
          <w:sz w:val="20"/>
          <w:szCs w:val="20"/>
          <w:color w:val="auto"/>
        </w:rPr>
      </w:pPr>
    </w:p>
    <w:p>
      <w:pPr>
        <w:ind w:right="40" w:firstLine="619"/>
        <w:spacing w:after="0" w:line="241" w:lineRule="auto"/>
        <w:rPr>
          <w:sz w:val="20"/>
          <w:szCs w:val="20"/>
          <w:color w:val="auto"/>
        </w:rPr>
      </w:pPr>
      <w:r>
        <w:rPr>
          <w:rFonts w:ascii="Times New Roman" w:cs="Times New Roman" w:eastAsia="Times New Roman" w:hAnsi="Times New Roman"/>
          <w:sz w:val="17"/>
          <w:szCs w:val="17"/>
          <w:color w:val="auto"/>
        </w:rPr>
        <w:t>In the ordinary course of business, we enter into agreements with sellers, buyers, and other third parties pursuant to which we agree to indemnify buyers, sellers, vendors, lessors, business partners, lenders, stockholders, and other parties with respect to certain matters, including, but not limited to, losses resulting from claims of intellectual property infringement, damages to property or persons, business losses, or other liabilities. Generally, these indemnity and defense obligations relate to our own business operations, obligations, and acts or omissions. However, under some circumstances, we agree to indemnify and defend contract counterparties against losses resulting from their own business operations, obligations, and acts or omissions, or the business operations, obligations, and acts or omissions of third parties. These indemnity provisions generally survive termination or expiration of the agreements in which they appear. In addition, we have entered into indemnification agreements with our directors, executive officers and certain other officers that will require us, among other things, to indemnify them against certain liabilities that may arise by reason of their status or service as directors, officers, or employees. No demands for indemnification have been made as of March 31, 2025.</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92" w:lineRule="exact"/>
        <w:rPr>
          <w:sz w:val="20"/>
          <w:szCs w:val="20"/>
          <w:color w:val="auto"/>
        </w:rPr>
      </w:pPr>
    </w:p>
    <w:p>
      <w:pPr>
        <w:ind w:right="120" w:firstLine="619"/>
        <w:spacing w:after="0" w:line="264" w:lineRule="auto"/>
        <w:rPr>
          <w:sz w:val="20"/>
          <w:szCs w:val="20"/>
          <w:color w:val="auto"/>
        </w:rPr>
      </w:pPr>
      <w:r>
        <w:rPr>
          <w:rFonts w:ascii="Times New Roman" w:cs="Times New Roman" w:eastAsia="Times New Roman" w:hAnsi="Times New Roman"/>
          <w:sz w:val="17"/>
          <w:szCs w:val="17"/>
          <w:color w:val="auto"/>
        </w:rPr>
        <w:t>Our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55" w:lineRule="exact"/>
        <w:rPr>
          <w:sz w:val="20"/>
          <w:szCs w:val="20"/>
          <w:color w:val="auto"/>
        </w:rPr>
      </w:pPr>
    </w:p>
    <w:p>
      <w:pPr>
        <w:ind w:right="160" w:firstLine="619"/>
        <w:spacing w:after="0" w:line="264" w:lineRule="auto"/>
        <w:rPr>
          <w:sz w:val="20"/>
          <w:szCs w:val="20"/>
          <w:color w:val="auto"/>
        </w:rPr>
      </w:pPr>
      <w:r>
        <w:rPr>
          <w:rFonts w:ascii="Times New Roman" w:cs="Times New Roman" w:eastAsia="Times New Roman" w:hAnsi="Times New Roman"/>
          <w:sz w:val="17"/>
          <w:szCs w:val="17"/>
          <w:color w:val="auto"/>
        </w:rPr>
        <w:t>We believe that the following assumptions and estimates have the greatest potential impact on our condensed consolidated financial statements: (i) the determination of revenue recognition as net versus gross in our revenue arrangements and (ii) the determination of amounts to capitalize and the estimated useful lives of internal-use software development costs. There have been no significant changes in our accounting policies or estimates from those disclosed in our audited consolidated financial statements and notes thereto for the year ended December 31, 2024 included in our Annual Report on Form 10-K.</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Issued Accounting Pronouncements</w:t>
      </w:r>
    </w:p>
    <w:p>
      <w:pPr>
        <w:spacing w:after="0" w:line="92" w:lineRule="exact"/>
        <w:rPr>
          <w:sz w:val="20"/>
          <w:szCs w:val="20"/>
          <w:color w:val="auto"/>
        </w:rPr>
      </w:pPr>
    </w:p>
    <w:p>
      <w:pPr>
        <w:ind w:right="180" w:firstLine="619"/>
        <w:spacing w:after="0" w:line="287" w:lineRule="auto"/>
        <w:rPr>
          <w:sz w:val="20"/>
          <w:szCs w:val="20"/>
          <w:color w:val="auto"/>
        </w:rPr>
      </w:pPr>
      <w:r>
        <w:rPr>
          <w:rFonts w:ascii="Times New Roman" w:cs="Times New Roman" w:eastAsia="Times New Roman" w:hAnsi="Times New Roman"/>
          <w:sz w:val="17"/>
          <w:szCs w:val="17"/>
          <w:color w:val="auto"/>
        </w:rPr>
        <w:t>For information regarding recent accounting pronouncements, refer to Note 1 —"Organization and Summary of Significant Accounting Policies" to our condensed consolidated financial statements included in this Quarterly Report on Form 10-Q.</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 About Market Risk</w:t>
      </w:r>
    </w:p>
    <w:p>
      <w:pPr>
        <w:spacing w:after="0" w:line="105" w:lineRule="exact"/>
        <w:rPr>
          <w:sz w:val="20"/>
          <w:szCs w:val="20"/>
          <w:color w:val="auto"/>
        </w:rPr>
      </w:pPr>
    </w:p>
    <w:p>
      <w:pPr>
        <w:jc w:val="both"/>
        <w:ind w:right="200" w:firstLine="619"/>
        <w:spacing w:after="0" w:line="270" w:lineRule="auto"/>
        <w:rPr>
          <w:sz w:val="20"/>
          <w:szCs w:val="20"/>
          <w:color w:val="auto"/>
        </w:rPr>
      </w:pPr>
      <w:r>
        <w:rPr>
          <w:rFonts w:ascii="Times New Roman" w:cs="Times New Roman" w:eastAsia="Times New Roman" w:hAnsi="Times New Roman"/>
          <w:sz w:val="17"/>
          <w:szCs w:val="17"/>
          <w:color w:val="auto"/>
        </w:rPr>
        <w:t>We have operations both in the United States and internationally, and we are exposed to market risks in the ordinary course of our business. These risks include primarily interest rate, foreign exchange, and inflation risks. The risks below may be further exacerbated by the effects of certain global macroeconomic challenges and market conditions.</w:t>
      </w:r>
    </w:p>
    <w:p>
      <w:pPr>
        <w:spacing w:after="0" w:line="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Interest Rate Fluctuation Risk</w:t>
      </w:r>
    </w:p>
    <w:p>
      <w:pPr>
        <w:spacing w:after="0" w:line="107" w:lineRule="exact"/>
        <w:rPr>
          <w:sz w:val="20"/>
          <w:szCs w:val="20"/>
          <w:color w:val="auto"/>
        </w:rPr>
      </w:pPr>
    </w:p>
    <w:p>
      <w:pPr>
        <w:jc w:val="both"/>
        <w:ind w:right="100" w:firstLine="619"/>
        <w:spacing w:after="0" w:line="260" w:lineRule="auto"/>
        <w:rPr>
          <w:sz w:val="20"/>
          <w:szCs w:val="20"/>
          <w:color w:val="auto"/>
        </w:rPr>
      </w:pPr>
      <w:r>
        <w:rPr>
          <w:rFonts w:ascii="Times New Roman" w:cs="Times New Roman" w:eastAsia="Times New Roman" w:hAnsi="Times New Roman"/>
          <w:sz w:val="17"/>
          <w:szCs w:val="17"/>
          <w:color w:val="auto"/>
        </w:rPr>
        <w:t>Our cash and cash equivalents consist of cash and money market funds, but may from time to time also include other money market instruments such as commercial paper or U.S. treasury bills, with original maturities of three months or less. Our investments may consist of repurchase agreements, U.S. government agency debt, and U.S. treasury debt. The primary objective of our investment activities is to preserve the value of our cash without significantly increasing risk.</w:t>
      </w:r>
    </w:p>
    <w:p>
      <w:pPr>
        <w:ind w:right="400"/>
        <w:spacing w:after="0" w:line="266" w:lineRule="auto"/>
        <w:rPr>
          <w:sz w:val="20"/>
          <w:szCs w:val="20"/>
          <w:color w:val="auto"/>
        </w:rPr>
      </w:pPr>
      <w:r>
        <w:rPr>
          <w:rFonts w:ascii="Times New Roman" w:cs="Times New Roman" w:eastAsia="Times New Roman" w:hAnsi="Times New Roman"/>
          <w:sz w:val="17"/>
          <w:szCs w:val="17"/>
          <w:color w:val="auto"/>
        </w:rPr>
        <w:t>Because our cash, cash equivalents, and investments have a short maturity, our portfolio’s fair value is relatively insensitive to interest rate changes, however, interest income earned will vary as interest rates change.</w:t>
      </w:r>
    </w:p>
    <w:p>
      <w:pPr>
        <w:spacing w:after="0" w:line="53" w:lineRule="exact"/>
        <w:rPr>
          <w:sz w:val="20"/>
          <w:szCs w:val="20"/>
          <w:color w:val="auto"/>
        </w:rPr>
      </w:pPr>
    </w:p>
    <w:p>
      <w:pPr>
        <w:ind w:right="120" w:firstLine="619"/>
        <w:spacing w:after="0" w:line="261" w:lineRule="auto"/>
        <w:rPr>
          <w:sz w:val="20"/>
          <w:szCs w:val="20"/>
          <w:color w:val="auto"/>
        </w:rPr>
      </w:pPr>
      <w:r>
        <w:rPr>
          <w:rFonts w:ascii="Times New Roman" w:cs="Times New Roman" w:eastAsia="Times New Roman" w:hAnsi="Times New Roman"/>
          <w:sz w:val="17"/>
          <w:szCs w:val="17"/>
          <w:color w:val="auto"/>
        </w:rPr>
        <w:t>We do not have economic interest rate expense exposure on our Convertible Senior Notes due to their fixed interest rate nature. The amount paid upon redemption or maturity, before considering any potential additional amount owed due to increases in our underlying share price above the conversion price, is not based on changes in any interest rate index or underlying market interest rates. It is fixed at 100% of the principal amount of the Convertible Senior Notes plus unpaid interest. Since the Convertible Senior Notes bear a fixed interest rate, we are not exposed to interest rate risk on those notes, however, the fair value of those notes will change as market interest rates change.</w:t>
      </w:r>
    </w:p>
    <w:p>
      <w:pPr>
        <w:spacing w:after="0" w:line="46" w:lineRule="exact"/>
        <w:rPr>
          <w:sz w:val="20"/>
          <w:szCs w:val="20"/>
          <w:color w:val="auto"/>
        </w:rPr>
      </w:pPr>
    </w:p>
    <w:p>
      <w:pPr>
        <w:ind w:firstLine="619"/>
        <w:spacing w:after="0" w:line="259" w:lineRule="auto"/>
        <w:rPr>
          <w:sz w:val="20"/>
          <w:szCs w:val="20"/>
          <w:color w:val="auto"/>
        </w:rPr>
      </w:pPr>
      <w:r>
        <w:rPr>
          <w:rFonts w:ascii="Times New Roman" w:cs="Times New Roman" w:eastAsia="Times New Roman" w:hAnsi="Times New Roman"/>
          <w:sz w:val="17"/>
          <w:szCs w:val="17"/>
          <w:color w:val="auto"/>
        </w:rPr>
        <w:t>Our 2024 Term Loan B Facility bears a floating rate of interest that resets periodically, subject to a 0% floor on that floating rate, according to the terms of the agreement (the "SOFR Floor"). Our financial results have been exposed to changes in the underlying base interest rate on that debt because the underlying base interest rate resets above the floor on such underlying interest rate. The fair value of the 2024 Term Loan B Facility may fluctuate when the underlying base interest rate fluctuates below the floor or when the rate of return demanded by our loan investors changes relative to when the loans were issued. As of March 31, 2025, the Company had no outstanding borrowings under the 2024 Revolving Credit Facility. Should the company borrow under the 2024 Revolving Credit Facility at any point in the future, any associated borrowings would have a floating underlying base rate of interest that would expose the Company to interest rate risk.</w:t>
      </w:r>
    </w:p>
    <w:p>
      <w:pPr>
        <w:spacing w:after="0" w:line="268" w:lineRule="exact"/>
        <w:rPr>
          <w:sz w:val="20"/>
          <w:szCs w:val="20"/>
          <w:color w:val="auto"/>
        </w:rPr>
      </w:pPr>
    </w:p>
    <w:p>
      <w:pPr>
        <w:ind w:right="20" w:firstLine="619"/>
        <w:spacing w:after="0" w:line="261" w:lineRule="auto"/>
        <w:rPr>
          <w:sz w:val="20"/>
          <w:szCs w:val="20"/>
          <w:color w:val="auto"/>
        </w:rPr>
      </w:pPr>
      <w:r>
        <w:rPr>
          <w:rFonts w:ascii="Times New Roman" w:cs="Times New Roman" w:eastAsia="Times New Roman" w:hAnsi="Times New Roman"/>
          <w:sz w:val="17"/>
          <w:szCs w:val="17"/>
          <w:color w:val="auto"/>
        </w:rPr>
        <w:t>We do not believe that an increase or decrease in interest rates of 100 basis points would have a material effect on our operating results or financial condition. The annualized impact to interest expense for each 100 basis points increase above the SOFR Floor on our 2024 Term Loan B Facility is approximately $3.6 million. The actual impact to our financial results of the same increase in interest rates is expected to be lower depending on the timing and magnitude of such rate changes relative to our SOFR Floor, and will be partially offset by higher interest income earned on our cash and cash equivalent balances over the same period. In future periods, we will continue to evaluate our investment opportunities and policy relative to our overall objectives.</w:t>
      </w:r>
    </w:p>
    <w:p>
      <w:pPr>
        <w:spacing w:after="0" w:line="59" w:lineRule="exact"/>
        <w:rPr>
          <w:sz w:val="20"/>
          <w:szCs w:val="20"/>
          <w:color w:val="auto"/>
        </w:rPr>
      </w:pPr>
    </w:p>
    <w:p>
      <w:pPr>
        <w:ind w:right="120" w:firstLine="619"/>
        <w:spacing w:after="0" w:line="287" w:lineRule="auto"/>
        <w:rPr>
          <w:sz w:val="20"/>
          <w:szCs w:val="20"/>
          <w:color w:val="auto"/>
        </w:rPr>
      </w:pPr>
      <w:r>
        <w:rPr>
          <w:rFonts w:ascii="Times New Roman" w:cs="Times New Roman" w:eastAsia="Times New Roman" w:hAnsi="Times New Roman"/>
          <w:sz w:val="17"/>
          <w:szCs w:val="17"/>
          <w:color w:val="auto"/>
        </w:rPr>
        <w:t>With regard to all debt currently outstanding, the Company is potentially exposed to refinancing risk in the future, should the Company seek to refinance its debt or raise new debt. As such, the type, cost, and terms of any new debt potentially raised in the future may differ from that of our existing debt agreements.</w:t>
      </w:r>
    </w:p>
    <w:p>
      <w:pPr>
        <w:spacing w:after="0" w:line="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Exchange Risk</w:t>
      </w:r>
    </w:p>
    <w:p>
      <w:pPr>
        <w:spacing w:after="0" w:line="107" w:lineRule="exact"/>
        <w:rPr>
          <w:sz w:val="20"/>
          <w:szCs w:val="20"/>
          <w:color w:val="auto"/>
        </w:rPr>
      </w:pPr>
    </w:p>
    <w:p>
      <w:pPr>
        <w:ind w:right="20" w:firstLine="619"/>
        <w:spacing w:after="0" w:line="257" w:lineRule="auto"/>
        <w:rPr>
          <w:sz w:val="20"/>
          <w:szCs w:val="20"/>
          <w:color w:val="auto"/>
        </w:rPr>
      </w:pPr>
      <w:r>
        <w:rPr>
          <w:rFonts w:ascii="Times New Roman" w:cs="Times New Roman" w:eastAsia="Times New Roman" w:hAnsi="Times New Roman"/>
          <w:sz w:val="17"/>
          <w:szCs w:val="17"/>
          <w:color w:val="auto"/>
        </w:rPr>
        <w:t>As a U.S. based company that does business around the globe, we have foreign currency risks related to our revenue and expenses denominated in currencies other than the U.S. Dollar, principally the Australian Dollar, British Pound, Canadian Dollar, Euro, Japanese Yen, and New Zealand Dollar. Foreign exchange rate volatility is influenced by many factors that we cannot forecast with reliable accuracy. In the event our non-U.S. Dollar denominated revenue and expenses increase, or the volatility of the foreign currencies that we transact in increases, our operating results may be more greatly affected by fluctuations in the exchange rates of those foreign currencies. In addition, we have experienced and will continue to experience fluctuations in our net income (loss) as a result of transaction gains and losses related to translating certain cash balances, trade accounts receivable and payable balances and intercompany balances that are denominated in currencies other than the U.S. Dollar. The effect of an immediate 10% adverse change in foreign exchange rates on foreign currency-denominated monetary assets and liabilities at March 31, 2025 and December 31, 2024, including intercompany balances, would result in a foreign currency loss of approximately $7.3 million and $10.8 million, respectively. At this time we do not, but we may in the future, enter into derivatives or other financial instruments in an attempt to hedge our foreign currency exchange risk.</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Inflation Risk</w:t>
      </w:r>
    </w:p>
    <w:p>
      <w:pPr>
        <w:spacing w:after="0" w:line="94" w:lineRule="exact"/>
        <w:rPr>
          <w:sz w:val="20"/>
          <w:szCs w:val="20"/>
          <w:color w:val="auto"/>
        </w:rPr>
      </w:pPr>
    </w:p>
    <w:p>
      <w:pPr>
        <w:ind w:right="160" w:firstLine="619"/>
        <w:spacing w:after="0" w:line="261" w:lineRule="auto"/>
        <w:rPr>
          <w:sz w:val="20"/>
          <w:szCs w:val="20"/>
          <w:color w:val="auto"/>
        </w:rPr>
      </w:pPr>
      <w:r>
        <w:rPr>
          <w:rFonts w:ascii="Times New Roman" w:cs="Times New Roman" w:eastAsia="Times New Roman" w:hAnsi="Times New Roman"/>
          <w:sz w:val="17"/>
          <w:szCs w:val="17"/>
          <w:color w:val="auto"/>
        </w:rPr>
        <w:t>We do not believe that cost inflation has had a material effect on our business, financial condition, or results of operations. If our costs were to become subject to significant inflationary pressures, we might not be able to fully offset such higher costs through price increases. Our inability or failure to do so could harm our business, financial condition, and results of operations. This risk of cost inflation is distinct from the risk that inflation throughout the broader economy could lead to reduced ad spend and indirectly harm our business, financial condition, and results of operations. For a discussion of the indirect results of inflation on our business, see "Macroeconomic Developments."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Evaluation of Disclosure Controls and Procedures</w:t>
      </w:r>
    </w:p>
    <w:p>
      <w:pPr>
        <w:spacing w:after="0" w:line="107" w:lineRule="exact"/>
        <w:rPr>
          <w:sz w:val="20"/>
          <w:szCs w:val="20"/>
          <w:color w:val="auto"/>
        </w:rPr>
      </w:pPr>
    </w:p>
    <w:p>
      <w:pPr>
        <w:ind w:right="80" w:firstLine="619"/>
        <w:spacing w:after="0" w:line="258"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Chief Financial Officer, evaluated the effectiveness of our disclosure controls and procedures as defined in Rule 13a-15(e) under the Exchange Act. 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 Based upon the evaluation described above, our Chief Executive Officer and Chief Financial Officer concluded that, as of March 31, 2025, our disclosure controls and procedures were effective at the reasonable assurance level.</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w:t>
      </w:r>
    </w:p>
    <w:p>
      <w:pPr>
        <w:spacing w:after="0" w:line="107" w:lineRule="exact"/>
        <w:rPr>
          <w:sz w:val="20"/>
          <w:szCs w:val="20"/>
          <w:color w:val="auto"/>
        </w:rPr>
      </w:pPr>
    </w:p>
    <w:p>
      <w:pPr>
        <w:ind w:right="580" w:firstLine="619"/>
        <w:spacing w:after="0" w:line="287"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that occurred during the three months ended March 31, 2025 that have materially affected, or are reasonably likely to materially affect, our internal control over financial reporting.</w:t>
      </w:r>
    </w:p>
    <w:p>
      <w:pPr>
        <w:spacing w:after="0" w:line="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Inherent Limitations on Effectiveness of Controls</w:t>
      </w:r>
    </w:p>
    <w:p>
      <w:pPr>
        <w:spacing w:after="0" w:line="94"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Management recognizes that a control system, no matter how well designed and operated, can provide only reasonable, not absolute, assurance that the objectives of the control system are met. Further, the design of a control system must reflect the fact that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82" w:lineRule="exact"/>
        <w:rPr>
          <w:sz w:val="20"/>
          <w:szCs w:val="20"/>
          <w:color w:val="auto"/>
        </w:rPr>
      </w:pPr>
    </w:p>
    <w:p>
      <w:pPr>
        <w:ind w:right="20" w:firstLine="619"/>
        <w:spacing w:after="0" w:line="257" w:lineRule="auto"/>
        <w:rPr>
          <w:sz w:val="20"/>
          <w:szCs w:val="20"/>
          <w:color w:val="auto"/>
        </w:rPr>
      </w:pPr>
      <w:r>
        <w:rPr>
          <w:rFonts w:ascii="Times New Roman" w:cs="Times New Roman" w:eastAsia="Times New Roman" w:hAnsi="Times New Roman"/>
          <w:sz w:val="17"/>
          <w:szCs w:val="17"/>
          <w:color w:val="auto"/>
        </w:rPr>
        <w:t>We and our subsidiaries may from time to time be parties to legal or regulatory proceedings, lawsuits and other claims incident to our business activities and to our status as a public company. Such routine matters may include, among other things, assertions of contract breach or intellectual property infringement, claims for indemnity arising in the course of our business, claims relating to our collection or use of data, regulatory investigations, audits by taxing authorities, or enforcement proceedings, and claims by persons whose employment has been terminated. For example, we have recently been subject to lawsuits alleging violation of various privacy statutes. Such matters are subject to many uncertainties, and outcomes are not predictable with assurance. Consequently, we are unable to ascertain the ultimate aggregate amount of monetary liability, amounts which may be covered by insurance or recoverable from third parties, or the financial impact with respect to such matters as of March 31, 2025. However, based on our knowledge as of March 31, 2025, we believe that the final resolution of such matters pending at the time of this report, individually and in the aggregate, will not have a material adverse effect upon our condensed consolidated financial position, results of operations or cash flows.</w:t>
      </w:r>
    </w:p>
    <w:p>
      <w:pPr>
        <w:spacing w:after="0" w:line="153" w:lineRule="exact"/>
        <w:rPr>
          <w:sz w:val="20"/>
          <w:szCs w:val="20"/>
          <w:color w:val="auto"/>
        </w:rPr>
      </w:pPr>
    </w:p>
    <w:p>
      <w:pPr>
        <w:ind w:right="120" w:firstLine="619"/>
        <w:spacing w:after="0" w:line="287" w:lineRule="auto"/>
        <w:rPr>
          <w:sz w:val="20"/>
          <w:szCs w:val="20"/>
          <w:color w:val="auto"/>
        </w:rPr>
      </w:pPr>
      <w:r>
        <w:rPr>
          <w:rFonts w:ascii="Times New Roman" w:cs="Times New Roman" w:eastAsia="Times New Roman" w:hAnsi="Times New Roman"/>
          <w:sz w:val="17"/>
          <w:szCs w:val="17"/>
          <w:color w:val="auto"/>
        </w:rPr>
        <w:t>Refer to Note 11—"Commitments and Contingencies" to our condensed consolidated financial statements included in this Quarterly Report on Form 10-Q for additional information related to legal proceedings.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95" w:lineRule="exact"/>
        <w:rPr>
          <w:sz w:val="20"/>
          <w:szCs w:val="20"/>
          <w:color w:val="auto"/>
        </w:rPr>
      </w:pPr>
    </w:p>
    <w:p>
      <w:pPr>
        <w:ind w:right="300" w:firstLine="619"/>
        <w:spacing w:after="0" w:line="258" w:lineRule="auto"/>
        <w:rPr>
          <w:sz w:val="20"/>
          <w:szCs w:val="20"/>
          <w:color w:val="auto"/>
        </w:rPr>
      </w:pPr>
      <w:r>
        <w:rPr>
          <w:rFonts w:ascii="Times New Roman" w:cs="Times New Roman" w:eastAsia="Times New Roman" w:hAnsi="Times New Roman"/>
          <w:sz w:val="17"/>
          <w:szCs w:val="17"/>
          <w:color w:val="auto"/>
        </w:rPr>
        <w:t>Investing in our common stock involves a high degree of risk. We describe risks associated with our business in Part I, Item 1A: "Risk Factors" of our Annual Report on Form 10-K for the year ended December 31, 2024 (the "Risk Factors"). Each of the risks described in our Risk Factors may be relevant to decisions regarding an investment in or ownership of our stock. The occurrence of any such risks could have a significant adverse effect on our reputation, business, financial condition, revenue, results of operations, growth, or ability to accomplish our strategic objectives, and could cause the trading price of our common stock to decline. You should carefully consider such risks and the other information contained in this report, including our condensed consolidated financial statements and related notes and Management's Discussion and Analysis of Financial Condition and Results of Operations, before making investment decisions related to our common stock.</w:t>
      </w:r>
    </w:p>
    <w:p>
      <w:pPr>
        <w:spacing w:after="0" w:line="50"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The following risk factors supplement the Risk Factors contained in our Annual Report on Form 10-K for the year ended December 31, 2024. Except as set forth below, there are no additional material changes to the Risk Factors of which we are currently aware; but our Risk Factors cannot anticipate and fully address all possible risks of investing in our common stock, the risks of investing in our common stock may change over time, and additional risks and uncertainties that we are not aware of, or that we do not consider to be material, may emerge. In addition, the economic impact of macroeconomic challenges, such as inflation, global conflict, capital market disruptions and the instability of financial institutions, the risk of a recession, and other macroeconomic factors may amplify many of the risks described in our risk factors. Accordingly, you are advised to consider additional sources of information and exercise your own judgment in addition to the information we provide.</w:t>
      </w:r>
    </w:p>
    <w:p>
      <w:pPr>
        <w:spacing w:after="0" w:line="57" w:lineRule="exact"/>
        <w:rPr>
          <w:sz w:val="20"/>
          <w:szCs w:val="20"/>
          <w:color w:val="auto"/>
        </w:rPr>
      </w:pPr>
    </w:p>
    <w:p>
      <w:pPr>
        <w:ind w:right="340" w:firstLine="61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revenue and operating results are highly dependent on the overall demand for advertising and any macroeconomic challenges may adversely affect our business, financial position, results of operations and/or cash flows.</w:t>
      </w:r>
    </w:p>
    <w:p>
      <w:pPr>
        <w:spacing w:after="0" w:line="30" w:lineRule="exact"/>
        <w:rPr>
          <w:sz w:val="20"/>
          <w:szCs w:val="20"/>
          <w:color w:val="auto"/>
        </w:rPr>
      </w:pPr>
    </w:p>
    <w:p>
      <w:pPr>
        <w:ind w:right="180" w:firstLine="619"/>
        <w:spacing w:after="0" w:line="261" w:lineRule="auto"/>
        <w:rPr>
          <w:sz w:val="20"/>
          <w:szCs w:val="20"/>
          <w:color w:val="auto"/>
        </w:rPr>
      </w:pPr>
      <w:r>
        <w:rPr>
          <w:rFonts w:ascii="Times New Roman" w:cs="Times New Roman" w:eastAsia="Times New Roman" w:hAnsi="Times New Roman"/>
          <w:sz w:val="17"/>
          <w:szCs w:val="17"/>
          <w:color w:val="auto"/>
        </w:rPr>
        <w:t>Our business depends on the overall demand for advertising and on the economic health of our current and prospective sellers and buyers. If advertisers reduce their overall advertising spending, our revenue and results of operations are directly affected. Accordingly, our business and operations have been, and could in the future be, adversely affected by events beyond our control, such as health epidemics or pandemics, geopolitical events, and economic and macroeconomic factors like labor strikes, labor shortages, supply chain disruptions, tariffs, trade wars, capital market disruptions and instability of financial institutions, inflation and recessionary concerns impacting the markets and communities in which our clients operate.</w:t>
      </w:r>
    </w:p>
    <w:p>
      <w:pPr>
        <w:spacing w:after="0" w:line="46" w:lineRule="exact"/>
        <w:rPr>
          <w:sz w:val="20"/>
          <w:szCs w:val="20"/>
          <w:color w:val="auto"/>
        </w:rPr>
      </w:pPr>
    </w:p>
    <w:p>
      <w:pPr>
        <w:ind w:right="120" w:firstLine="619"/>
        <w:spacing w:after="0" w:line="270" w:lineRule="auto"/>
        <w:rPr>
          <w:sz w:val="20"/>
          <w:szCs w:val="20"/>
          <w:color w:val="auto"/>
        </w:rPr>
      </w:pPr>
      <w:r>
        <w:rPr>
          <w:rFonts w:ascii="Times New Roman" w:cs="Times New Roman" w:eastAsia="Times New Roman" w:hAnsi="Times New Roman"/>
          <w:sz w:val="17"/>
          <w:szCs w:val="17"/>
          <w:color w:val="auto"/>
        </w:rPr>
        <w:t>In addition, continued inflation and tariffs could result in an increase in our cost base relative to our revenue and increased cost associated with our infrastructure investments. Moreover, in response to US tariffs, foreign countries in which we operate may enact additional or new taxes that are applicable to our business.</w:t>
      </w:r>
    </w:p>
    <w:p>
      <w:pPr>
        <w:spacing w:after="0" w:line="49" w:lineRule="exact"/>
        <w:rPr>
          <w:sz w:val="20"/>
          <w:szCs w:val="20"/>
          <w:color w:val="auto"/>
        </w:rPr>
      </w:pPr>
    </w:p>
    <w:p>
      <w:pPr>
        <w:ind w:right="360" w:firstLine="619"/>
        <w:spacing w:after="0" w:line="287" w:lineRule="auto"/>
        <w:rPr>
          <w:sz w:val="20"/>
          <w:szCs w:val="20"/>
          <w:color w:val="auto"/>
        </w:rPr>
      </w:pPr>
      <w:r>
        <w:rPr>
          <w:rFonts w:ascii="Times New Roman" w:cs="Times New Roman" w:eastAsia="Times New Roman" w:hAnsi="Times New Roman"/>
          <w:sz w:val="17"/>
          <w:szCs w:val="17"/>
          <w:color w:val="auto"/>
        </w:rPr>
        <w:t>Any worsening of macroeconomic conditions in future periods would likely have a negative effect on our financial results, the magnitude of which is difficult to predict.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01" w:lineRule="exact"/>
        <w:rPr>
          <w:sz w:val="20"/>
          <w:szCs w:val="20"/>
          <w:color w:val="auto"/>
        </w:rPr>
      </w:pPr>
    </w:p>
    <w:p>
      <w:pPr>
        <w:ind w:left="180" w:right="7660" w:firstLine="442"/>
        <w:spacing w:after="0" w:line="402" w:lineRule="auto"/>
        <w:tabs>
          <w:tab w:leader="none" w:pos="870" w:val="left"/>
        </w:tabs>
        <w:numPr>
          <w:ilvl w:val="0"/>
          <w:numId w:val="1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Recent Sales of Unregistered Securities </w:t>
      </w:r>
      <w:r>
        <w:rPr>
          <w:rFonts w:ascii="Times New Roman" w:cs="Times New Roman" w:eastAsia="Times New Roman" w:hAnsi="Times New Roman"/>
          <w:sz w:val="17"/>
          <w:szCs w:val="17"/>
          <w:color w:val="auto"/>
        </w:rPr>
        <w:t>None (except as previously disclosed).</w:t>
      </w:r>
    </w:p>
    <w:p>
      <w:pPr>
        <w:spacing w:after="0" w:line="15" w:lineRule="exact"/>
        <w:rPr>
          <w:rFonts w:ascii="Times New Roman" w:cs="Times New Roman" w:eastAsia="Times New Roman" w:hAnsi="Times New Roman"/>
          <w:sz w:val="17"/>
          <w:szCs w:val="17"/>
          <w:i w:val="1"/>
          <w:iCs w:val="1"/>
          <w:color w:val="auto"/>
        </w:rPr>
      </w:pPr>
    </w:p>
    <w:p>
      <w:pPr>
        <w:ind w:left="860" w:hanging="238"/>
        <w:spacing w:after="0"/>
        <w:tabs>
          <w:tab w:leader="none" w:pos="860" w:val="left"/>
        </w:tabs>
        <w:numPr>
          <w:ilvl w:val="0"/>
          <w:numId w:val="1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Use of Proceeds</w:t>
      </w:r>
    </w:p>
    <w:p>
      <w:pPr>
        <w:spacing w:after="0" w:line="1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Not Applicable.</w:t>
      </w:r>
    </w:p>
    <w:p>
      <w:pPr>
        <w:spacing w:after="0" w:line="174" w:lineRule="exact"/>
        <w:rPr>
          <w:sz w:val="20"/>
          <w:szCs w:val="20"/>
          <w:color w:val="auto"/>
        </w:rPr>
      </w:pPr>
    </w:p>
    <w:p>
      <w:pPr>
        <w:ind w:left="5540" w:right="5320" w:hanging="4918"/>
        <w:spacing w:after="0" w:line="893" w:lineRule="auto"/>
        <w:tabs>
          <w:tab w:leader="none" w:pos="858"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Purchases of Equity Securities by the Company and Affiliated Purchasers </w:t>
      </w: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-284480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Common stock repurchases during the quarter ended March 31, 2025 were as follows (in thousands, except per share amounts):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Total number of shares</w:t>
            </w:r>
          </w:p>
        </w:tc>
        <w:tc>
          <w:tcPr>
            <w:tcW w:w="200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b w:val="1"/>
                <w:bCs w:val="1"/>
                <w:color w:val="auto"/>
              </w:rPr>
              <w:t>Maximum Approximate</w:t>
            </w:r>
          </w:p>
        </w:tc>
        <w:tc>
          <w:tcPr>
            <w:tcW w:w="0" w:type="dxa"/>
            <w:vAlign w:val="bottom"/>
          </w:tcPr>
          <w:p>
            <w:pPr>
              <w:spacing w:after="0"/>
              <w:rPr>
                <w:sz w:val="1"/>
                <w:szCs w:val="1"/>
                <w:color w:val="auto"/>
              </w:rPr>
            </w:pPr>
          </w:p>
        </w:tc>
      </w:tr>
      <w:tr>
        <w:trPr>
          <w:trHeight w:val="175"/>
        </w:trPr>
        <w:tc>
          <w:tcPr>
            <w:tcW w:w="3660" w:type="dxa"/>
            <w:vAlign w:val="bottom"/>
          </w:tcPr>
          <w:p>
            <w:pPr>
              <w:spacing w:after="0"/>
              <w:rPr>
                <w:sz w:val="15"/>
                <w:szCs w:val="15"/>
                <w:color w:val="auto"/>
              </w:rPr>
            </w:pPr>
          </w:p>
        </w:tc>
        <w:tc>
          <w:tcPr>
            <w:tcW w:w="1700" w:type="dxa"/>
            <w:vAlign w:val="bottom"/>
            <w:vMerge w:val="restart"/>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Total Number of</w:t>
            </w:r>
          </w:p>
        </w:tc>
        <w:tc>
          <w:tcPr>
            <w:tcW w:w="260" w:type="dxa"/>
            <w:vAlign w:val="bottom"/>
          </w:tcPr>
          <w:p>
            <w:pPr>
              <w:spacing w:after="0"/>
              <w:rPr>
                <w:sz w:val="15"/>
                <w:szCs w:val="15"/>
                <w:color w:val="auto"/>
              </w:rPr>
            </w:pPr>
          </w:p>
        </w:tc>
        <w:tc>
          <w:tcPr>
            <w:tcW w:w="1700" w:type="dxa"/>
            <w:vAlign w:val="bottom"/>
            <w:vMerge w:val="restart"/>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Average Price per</w:t>
            </w:r>
          </w:p>
        </w:tc>
        <w:tc>
          <w:tcPr>
            <w:tcW w:w="188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purchased as part of a</w:t>
            </w:r>
          </w:p>
        </w:tc>
        <w:tc>
          <w:tcPr>
            <w:tcW w:w="220" w:type="dxa"/>
            <w:vAlign w:val="bottom"/>
          </w:tcPr>
          <w:p>
            <w:pPr>
              <w:spacing w:after="0"/>
              <w:rPr>
                <w:sz w:val="15"/>
                <w:szCs w:val="15"/>
                <w:color w:val="auto"/>
              </w:rPr>
            </w:pPr>
          </w:p>
        </w:tc>
        <w:tc>
          <w:tcPr>
            <w:tcW w:w="1780" w:type="dxa"/>
            <w:vAlign w:val="bottom"/>
          </w:tcPr>
          <w:p>
            <w:pPr>
              <w:jc w:val="center"/>
              <w:ind w:right="54"/>
              <w:spacing w:after="0" w:line="175" w:lineRule="exact"/>
              <w:rPr>
                <w:sz w:val="20"/>
                <w:szCs w:val="20"/>
                <w:color w:val="auto"/>
              </w:rPr>
            </w:pPr>
            <w:r>
              <w:rPr>
                <w:rFonts w:ascii="Times New Roman" w:cs="Times New Roman" w:eastAsia="Times New Roman" w:hAnsi="Times New Roman"/>
                <w:sz w:val="17"/>
                <w:szCs w:val="17"/>
                <w:b w:val="1"/>
                <w:bCs w:val="1"/>
                <w:color w:val="auto"/>
              </w:rPr>
              <w:t>Dollar Value that May</w:t>
            </w:r>
          </w:p>
        </w:tc>
        <w:tc>
          <w:tcPr>
            <w:tcW w:w="0" w:type="dxa"/>
            <w:vAlign w:val="bottom"/>
          </w:tcPr>
          <w:p>
            <w:pPr>
              <w:spacing w:after="0"/>
              <w:rPr>
                <w:sz w:val="1"/>
                <w:szCs w:val="1"/>
                <w:color w:val="auto"/>
              </w:rPr>
            </w:pPr>
          </w:p>
        </w:tc>
      </w:tr>
      <w:tr>
        <w:trPr>
          <w:trHeight w:val="168"/>
        </w:trPr>
        <w:tc>
          <w:tcPr>
            <w:tcW w:w="3660" w:type="dxa"/>
            <w:vAlign w:val="bottom"/>
            <w:vMerge w:val="restart"/>
          </w:tcPr>
          <w:p>
            <w:pPr>
              <w:ind w:left="1540"/>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1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188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Publicly Announced</w:t>
            </w:r>
          </w:p>
        </w:tc>
        <w:tc>
          <w:tcPr>
            <w:tcW w:w="2000" w:type="dxa"/>
            <w:vAlign w:val="bottom"/>
            <w:gridSpan w:val="2"/>
          </w:tcPr>
          <w:p>
            <w:pPr>
              <w:jc w:val="center"/>
              <w:ind w:left="14"/>
              <w:spacing w:after="0" w:line="167" w:lineRule="exact"/>
              <w:rPr>
                <w:sz w:val="20"/>
                <w:szCs w:val="20"/>
                <w:color w:val="auto"/>
              </w:rPr>
            </w:pPr>
            <w:r>
              <w:rPr>
                <w:rFonts w:ascii="Times New Roman" w:cs="Times New Roman" w:eastAsia="Times New Roman" w:hAnsi="Times New Roman"/>
                <w:sz w:val="17"/>
                <w:szCs w:val="17"/>
                <w:b w:val="1"/>
                <w:bCs w:val="1"/>
                <w:color w:val="auto"/>
                <w:w w:val="99"/>
              </w:rPr>
              <w:t>Yet be Purchased Under</w:t>
            </w:r>
          </w:p>
        </w:tc>
        <w:tc>
          <w:tcPr>
            <w:tcW w:w="0" w:type="dxa"/>
            <w:vAlign w:val="bottom"/>
          </w:tcPr>
          <w:p>
            <w:pPr>
              <w:spacing w:after="0"/>
              <w:rPr>
                <w:sz w:val="1"/>
                <w:szCs w:val="1"/>
                <w:color w:val="auto"/>
              </w:rPr>
            </w:pPr>
          </w:p>
        </w:tc>
      </w:tr>
      <w:tr>
        <w:trPr>
          <w:trHeight w:val="219"/>
        </w:trPr>
        <w:tc>
          <w:tcPr>
            <w:tcW w:w="3660" w:type="dxa"/>
            <w:vAlign w:val="bottom"/>
            <w:vMerge w:val="continue"/>
          </w:tcPr>
          <w:p>
            <w:pPr>
              <w:spacing w:after="0"/>
              <w:rPr>
                <w:sz w:val="19"/>
                <w:szCs w:val="19"/>
                <w:color w:val="auto"/>
              </w:rPr>
            </w:pPr>
          </w:p>
        </w:tc>
        <w:tc>
          <w:tcPr>
            <w:tcW w:w="170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Shares Purchased</w:t>
            </w:r>
          </w:p>
        </w:tc>
        <w:tc>
          <w:tcPr>
            <w:tcW w:w="260" w:type="dxa"/>
            <w:vAlign w:val="bottom"/>
          </w:tcPr>
          <w:p>
            <w:pPr>
              <w:spacing w:after="0"/>
              <w:rPr>
                <w:sz w:val="19"/>
                <w:szCs w:val="19"/>
                <w:color w:val="auto"/>
              </w:rPr>
            </w:pPr>
          </w:p>
        </w:tc>
        <w:tc>
          <w:tcPr>
            <w:tcW w:w="1700" w:type="dxa"/>
            <w:vAlign w:val="bottom"/>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Share</w:t>
            </w:r>
          </w:p>
        </w:tc>
        <w:tc>
          <w:tcPr>
            <w:tcW w:w="1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Program</w:t>
            </w:r>
          </w:p>
        </w:tc>
        <w:tc>
          <w:tcPr>
            <w:tcW w:w="220" w:type="dxa"/>
            <w:vAlign w:val="bottom"/>
          </w:tcPr>
          <w:p>
            <w:pPr>
              <w:spacing w:after="0"/>
              <w:rPr>
                <w:sz w:val="19"/>
                <w:szCs w:val="19"/>
                <w:color w:val="auto"/>
              </w:rPr>
            </w:pPr>
          </w:p>
        </w:tc>
        <w:tc>
          <w:tcPr>
            <w:tcW w:w="178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9"/>
              </w:rPr>
              <w:t>the Program</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January 1 - January 31, 2025</w:t>
            </w:r>
          </w:p>
        </w:tc>
        <w:tc>
          <w:tcPr>
            <w:tcW w:w="1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60" w:type="dxa"/>
            <w:vAlign w:val="bottom"/>
          </w:tcPr>
          <w:p>
            <w:pPr>
              <w:ind w:left="120"/>
              <w:spacing w:after="0" w:line="219" w:lineRule="exact"/>
              <w:rPr>
                <w:sz w:val="20"/>
                <w:szCs w:val="20"/>
                <w:color w:val="auto"/>
              </w:rPr>
            </w:pPr>
            <w:r>
              <w:rPr>
                <w:rFonts w:ascii="Times New Roman" w:cs="Times New Roman" w:eastAsia="Times New Roman" w:hAnsi="Times New Roman"/>
                <w:sz w:val="17"/>
                <w:szCs w:val="17"/>
                <w:color w:val="auto"/>
              </w:rPr>
              <w:t>Equity withholding</w:t>
            </w:r>
            <w:r>
              <w:rPr>
                <w:rFonts w:ascii="Times New Roman" w:cs="Times New Roman" w:eastAsia="Times New Roman" w:hAnsi="Times New Roman"/>
                <w:sz w:val="22"/>
                <w:szCs w:val="22"/>
                <w:color w:val="auto"/>
                <w:vertAlign w:val="superscript"/>
              </w:rPr>
              <w:t>(1)</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16.09</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120"/>
              <w:spacing w:after="0" w:line="219" w:lineRule="exact"/>
              <w:rPr>
                <w:sz w:val="20"/>
                <w:szCs w:val="20"/>
                <w:color w:val="auto"/>
              </w:rPr>
            </w:pPr>
            <w:r>
              <w:rPr>
                <w:rFonts w:ascii="Times New Roman" w:cs="Times New Roman" w:eastAsia="Times New Roman" w:hAnsi="Times New Roman"/>
                <w:sz w:val="17"/>
                <w:szCs w:val="17"/>
                <w:color w:val="auto"/>
              </w:rPr>
              <w:t>Repurchase program</w:t>
            </w:r>
            <w:r>
              <w:rPr>
                <w:rFonts w:ascii="Times New Roman" w:cs="Times New Roman" w:eastAsia="Times New Roman" w:hAnsi="Times New Roman"/>
                <w:sz w:val="22"/>
                <w:szCs w:val="22"/>
                <w:color w:val="auto"/>
                <w:vertAlign w:val="superscript"/>
              </w:rPr>
              <w:t>(2)</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110,427</w:t>
            </w:r>
          </w:p>
        </w:tc>
        <w:tc>
          <w:tcPr>
            <w:tcW w:w="0" w:type="dxa"/>
            <w:vAlign w:val="bottom"/>
          </w:tcPr>
          <w:p>
            <w:pPr>
              <w:spacing w:after="0"/>
              <w:rPr>
                <w:sz w:val="1"/>
                <w:szCs w:val="1"/>
                <w:color w:val="auto"/>
              </w:rPr>
            </w:pPr>
          </w:p>
        </w:tc>
      </w:tr>
      <w:tr>
        <w:trPr>
          <w:trHeight w:val="219"/>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February 1 - February 28, 2025</w:t>
            </w: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120"/>
              <w:spacing w:after="0" w:line="219" w:lineRule="exact"/>
              <w:rPr>
                <w:sz w:val="20"/>
                <w:szCs w:val="20"/>
                <w:color w:val="auto"/>
              </w:rPr>
            </w:pPr>
            <w:r>
              <w:rPr>
                <w:rFonts w:ascii="Times New Roman" w:cs="Times New Roman" w:eastAsia="Times New Roman" w:hAnsi="Times New Roman"/>
                <w:sz w:val="17"/>
                <w:szCs w:val="17"/>
                <w:color w:val="auto"/>
              </w:rPr>
              <w:t>Equity withholding</w:t>
            </w:r>
            <w:r>
              <w:rPr>
                <w:rFonts w:ascii="Times New Roman" w:cs="Times New Roman" w:eastAsia="Times New Roman" w:hAnsi="Times New Roman"/>
                <w:sz w:val="22"/>
                <w:szCs w:val="22"/>
                <w:color w:val="auto"/>
                <w:vertAlign w:val="superscript"/>
              </w:rPr>
              <w:t>(1)</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19.89</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660" w:type="dxa"/>
            <w:vAlign w:val="bottom"/>
          </w:tcPr>
          <w:p>
            <w:pPr>
              <w:ind w:left="120"/>
              <w:spacing w:after="0" w:line="219" w:lineRule="exact"/>
              <w:rPr>
                <w:sz w:val="20"/>
                <w:szCs w:val="20"/>
                <w:color w:val="auto"/>
              </w:rPr>
            </w:pPr>
            <w:r>
              <w:rPr>
                <w:rFonts w:ascii="Times New Roman" w:cs="Times New Roman" w:eastAsia="Times New Roman" w:hAnsi="Times New Roman"/>
                <w:sz w:val="17"/>
                <w:szCs w:val="17"/>
                <w:color w:val="auto"/>
              </w:rPr>
              <w:t>Repurchase program</w:t>
            </w:r>
            <w:r>
              <w:rPr>
                <w:rFonts w:ascii="Times New Roman" w:cs="Times New Roman" w:eastAsia="Times New Roman" w:hAnsi="Times New Roman"/>
                <w:sz w:val="22"/>
                <w:szCs w:val="22"/>
                <w:color w:val="auto"/>
                <w:vertAlign w:val="superscript"/>
              </w:rPr>
              <w:t>(2)</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110,427</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March 1 - March 31, 2025</w:t>
            </w:r>
          </w:p>
        </w:tc>
        <w:tc>
          <w:tcPr>
            <w:tcW w:w="1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60" w:type="dxa"/>
            <w:vAlign w:val="bottom"/>
          </w:tcPr>
          <w:p>
            <w:pPr>
              <w:ind w:left="120"/>
              <w:spacing w:after="0" w:line="219" w:lineRule="exact"/>
              <w:rPr>
                <w:sz w:val="20"/>
                <w:szCs w:val="20"/>
                <w:color w:val="auto"/>
              </w:rPr>
            </w:pPr>
            <w:r>
              <w:rPr>
                <w:rFonts w:ascii="Times New Roman" w:cs="Times New Roman" w:eastAsia="Times New Roman" w:hAnsi="Times New Roman"/>
                <w:sz w:val="17"/>
                <w:szCs w:val="17"/>
                <w:color w:val="auto"/>
              </w:rPr>
              <w:t>Equity withholding</w:t>
            </w:r>
            <w:r>
              <w:rPr>
                <w:rFonts w:ascii="Times New Roman" w:cs="Times New Roman" w:eastAsia="Times New Roman" w:hAnsi="Times New Roman"/>
                <w:sz w:val="22"/>
                <w:szCs w:val="22"/>
                <w:color w:val="auto"/>
                <w:vertAlign w:val="superscript"/>
              </w:rPr>
              <w:t>(1)</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11.52</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120"/>
              <w:spacing w:after="0" w:line="219" w:lineRule="exact"/>
              <w:rPr>
                <w:sz w:val="20"/>
                <w:szCs w:val="20"/>
                <w:color w:val="auto"/>
              </w:rPr>
            </w:pPr>
            <w:r>
              <w:rPr>
                <w:rFonts w:ascii="Times New Roman" w:cs="Times New Roman" w:eastAsia="Times New Roman" w:hAnsi="Times New Roman"/>
                <w:sz w:val="17"/>
                <w:szCs w:val="17"/>
                <w:color w:val="auto"/>
              </w:rPr>
              <w:t>Repurchase program</w:t>
            </w:r>
            <w:r>
              <w:rPr>
                <w:rFonts w:ascii="Times New Roman" w:cs="Times New Roman" w:eastAsia="Times New Roman" w:hAnsi="Times New Roman"/>
                <w:sz w:val="22"/>
                <w:szCs w:val="22"/>
                <w:color w:val="auto"/>
                <w:vertAlign w:val="superscript"/>
              </w:rPr>
              <w:t>(2)</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12.82</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91,198</w:t>
            </w:r>
          </w:p>
        </w:tc>
        <w:tc>
          <w:tcPr>
            <w:tcW w:w="0" w:type="dxa"/>
            <w:vAlign w:val="bottom"/>
          </w:tcPr>
          <w:p>
            <w:pPr>
              <w:spacing w:after="0"/>
              <w:rPr>
                <w:sz w:val="1"/>
                <w:szCs w:val="1"/>
                <w:color w:val="auto"/>
              </w:rPr>
            </w:pPr>
          </w:p>
        </w:tc>
      </w:tr>
      <w:tr>
        <w:trPr>
          <w:trHeight w:val="212"/>
        </w:trPr>
        <w:tc>
          <w:tcPr>
            <w:tcW w:w="3660" w:type="dxa"/>
            <w:vAlign w:val="bottom"/>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2,522</w:t>
            </w: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right="120" w:firstLine="3"/>
        <w:spacing w:after="0" w:line="252" w:lineRule="auto"/>
        <w:tabs>
          <w:tab w:leader="none" w:pos="173"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Upon vesting of most restricted stock units or stock awards, we are required to deposit minimum statutory employee withholding taxes on behalf of the holders of the vested awards. As reimbursement for these tax deposits, we have the option to withhold from shares otherwise issuable upon vesting a portion of those shares with a fair market value equal to the amount of the deposits we paid. Withholding of shares in this manner is accounted for as a repurchase of common stock.</w:t>
      </w:r>
    </w:p>
    <w:p>
      <w:pPr>
        <w:spacing w:after="0" w:line="262" w:lineRule="exact"/>
        <w:rPr>
          <w:rFonts w:ascii="Times New Roman" w:cs="Times New Roman" w:eastAsia="Times New Roman" w:hAnsi="Times New Roman"/>
          <w:sz w:val="21"/>
          <w:szCs w:val="21"/>
          <w:color w:val="auto"/>
          <w:vertAlign w:val="superscript"/>
        </w:rPr>
      </w:pPr>
    </w:p>
    <w:p>
      <w:pPr>
        <w:ind w:right="120" w:firstLine="3"/>
        <w:spacing w:after="0" w:line="283" w:lineRule="auto"/>
        <w:tabs>
          <w:tab w:leader="none" w:pos="158"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On February 1, 2024, our Board of Directors approved a share repurchase program (the "February 2024 Repurchase Plan") under which the Company is authorized to repurchase common stock or Convertible Senior Notes, with an aggregate market value of up to $125.0 million, through February 1, 2026. Shares repurchased under the February 2024 Repurchase Plan in the quarter ended March 31, 2025 have been subsequently retired, which was recorded as a reduction in additional paid in capital. The average price paid per share purchased under the February 2024 Repurchase Plan includes broker commission costs. As of March 31, 2025, $91.2 million remains available under the February 2024 Repurchase Plan.</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Trading Plans</w:t>
      </w:r>
    </w:p>
    <w:p>
      <w:pPr>
        <w:spacing w:after="0" w:line="1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the first quarter of 2025, the following trading plans were adopted or terminated by our Section 16 officers or directors:</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b w:val="1"/>
                <w:bCs w:val="1"/>
                <w:color w:val="auto"/>
              </w:rPr>
              <w:t>Officer Name</w:t>
            </w:r>
          </w:p>
        </w:tc>
        <w:tc>
          <w:tcPr>
            <w:tcW w:w="17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b w:val="1"/>
                <w:bCs w:val="1"/>
                <w:color w:val="auto"/>
              </w:rPr>
              <w:t>Officer Title</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Date Plan</w:t>
            </w:r>
          </w:p>
        </w:tc>
        <w:tc>
          <w:tcPr>
            <w:tcW w:w="21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Duration of Plan</w:t>
            </w:r>
          </w:p>
        </w:tc>
        <w:tc>
          <w:tcPr>
            <w:tcW w:w="2440" w:type="dxa"/>
            <w:vAlign w:val="bottom"/>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Shares to be Purchased or Sold</w:t>
            </w:r>
          </w:p>
        </w:tc>
        <w:tc>
          <w:tcPr>
            <w:tcW w:w="0" w:type="dxa"/>
            <w:vAlign w:val="bottom"/>
          </w:tcPr>
          <w:p>
            <w:pPr>
              <w:spacing w:after="0"/>
              <w:rPr>
                <w:sz w:val="1"/>
                <w:szCs w:val="1"/>
                <w:color w:val="auto"/>
              </w:rPr>
            </w:pPr>
          </w:p>
        </w:tc>
      </w:tr>
      <w:tr>
        <w:trPr>
          <w:trHeight w:val="232"/>
        </w:trPr>
        <w:tc>
          <w:tcPr>
            <w:tcW w:w="1700" w:type="dxa"/>
            <w:vAlign w:val="bottom"/>
            <w:gridSpan w:val="2"/>
            <w:vMerge w:val="continue"/>
          </w:tcPr>
          <w:p>
            <w:pPr>
              <w:spacing w:after="0"/>
              <w:rPr>
                <w:sz w:val="20"/>
                <w:szCs w:val="20"/>
                <w:color w:val="auto"/>
              </w:rPr>
            </w:pPr>
          </w:p>
        </w:tc>
        <w:tc>
          <w:tcPr>
            <w:tcW w:w="1720" w:type="dxa"/>
            <w:vAlign w:val="bottom"/>
            <w:gridSpan w:val="2"/>
            <w:vMerge w:val="continue"/>
          </w:tcPr>
          <w:p>
            <w:pPr>
              <w:spacing w:after="0"/>
              <w:rPr>
                <w:sz w:val="20"/>
                <w:szCs w:val="20"/>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Adopted/Terminated</w:t>
            </w:r>
          </w:p>
        </w:tc>
        <w:tc>
          <w:tcPr>
            <w:tcW w:w="2100" w:type="dxa"/>
            <w:vAlign w:val="bottom"/>
            <w:gridSpan w:val="2"/>
            <w:vMerge w:val="continue"/>
          </w:tcPr>
          <w:p>
            <w:pPr>
              <w:spacing w:after="0"/>
              <w:rPr>
                <w:sz w:val="20"/>
                <w:szCs w:val="20"/>
                <w:color w:val="auto"/>
              </w:rPr>
            </w:pPr>
          </w:p>
        </w:tc>
        <w:tc>
          <w:tcPr>
            <w:tcW w:w="2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1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7"/>
                <w:szCs w:val="17"/>
                <w:color w:val="auto"/>
              </w:rPr>
              <w:t>June 5, 2025 - March 6,</w:t>
            </w:r>
          </w:p>
        </w:tc>
        <w:tc>
          <w:tcPr>
            <w:tcW w:w="80" w:type="dxa"/>
            <w:vAlign w:val="bottom"/>
          </w:tcPr>
          <w:p>
            <w:pPr>
              <w:spacing w:after="0"/>
              <w:rPr>
                <w:sz w:val="13"/>
                <w:szCs w:val="13"/>
                <w:color w:val="auto"/>
              </w:rPr>
            </w:pPr>
          </w:p>
        </w:tc>
        <w:tc>
          <w:tcPr>
            <w:tcW w:w="2440" w:type="dxa"/>
            <w:vAlign w:val="bottom"/>
            <w:tcBorders>
              <w:top w:val="single" w:sz="8" w:color="auto"/>
            </w:tcBorders>
          </w:tcPr>
          <w:p>
            <w:pPr>
              <w:ind w:left="20"/>
              <w:spacing w:after="0" w:line="161" w:lineRule="exact"/>
              <w:rPr>
                <w:sz w:val="20"/>
                <w:szCs w:val="20"/>
                <w:color w:val="auto"/>
              </w:rPr>
            </w:pPr>
            <w:r>
              <w:rPr>
                <w:rFonts w:ascii="Times New Roman" w:cs="Times New Roman" w:eastAsia="Times New Roman" w:hAnsi="Times New Roman"/>
                <w:sz w:val="17"/>
                <w:szCs w:val="17"/>
                <w:color w:val="auto"/>
              </w:rPr>
              <w:t>Sell up to 87,840, subject to</w:t>
            </w:r>
          </w:p>
        </w:tc>
        <w:tc>
          <w:tcPr>
            <w:tcW w:w="0" w:type="dxa"/>
            <w:vAlign w:val="bottom"/>
          </w:tcPr>
          <w:p>
            <w:pPr>
              <w:spacing w:after="0"/>
              <w:rPr>
                <w:sz w:val="1"/>
                <w:szCs w:val="1"/>
                <w:color w:val="auto"/>
              </w:rPr>
            </w:pPr>
          </w:p>
        </w:tc>
      </w:tr>
      <w:tr>
        <w:trPr>
          <w:trHeight w:val="229"/>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Katie Evans</w:t>
            </w:r>
          </w:p>
        </w:tc>
        <w:tc>
          <w:tcPr>
            <w:tcW w:w="1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President, Operations</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Adopted March 06, 2025</w:t>
            </w:r>
          </w:p>
        </w:tc>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2026</w:t>
            </w:r>
          </w:p>
        </w:tc>
        <w:tc>
          <w:tcPr>
            <w:tcW w:w="80" w:type="dxa"/>
            <w:vAlign w:val="bottom"/>
          </w:tcPr>
          <w:p>
            <w:pPr>
              <w:spacing w:after="0"/>
              <w:rPr>
                <w:sz w:val="19"/>
                <w:szCs w:val="19"/>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certain conditions</w:t>
            </w:r>
          </w:p>
        </w:tc>
        <w:tc>
          <w:tcPr>
            <w:tcW w:w="0" w:type="dxa"/>
            <w:vAlign w:val="bottom"/>
          </w:tcPr>
          <w:p>
            <w:pPr>
              <w:spacing w:after="0"/>
              <w:rPr>
                <w:sz w:val="1"/>
                <w:szCs w:val="1"/>
                <w:color w:val="auto"/>
              </w:rPr>
            </w:pPr>
          </w:p>
        </w:tc>
      </w:tr>
      <w:tr>
        <w:trPr>
          <w:trHeight w:val="171"/>
        </w:trPr>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tcPr>
          <w:p>
            <w:pPr>
              <w:ind w:left="20"/>
              <w:spacing w:after="0" w:line="172" w:lineRule="exact"/>
              <w:rPr>
                <w:sz w:val="20"/>
                <w:szCs w:val="20"/>
                <w:color w:val="auto"/>
              </w:rPr>
            </w:pPr>
            <w:r>
              <w:rPr>
                <w:rFonts w:ascii="Times New Roman" w:cs="Times New Roman" w:eastAsia="Times New Roman" w:hAnsi="Times New Roman"/>
                <w:sz w:val="17"/>
                <w:szCs w:val="17"/>
                <w:color w:val="auto"/>
              </w:rPr>
              <w:t>Sell up to 11,512, subject to</w:t>
            </w:r>
          </w:p>
        </w:tc>
        <w:tc>
          <w:tcPr>
            <w:tcW w:w="0" w:type="dxa"/>
            <w:vAlign w:val="bottom"/>
          </w:tcPr>
          <w:p>
            <w:pPr>
              <w:spacing w:after="0"/>
              <w:rPr>
                <w:sz w:val="1"/>
                <w:szCs w:val="1"/>
                <w:color w:val="auto"/>
              </w:rPr>
            </w:pPr>
          </w:p>
        </w:tc>
      </w:tr>
      <w:tr>
        <w:trPr>
          <w:trHeight w:val="229"/>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David Pearson</w:t>
            </w:r>
          </w:p>
        </w:tc>
        <w:tc>
          <w:tcPr>
            <w:tcW w:w="1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Adopted March 06, 2025</w:t>
            </w:r>
          </w:p>
        </w:tc>
        <w:tc>
          <w:tcPr>
            <w:tcW w:w="21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June 6, 2025 - July 7, 2025</w:t>
            </w:r>
          </w:p>
        </w:tc>
        <w:tc>
          <w:tcPr>
            <w:tcW w:w="2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certain conditions</w:t>
            </w:r>
          </w:p>
        </w:tc>
        <w:tc>
          <w:tcPr>
            <w:tcW w:w="0" w:type="dxa"/>
            <w:vAlign w:val="bottom"/>
          </w:tcPr>
          <w:p>
            <w:pPr>
              <w:spacing w:after="0"/>
              <w:rPr>
                <w:sz w:val="1"/>
                <w:szCs w:val="1"/>
                <w:color w:val="auto"/>
              </w:rPr>
            </w:pPr>
          </w:p>
        </w:tc>
      </w:tr>
      <w:tr>
        <w:trPr>
          <w:trHeight w:val="171"/>
        </w:trPr>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2"/>
          </w:tcPr>
          <w:p>
            <w:pPr>
              <w:jc w:val="center"/>
              <w:ind w:right="80"/>
              <w:spacing w:after="0" w:line="172" w:lineRule="exact"/>
              <w:rPr>
                <w:sz w:val="20"/>
                <w:szCs w:val="20"/>
                <w:color w:val="auto"/>
              </w:rPr>
            </w:pPr>
            <w:r>
              <w:rPr>
                <w:rFonts w:ascii="Times New Roman" w:cs="Times New Roman" w:eastAsia="Times New Roman" w:hAnsi="Times New Roman"/>
                <w:sz w:val="17"/>
                <w:szCs w:val="17"/>
                <w:color w:val="auto"/>
              </w:rPr>
              <w:t>June 6, 2025 - August 29,</w:t>
            </w:r>
          </w:p>
        </w:tc>
        <w:tc>
          <w:tcPr>
            <w:tcW w:w="2440" w:type="dxa"/>
            <w:vAlign w:val="bottom"/>
          </w:tcPr>
          <w:p>
            <w:pPr>
              <w:ind w:left="20"/>
              <w:spacing w:after="0" w:line="172" w:lineRule="exact"/>
              <w:rPr>
                <w:sz w:val="20"/>
                <w:szCs w:val="20"/>
                <w:color w:val="auto"/>
              </w:rPr>
            </w:pPr>
            <w:r>
              <w:rPr>
                <w:rFonts w:ascii="Times New Roman" w:cs="Times New Roman" w:eastAsia="Times New Roman" w:hAnsi="Times New Roman"/>
                <w:sz w:val="17"/>
                <w:szCs w:val="17"/>
                <w:color w:val="auto"/>
              </w:rPr>
              <w:t>Sell up to 124,039*, subject to</w:t>
            </w:r>
          </w:p>
        </w:tc>
        <w:tc>
          <w:tcPr>
            <w:tcW w:w="0" w:type="dxa"/>
            <w:vAlign w:val="bottom"/>
          </w:tcPr>
          <w:p>
            <w:pPr>
              <w:spacing w:after="0"/>
              <w:rPr>
                <w:sz w:val="1"/>
                <w:szCs w:val="1"/>
                <w:color w:val="auto"/>
              </w:rPr>
            </w:pPr>
          </w:p>
        </w:tc>
      </w:tr>
      <w:tr>
        <w:trPr>
          <w:trHeight w:val="229"/>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Adam Soroca</w:t>
            </w:r>
          </w:p>
        </w:tc>
        <w:tc>
          <w:tcPr>
            <w:tcW w:w="1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Product Officer</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Adopted March 07, 2025</w:t>
            </w:r>
          </w:p>
        </w:tc>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2025</w:t>
            </w:r>
          </w:p>
        </w:tc>
        <w:tc>
          <w:tcPr>
            <w:tcW w:w="80" w:type="dxa"/>
            <w:vAlign w:val="bottom"/>
          </w:tcPr>
          <w:p>
            <w:pPr>
              <w:spacing w:after="0"/>
              <w:rPr>
                <w:sz w:val="19"/>
                <w:szCs w:val="19"/>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certain conditions</w:t>
            </w:r>
          </w:p>
        </w:tc>
        <w:tc>
          <w:tcPr>
            <w:tcW w:w="0" w:type="dxa"/>
            <w:vAlign w:val="bottom"/>
          </w:tcPr>
          <w:p>
            <w:pPr>
              <w:spacing w:after="0"/>
              <w:rPr>
                <w:sz w:val="1"/>
                <w:szCs w:val="1"/>
                <w:color w:val="auto"/>
              </w:rPr>
            </w:pPr>
          </w:p>
        </w:tc>
      </w:tr>
      <w:tr>
        <w:trPr>
          <w:trHeight w:val="171"/>
        </w:trPr>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2"/>
          </w:tcPr>
          <w:p>
            <w:pPr>
              <w:jc w:val="center"/>
              <w:ind w:right="100"/>
              <w:spacing w:after="0" w:line="172" w:lineRule="exact"/>
              <w:rPr>
                <w:sz w:val="20"/>
                <w:szCs w:val="20"/>
                <w:color w:val="auto"/>
              </w:rPr>
            </w:pPr>
            <w:r>
              <w:rPr>
                <w:rFonts w:ascii="Times New Roman" w:cs="Times New Roman" w:eastAsia="Times New Roman" w:hAnsi="Times New Roman"/>
                <w:sz w:val="17"/>
                <w:szCs w:val="17"/>
                <w:color w:val="auto"/>
              </w:rPr>
              <w:t>June 9, 2025 - March 10,</w:t>
            </w:r>
          </w:p>
        </w:tc>
        <w:tc>
          <w:tcPr>
            <w:tcW w:w="2440" w:type="dxa"/>
            <w:vAlign w:val="bottom"/>
          </w:tcPr>
          <w:p>
            <w:pPr>
              <w:ind w:left="20"/>
              <w:spacing w:after="0" w:line="172" w:lineRule="exact"/>
              <w:rPr>
                <w:sz w:val="20"/>
                <w:szCs w:val="20"/>
                <w:color w:val="auto"/>
              </w:rPr>
            </w:pPr>
            <w:r>
              <w:rPr>
                <w:rFonts w:ascii="Times New Roman" w:cs="Times New Roman" w:eastAsia="Times New Roman" w:hAnsi="Times New Roman"/>
                <w:sz w:val="17"/>
                <w:szCs w:val="17"/>
                <w:color w:val="auto"/>
              </w:rPr>
              <w:t>Sell up to 137,007, subject to</w:t>
            </w:r>
          </w:p>
        </w:tc>
        <w:tc>
          <w:tcPr>
            <w:tcW w:w="0" w:type="dxa"/>
            <w:vAlign w:val="bottom"/>
          </w:tcPr>
          <w:p>
            <w:pPr>
              <w:spacing w:after="0"/>
              <w:rPr>
                <w:sz w:val="1"/>
                <w:szCs w:val="1"/>
                <w:color w:val="auto"/>
              </w:rPr>
            </w:pPr>
          </w:p>
        </w:tc>
      </w:tr>
      <w:tr>
        <w:trPr>
          <w:trHeight w:val="230"/>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James Rossman</w:t>
            </w:r>
          </w:p>
        </w:tc>
        <w:tc>
          <w:tcPr>
            <w:tcW w:w="1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Adopted March 10, 2025</w:t>
            </w:r>
          </w:p>
        </w:tc>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2026</w:t>
            </w:r>
          </w:p>
        </w:tc>
        <w:tc>
          <w:tcPr>
            <w:tcW w:w="80" w:type="dxa"/>
            <w:vAlign w:val="bottom"/>
          </w:tcPr>
          <w:p>
            <w:pPr>
              <w:spacing w:after="0"/>
              <w:rPr>
                <w:sz w:val="20"/>
                <w:szCs w:val="20"/>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certain conditions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-505460</wp:posOffset>
            </wp:positionV>
            <wp:extent cx="7138670" cy="2540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8670" cy="2540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-1021080</wp:posOffset>
            </wp:positionV>
            <wp:extent cx="7138670" cy="262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8670" cy="262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ind w:right="200" w:firstLine="19"/>
        <w:spacing w:after="0" w:line="227" w:lineRule="auto"/>
        <w:rPr>
          <w:sz w:val="20"/>
          <w:szCs w:val="20"/>
          <w:color w:val="auto"/>
        </w:rPr>
      </w:pPr>
      <w:r>
        <w:rPr>
          <w:rFonts w:ascii="Times New Roman" w:cs="Times New Roman" w:eastAsia="Times New Roman" w:hAnsi="Times New Roman"/>
          <w:sz w:val="17"/>
          <w:szCs w:val="17"/>
          <w:b w:val="1"/>
          <w:bCs w:val="1"/>
          <w:color w:val="auto"/>
        </w:rPr>
        <w:t>Intended to Satisfy Rule</w:t>
      </w:r>
    </w:p>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10b5-1(c)?</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Yes</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Yes</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Yes</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Yes</w:t>
      </w:r>
    </w:p>
    <w:p>
      <w:pPr>
        <w:spacing w:after="0" w:line="26" w:lineRule="exact"/>
        <w:rPr>
          <w:sz w:val="20"/>
          <w:szCs w:val="20"/>
          <w:color w:val="auto"/>
        </w:rPr>
      </w:pPr>
    </w:p>
    <w:p>
      <w:pPr>
        <w:sectPr>
          <w:pgSz w:w="11900" w:h="16838" w:orient="portrait"/>
          <w:cols w:equalWidth="0" w:num="2">
            <w:col w:w="9860" w:space="300"/>
            <w:col w:w="1080"/>
          </w:cols>
          <w:pgMar w:left="320" w:top="123" w:right="339"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1400" w:type="dxa"/>
            <w:vAlign w:val="bottom"/>
            <w:shd w:val="clear" w:color="auto" w:fill="CCEEFF"/>
          </w:tcPr>
          <w:p>
            <w:pPr>
              <w:spacing w:after="0"/>
              <w:rPr>
                <w:sz w:val="14"/>
                <w:szCs w:val="14"/>
                <w:color w:val="auto"/>
              </w:rPr>
            </w:pPr>
          </w:p>
        </w:tc>
        <w:tc>
          <w:tcPr>
            <w:tcW w:w="1880" w:type="dxa"/>
            <w:vAlign w:val="bottom"/>
            <w:shd w:val="clear" w:color="auto" w:fill="CCEEFF"/>
          </w:tcPr>
          <w:p>
            <w:pPr>
              <w:ind w:left="300"/>
              <w:spacing w:after="0" w:line="170" w:lineRule="exact"/>
              <w:rPr>
                <w:sz w:val="20"/>
                <w:szCs w:val="20"/>
                <w:color w:val="auto"/>
              </w:rPr>
            </w:pPr>
            <w:r>
              <w:rPr>
                <w:rFonts w:ascii="Times New Roman" w:cs="Times New Roman" w:eastAsia="Times New Roman" w:hAnsi="Times New Roman"/>
                <w:sz w:val="17"/>
                <w:szCs w:val="17"/>
                <w:color w:val="auto"/>
              </w:rPr>
              <w:t>Chief Executive</w:t>
            </w:r>
          </w:p>
        </w:tc>
        <w:tc>
          <w:tcPr>
            <w:tcW w:w="2060" w:type="dxa"/>
            <w:vAlign w:val="bottom"/>
            <w:shd w:val="clear" w:color="auto" w:fill="CCEEFF"/>
          </w:tcPr>
          <w:p>
            <w:pPr>
              <w:spacing w:after="0"/>
              <w:rPr>
                <w:sz w:val="14"/>
                <w:szCs w:val="14"/>
                <w:color w:val="auto"/>
              </w:rPr>
            </w:pPr>
          </w:p>
        </w:tc>
        <w:tc>
          <w:tcPr>
            <w:tcW w:w="196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7"/>
                <w:szCs w:val="17"/>
                <w:color w:val="auto"/>
              </w:rPr>
              <w:t>June 15, 2025 - May 31,</w:t>
            </w:r>
          </w:p>
        </w:tc>
        <w:tc>
          <w:tcPr>
            <w:tcW w:w="2660" w:type="dxa"/>
            <w:vAlign w:val="bottom"/>
            <w:shd w:val="clear" w:color="auto" w:fill="CCEEFF"/>
          </w:tcPr>
          <w:p>
            <w:pPr>
              <w:ind w:left="140"/>
              <w:spacing w:after="0" w:line="170" w:lineRule="exact"/>
              <w:rPr>
                <w:sz w:val="20"/>
                <w:szCs w:val="20"/>
                <w:color w:val="auto"/>
              </w:rPr>
            </w:pPr>
            <w:r>
              <w:rPr>
                <w:rFonts w:ascii="Times New Roman" w:cs="Times New Roman" w:eastAsia="Times New Roman" w:hAnsi="Times New Roman"/>
                <w:sz w:val="17"/>
                <w:szCs w:val="17"/>
                <w:color w:val="auto"/>
              </w:rPr>
              <w:t>Sell up to 460,000, subject to</w:t>
            </w:r>
          </w:p>
        </w:tc>
        <w:tc>
          <w:tcPr>
            <w:tcW w:w="1280" w:type="dxa"/>
            <w:vAlign w:val="bottom"/>
            <w:shd w:val="clear" w:color="auto" w:fill="CCEEFF"/>
          </w:tcPr>
          <w:p>
            <w:pPr>
              <w:spacing w:after="0"/>
              <w:rPr>
                <w:sz w:val="14"/>
                <w:szCs w:val="14"/>
                <w:color w:val="auto"/>
              </w:rPr>
            </w:pPr>
          </w:p>
        </w:tc>
      </w:tr>
      <w:tr>
        <w:trPr>
          <w:trHeight w:val="232"/>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Michael Barrett</w:t>
            </w:r>
          </w:p>
        </w:tc>
        <w:tc>
          <w:tcPr>
            <w:tcW w:w="1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Officer and Director</w:t>
            </w:r>
          </w:p>
        </w:tc>
        <w:tc>
          <w:tcPr>
            <w:tcW w:w="2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Adopted March 12, 2025</w:t>
            </w:r>
          </w:p>
        </w:tc>
        <w:tc>
          <w:tcPr>
            <w:tcW w:w="196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rPr>
              <w:t>2026</w:t>
            </w:r>
          </w:p>
        </w:tc>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certain conditions</w:t>
            </w:r>
          </w:p>
        </w:tc>
        <w:tc>
          <w:tcPr>
            <w:tcW w:w="1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Yes</w:t>
            </w:r>
          </w:p>
        </w:tc>
      </w:tr>
    </w:tbl>
    <w:p>
      <w:pPr>
        <w:spacing w:after="0" w:line="1" w:lineRule="exact"/>
        <w:rPr>
          <w:sz w:val="20"/>
          <w:szCs w:val="20"/>
          <w:color w:val="auto"/>
        </w:rPr>
      </w:pPr>
    </w:p>
    <w:p>
      <w:pPr>
        <w:sectPr>
          <w:pgSz w:w="11900" w:h="16838" w:orient="portrait"/>
          <w:cols w:equalWidth="0" w:num="1">
            <w:col w:w="11240"/>
          </w:cols>
          <w:pgMar w:left="320" w:top="123" w:right="339" w:bottom="1440" w:gutter="0" w:footer="0" w:header="0"/>
          <w:type w:val="continuous"/>
        </w:sectPr>
      </w:pPr>
    </w:p>
    <w:tbl>
      <w:tblPr>
        <w:tblLayout w:type="fixed"/>
        <w:tblInd w:w="20" w:type="dxa"/>
        <w:tblCellMar>
          <w:top w:w="0" w:type="dxa"/>
          <w:left w:w="0" w:type="dxa"/>
          <w:bottom w:w="0" w:type="dxa"/>
          <w:right w:w="0" w:type="dxa"/>
        </w:tblCellMar>
      </w:tblPr>
      <w:tr>
        <w:trPr>
          <w:trHeight w:val="168"/>
        </w:trPr>
        <w:tc>
          <w:tcPr>
            <w:tcW w:w="1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4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color w:val="auto"/>
              </w:rPr>
              <w:t>June 16, 2025 -</w:t>
            </w:r>
          </w:p>
        </w:tc>
        <w:tc>
          <w:tcPr>
            <w:tcW w:w="2120" w:type="dxa"/>
            <w:vAlign w:val="bottom"/>
          </w:tcPr>
          <w:p>
            <w:pPr>
              <w:ind w:left="100"/>
              <w:spacing w:after="0" w:line="167" w:lineRule="exact"/>
              <w:rPr>
                <w:sz w:val="20"/>
                <w:szCs w:val="20"/>
                <w:color w:val="auto"/>
              </w:rPr>
            </w:pPr>
            <w:r>
              <w:rPr>
                <w:rFonts w:ascii="Times New Roman" w:cs="Times New Roman" w:eastAsia="Times New Roman" w:hAnsi="Times New Roman"/>
                <w:sz w:val="17"/>
                <w:szCs w:val="17"/>
                <w:color w:val="auto"/>
              </w:rPr>
              <w:t>Sell up to 130,828, subject to</w:t>
            </w:r>
          </w:p>
        </w:tc>
      </w:tr>
      <w:tr>
        <w:trPr>
          <w:trHeight w:val="229"/>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auto"/>
              </w:rPr>
              <w:t>David Day</w:t>
            </w:r>
          </w:p>
        </w:tc>
        <w:tc>
          <w:tcPr>
            <w:tcW w:w="21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Chief Financial Officer</w:t>
            </w:r>
          </w:p>
        </w:tc>
        <w:tc>
          <w:tcPr>
            <w:tcW w:w="19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Adopted March 13, 2025</w:t>
            </w: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12, 2025</w:t>
            </w:r>
          </w:p>
        </w:tc>
        <w:tc>
          <w:tcPr>
            <w:tcW w:w="2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certain conditions</w:t>
            </w:r>
          </w:p>
        </w:tc>
      </w:tr>
      <w:tr>
        <w:trPr>
          <w:trHeight w:val="171"/>
        </w:trPr>
        <w:tc>
          <w:tcPr>
            <w:tcW w:w="1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4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June 16, 2025 - March 13,</w:t>
            </w:r>
          </w:p>
        </w:tc>
        <w:tc>
          <w:tcPr>
            <w:tcW w:w="2120" w:type="dxa"/>
            <w:vAlign w:val="bottom"/>
          </w:tcPr>
          <w:p>
            <w:pPr>
              <w:ind w:left="100"/>
              <w:spacing w:after="0" w:line="172" w:lineRule="exact"/>
              <w:rPr>
                <w:sz w:val="20"/>
                <w:szCs w:val="20"/>
                <w:color w:val="auto"/>
              </w:rPr>
            </w:pPr>
            <w:r>
              <w:rPr>
                <w:rFonts w:ascii="Times New Roman" w:cs="Times New Roman" w:eastAsia="Times New Roman" w:hAnsi="Times New Roman"/>
                <w:sz w:val="17"/>
                <w:szCs w:val="17"/>
                <w:color w:val="auto"/>
              </w:rPr>
              <w:t>Sell up to 49,064, subject to</w:t>
            </w:r>
          </w:p>
        </w:tc>
      </w:tr>
      <w:tr>
        <w:trPr>
          <w:trHeight w:val="232"/>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auto"/>
              </w:rPr>
              <w:t>Aaron Saltz</w:t>
            </w:r>
          </w:p>
        </w:tc>
        <w:tc>
          <w:tcPr>
            <w:tcW w:w="21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Chief Legal Officer</w:t>
            </w:r>
          </w:p>
        </w:tc>
        <w:tc>
          <w:tcPr>
            <w:tcW w:w="19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Adopted March 14, 2025</w:t>
            </w: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2026</w:t>
            </w:r>
          </w:p>
        </w:tc>
        <w:tc>
          <w:tcPr>
            <w:tcW w:w="2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certain conditions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-253365</wp:posOffset>
            </wp:positionV>
            <wp:extent cx="7138670" cy="2540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8670" cy="2540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39" w:lineRule="exact"/>
        <w:rPr>
          <w:sz w:val="20"/>
          <w:szCs w:val="20"/>
          <w:color w:val="auto"/>
        </w:rPr>
      </w:pPr>
    </w:p>
    <w:p>
      <w:pPr>
        <w:sectPr>
          <w:pgSz w:w="11900" w:h="16838" w:orient="portrait"/>
          <w:cols w:equalWidth="0" w:num="2">
            <w:col w:w="9740" w:space="720"/>
            <w:col w:w="780"/>
          </w:cols>
          <w:pgMar w:left="320" w:top="123" w:right="339" w:bottom="1440" w:gutter="0" w:footer="0" w:header="0"/>
          <w:type w:val="continuous"/>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*Represents a combination of previously vested shares and gross amounts of shares that will vest over the duration of the plan (shares that will actually be sold under the plan are net of tax withholding).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40"/>
          </w:cols>
          <w:pgMar w:left="320" w:top="123" w:right="6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Item 6. Exhibits</w:t>
            </w:r>
          </w:p>
        </w:tc>
        <w:tc>
          <w:tcPr>
            <w:tcW w:w="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9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20" w:type="dxa"/>
            <w:vAlign w:val="bottom"/>
          </w:tcPr>
          <w:p>
            <w:pPr>
              <w:spacing w:after="0"/>
              <w:rPr>
                <w:sz w:val="24"/>
                <w:szCs w:val="24"/>
                <w:color w:val="auto"/>
              </w:rPr>
            </w:pPr>
          </w:p>
        </w:tc>
        <w:tc>
          <w:tcPr>
            <w:tcW w:w="8860" w:type="dxa"/>
            <w:vAlign w:val="bottom"/>
            <w:gridSpan w:val="12"/>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264"/>
        </w:trPr>
        <w:tc>
          <w:tcPr>
            <w:tcW w:w="2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860" w:type="dxa"/>
            <w:vAlign w:val="bottom"/>
            <w:tcBorders>
              <w:top w:val="single" w:sz="8" w:color="auto"/>
            </w:tcBorders>
            <w:gridSpan w:val="12"/>
          </w:tcPr>
          <w:p>
            <w:pPr>
              <w:spacing w:after="0"/>
              <w:rPr>
                <w:rFonts w:ascii="Times New Roman" w:cs="Times New Roman" w:eastAsia="Times New Roman" w:hAnsi="Times New Roman"/>
                <w:sz w:val="17"/>
                <w:szCs w:val="17"/>
                <w:color w:val="0000FF"/>
              </w:rPr>
            </w:pPr>
            <w:hyperlink r:id="rId79">
              <w:r>
                <w:rPr>
                  <w:rFonts w:ascii="Times New Roman" w:cs="Times New Roman" w:eastAsia="Times New Roman" w:hAnsi="Times New Roman"/>
                  <w:sz w:val="17"/>
                  <w:szCs w:val="17"/>
                  <w:color w:val="0000FF"/>
                </w:rPr>
                <w:t>Amendment No. 2, dated as of March 18, 2025 among Magnite, Inc., as the borrower, Morgan Stanley Senior Funding, Inc., as</w:t>
              </w:r>
            </w:hyperlink>
          </w:p>
        </w:tc>
      </w:tr>
      <w:tr>
        <w:trPr>
          <w:trHeight w:val="148"/>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720" w:type="dxa"/>
            <w:vAlign w:val="bottom"/>
            <w:tcBorders>
              <w:top w:val="single" w:sz="8" w:color="0000FF"/>
            </w:tcBorders>
            <w:gridSpan w:val="9"/>
          </w:tcPr>
          <w:p>
            <w:pPr>
              <w:spacing w:after="0" w:line="148" w:lineRule="exact"/>
              <w:rPr>
                <w:rFonts w:ascii="Times New Roman" w:cs="Times New Roman" w:eastAsia="Times New Roman" w:hAnsi="Times New Roman"/>
                <w:sz w:val="17"/>
                <w:szCs w:val="17"/>
                <w:color w:val="0000FF"/>
              </w:rPr>
            </w:pPr>
            <w:hyperlink r:id="rId79">
              <w:r>
                <w:rPr>
                  <w:rFonts w:ascii="Times New Roman" w:cs="Times New Roman" w:eastAsia="Times New Roman" w:hAnsi="Times New Roman"/>
                  <w:sz w:val="17"/>
                  <w:szCs w:val="17"/>
                  <w:color w:val="0000FF"/>
                </w:rPr>
                <w:t>the term facility administrative agent, and Citibank, N.A., as revolving facility administrative agent, collateral agent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60" w:type="dxa"/>
            <w:vAlign w:val="bottom"/>
            <w:tcBorders>
              <w:top w:val="single" w:sz="8" w:color="0000FF"/>
            </w:tcBorders>
            <w:gridSpan w:val="4"/>
          </w:tcPr>
          <w:p>
            <w:pPr>
              <w:spacing w:after="0" w:line="148" w:lineRule="exact"/>
              <w:rPr>
                <w:rFonts w:ascii="Times New Roman" w:cs="Times New Roman" w:eastAsia="Times New Roman" w:hAnsi="Times New Roman"/>
                <w:sz w:val="17"/>
                <w:szCs w:val="17"/>
                <w:color w:val="0000FF"/>
              </w:rPr>
            </w:pPr>
            <w:hyperlink r:id="rId79">
              <w:r>
                <w:rPr>
                  <w:rFonts w:ascii="Times New Roman" w:cs="Times New Roman" w:eastAsia="Times New Roman" w:hAnsi="Times New Roman"/>
                  <w:sz w:val="17"/>
                  <w:szCs w:val="17"/>
                  <w:color w:val="0000FF"/>
                </w:rPr>
                <w:t>swingline lender and each Issuing Bank and Lender party thereto (each as defined therein), which amended that certain</w:t>
              </w:r>
            </w:hyperlink>
          </w:p>
        </w:tc>
        <w:tc>
          <w:tcPr>
            <w:tcW w:w="600" w:type="dxa"/>
            <w:vAlign w:val="bottom"/>
            <w:gridSpan w:val="8"/>
          </w:tcPr>
          <w:p>
            <w:pPr>
              <w:spacing w:after="0" w:line="148" w:lineRule="exact"/>
              <w:rPr>
                <w:rFonts w:ascii="Times New Roman" w:cs="Times New Roman" w:eastAsia="Times New Roman" w:hAnsi="Times New Roman"/>
                <w:sz w:val="17"/>
                <w:szCs w:val="17"/>
                <w:color w:val="0000FF"/>
              </w:rPr>
            </w:pPr>
            <w:hyperlink r:id="rId79">
              <w:r>
                <w:rPr>
                  <w:rFonts w:ascii="Times New Roman" w:cs="Times New Roman" w:eastAsia="Times New Roman" w:hAnsi="Times New Roman"/>
                  <w:sz w:val="17"/>
                  <w:szCs w:val="17"/>
                  <w:color w:val="0000FF"/>
                </w:rPr>
                <w:t>Credit</w:t>
              </w:r>
            </w:hyperlink>
          </w:p>
        </w:tc>
      </w:tr>
      <w:tr>
        <w:trPr>
          <w:trHeight w:val="160"/>
        </w:trPr>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60" w:type="dxa"/>
            <w:vAlign w:val="bottom"/>
            <w:tcBorders>
              <w:top w:val="single" w:sz="8" w:color="0000FF"/>
              <w:bottom w:val="single" w:sz="8" w:color="0000FF"/>
            </w:tcBorders>
            <w:gridSpan w:val="7"/>
          </w:tcPr>
          <w:p>
            <w:pPr>
              <w:spacing w:after="0" w:line="161" w:lineRule="exact"/>
              <w:rPr>
                <w:rFonts w:ascii="Times New Roman" w:cs="Times New Roman" w:eastAsia="Times New Roman" w:hAnsi="Times New Roman"/>
                <w:sz w:val="17"/>
                <w:szCs w:val="17"/>
                <w:color w:val="0000FF"/>
                <w:w w:val="99"/>
              </w:rPr>
            </w:pPr>
            <w:hyperlink r:id="rId79">
              <w:r>
                <w:rPr>
                  <w:rFonts w:ascii="Times New Roman" w:cs="Times New Roman" w:eastAsia="Times New Roman" w:hAnsi="Times New Roman"/>
                  <w:sz w:val="17"/>
                  <w:szCs w:val="17"/>
                  <w:color w:val="0000FF"/>
                  <w:w w:val="99"/>
                </w:rPr>
                <w:t>Agreement, dated as of February 6, 2024 (incorporated by reference to Exhibit 10.1 of the Registrant's Current Report on Form</w:t>
              </w:r>
            </w:hyperlink>
          </w:p>
        </w:tc>
        <w:tc>
          <w:tcPr>
            <w:tcW w:w="4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740" w:type="dxa"/>
            <w:vAlign w:val="bottom"/>
            <w:tcBorders>
              <w:bottom w:val="single" w:sz="8" w:color="0000FF"/>
            </w:tcBorders>
            <w:gridSpan w:val="10"/>
          </w:tcPr>
          <w:p>
            <w:pPr>
              <w:spacing w:after="0" w:line="148" w:lineRule="exact"/>
              <w:rPr>
                <w:rFonts w:ascii="Times New Roman" w:cs="Times New Roman" w:eastAsia="Times New Roman" w:hAnsi="Times New Roman"/>
                <w:sz w:val="17"/>
                <w:szCs w:val="17"/>
                <w:color w:val="0000FF"/>
              </w:rPr>
            </w:pPr>
            <w:hyperlink r:id="rId79">
              <w:r>
                <w:rPr>
                  <w:rFonts w:ascii="Times New Roman" w:cs="Times New Roman" w:eastAsia="Times New Roman" w:hAnsi="Times New Roman"/>
                  <w:sz w:val="17"/>
                  <w:szCs w:val="17"/>
                  <w:color w:val="0000FF"/>
                </w:rPr>
                <w:t>8-K with the Commission on March 18, 2025). (incorporated by reference to Exhibit 10.1 of the Registrant's Current Report on</w:t>
              </w:r>
            </w:hyperlink>
          </w:p>
        </w:tc>
        <w:tc>
          <w:tcPr>
            <w:tcW w:w="20" w:type="dxa"/>
            <w:vAlign w:val="bottom"/>
            <w:tcBorders>
              <w:bottom w:val="single" w:sz="8" w:color="0000FF"/>
            </w:tcBorders>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tcBorders>
              <w:bottom w:val="single" w:sz="8" w:color="0000FF"/>
            </w:tcBorders>
            <w:gridSpan w:val="2"/>
          </w:tcPr>
          <w:p>
            <w:pPr>
              <w:spacing w:after="0" w:line="148" w:lineRule="exact"/>
              <w:rPr>
                <w:rFonts w:ascii="Times New Roman" w:cs="Times New Roman" w:eastAsia="Times New Roman" w:hAnsi="Times New Roman"/>
                <w:sz w:val="17"/>
                <w:szCs w:val="17"/>
                <w:color w:val="0000FF"/>
              </w:rPr>
            </w:pPr>
            <w:hyperlink r:id="rId79">
              <w:r>
                <w:rPr>
                  <w:rFonts w:ascii="Times New Roman" w:cs="Times New Roman" w:eastAsia="Times New Roman" w:hAnsi="Times New Roman"/>
                  <w:sz w:val="17"/>
                  <w:szCs w:val="17"/>
                  <w:color w:val="0000FF"/>
                </w:rPr>
                <w:t>Form 8-K with the Commission on March 18, 2025).</w:t>
              </w:r>
            </w:hyperlink>
          </w:p>
        </w:tc>
        <w:tc>
          <w:tcPr>
            <w:tcW w:w="5120" w:type="dxa"/>
            <w:vAlign w:val="bottom"/>
            <w:gridSpan w:val="9"/>
          </w:tcPr>
          <w:p>
            <w:pPr>
              <w:spacing w:after="0"/>
              <w:rPr>
                <w:sz w:val="12"/>
                <w:szCs w:val="12"/>
                <w:color w:val="auto"/>
              </w:rPr>
            </w:pPr>
          </w:p>
        </w:tc>
        <w:tc>
          <w:tcPr>
            <w:tcW w:w="100" w:type="dxa"/>
            <w:vAlign w:val="bottom"/>
          </w:tcPr>
          <w:p>
            <w:pPr>
              <w:spacing w:after="0"/>
              <w:rPr>
                <w:sz w:val="12"/>
                <w:szCs w:val="12"/>
                <w:color w:val="auto"/>
              </w:rPr>
            </w:pPr>
          </w:p>
        </w:tc>
      </w:tr>
      <w:tr>
        <w:trPr>
          <w:trHeight w:val="212"/>
        </w:trPr>
        <w:tc>
          <w:tcPr>
            <w:tcW w:w="2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6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Exchange Act Rules 13a-14(a) and 15d-14(a), as adopted pursuant to</w:t>
            </w:r>
          </w:p>
        </w:tc>
      </w:tr>
      <w:tr>
        <w:trPr>
          <w:trHeight w:val="148"/>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00" w:type="dxa"/>
            <w:vAlign w:val="bottom"/>
            <w:tcBorders>
              <w:top w:val="single" w:sz="8" w:color="0000FF"/>
              <w:bottom w:val="single" w:sz="8" w:color="0000FF"/>
            </w:tcBorders>
          </w:tcPr>
          <w:p>
            <w:pPr>
              <w:spacing w:after="0" w:line="148" w:lineRule="exact"/>
              <w:rPr>
                <w:sz w:val="20"/>
                <w:szCs w:val="20"/>
                <w:color w:val="auto"/>
              </w:rPr>
            </w:pPr>
            <w:r>
              <w:rPr>
                <w:rFonts w:ascii="Times New Roman" w:cs="Times New Roman" w:eastAsia="Times New Roman" w:hAnsi="Times New Roman"/>
                <w:sz w:val="17"/>
                <w:szCs w:val="17"/>
                <w:color w:val="0000FF"/>
              </w:rPr>
              <w:t>Section 302 of the Sarbanes-Oxley Act of 2002.</w:t>
            </w:r>
          </w:p>
        </w:tc>
        <w:tc>
          <w:tcPr>
            <w:tcW w:w="5300" w:type="dxa"/>
            <w:vAlign w:val="bottom"/>
            <w:tcBorders>
              <w:top w:val="single" w:sz="8" w:color="0000FF"/>
            </w:tcBorders>
            <w:gridSpan w:val="5"/>
          </w:tcPr>
          <w:p>
            <w:pPr>
              <w:spacing w:after="0"/>
              <w:rPr>
                <w:sz w:val="12"/>
                <w:szCs w:val="12"/>
                <w:color w:val="auto"/>
              </w:rPr>
            </w:pPr>
          </w:p>
        </w:tc>
        <w:tc>
          <w:tcPr>
            <w:tcW w:w="100" w:type="dxa"/>
            <w:vAlign w:val="bottom"/>
            <w:gridSpan w:val="2"/>
          </w:tcPr>
          <w:p>
            <w:pPr>
              <w:spacing w:after="0"/>
              <w:rPr>
                <w:sz w:val="12"/>
                <w:szCs w:val="12"/>
                <w:color w:val="auto"/>
              </w:rPr>
            </w:pPr>
          </w:p>
        </w:tc>
        <w:tc>
          <w:tcPr>
            <w:tcW w:w="160" w:type="dxa"/>
            <w:vAlign w:val="bottom"/>
            <w:gridSpan w:val="4"/>
          </w:tcPr>
          <w:p>
            <w:pPr>
              <w:spacing w:after="0"/>
              <w:rPr>
                <w:sz w:val="12"/>
                <w:szCs w:val="12"/>
                <w:color w:val="auto"/>
              </w:rPr>
            </w:pPr>
          </w:p>
        </w:tc>
      </w:tr>
      <w:tr>
        <w:trPr>
          <w:trHeight w:val="212"/>
        </w:trPr>
        <w:tc>
          <w:tcPr>
            <w:tcW w:w="2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6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Exchange Act Rules 13a-14(a) and 15d-14(a), as adopted pursuant to</w:t>
            </w:r>
          </w:p>
        </w:tc>
      </w:tr>
      <w:tr>
        <w:trPr>
          <w:trHeight w:val="148"/>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00" w:type="dxa"/>
            <w:vAlign w:val="bottom"/>
            <w:tcBorders>
              <w:top w:val="single" w:sz="8" w:color="0000FF"/>
              <w:bottom w:val="single" w:sz="8" w:color="0000FF"/>
            </w:tcBorders>
          </w:tcPr>
          <w:p>
            <w:pPr>
              <w:spacing w:after="0" w:line="148" w:lineRule="exact"/>
              <w:rPr>
                <w:sz w:val="20"/>
                <w:szCs w:val="20"/>
                <w:color w:val="auto"/>
              </w:rPr>
            </w:pPr>
            <w:r>
              <w:rPr>
                <w:rFonts w:ascii="Times New Roman" w:cs="Times New Roman" w:eastAsia="Times New Roman" w:hAnsi="Times New Roman"/>
                <w:sz w:val="17"/>
                <w:szCs w:val="17"/>
                <w:color w:val="0000FF"/>
              </w:rPr>
              <w:t>Section 302 of the Sarbanes-Oxley Act of 2002.</w:t>
            </w:r>
          </w:p>
        </w:tc>
        <w:tc>
          <w:tcPr>
            <w:tcW w:w="5240" w:type="dxa"/>
            <w:vAlign w:val="bottom"/>
            <w:tcBorders>
              <w:top w:val="single" w:sz="8" w:color="0000FF"/>
            </w:tcBorders>
            <w:gridSpan w:val="4"/>
          </w:tcPr>
          <w:p>
            <w:pPr>
              <w:spacing w:after="0"/>
              <w:rPr>
                <w:sz w:val="12"/>
                <w:szCs w:val="12"/>
                <w:color w:val="auto"/>
              </w:rPr>
            </w:pPr>
          </w:p>
        </w:tc>
        <w:tc>
          <w:tcPr>
            <w:tcW w:w="160" w:type="dxa"/>
            <w:vAlign w:val="bottom"/>
            <w:gridSpan w:val="3"/>
          </w:tcPr>
          <w:p>
            <w:pPr>
              <w:spacing w:after="0"/>
              <w:rPr>
                <w:sz w:val="12"/>
                <w:szCs w:val="12"/>
                <w:color w:val="auto"/>
              </w:rPr>
            </w:pPr>
          </w:p>
        </w:tc>
        <w:tc>
          <w:tcPr>
            <w:tcW w:w="160" w:type="dxa"/>
            <w:vAlign w:val="bottom"/>
            <w:gridSpan w:val="4"/>
          </w:tcPr>
          <w:p>
            <w:pPr>
              <w:spacing w:after="0"/>
              <w:rPr>
                <w:sz w:val="12"/>
                <w:szCs w:val="12"/>
                <w:color w:val="auto"/>
              </w:rPr>
            </w:pPr>
          </w:p>
        </w:tc>
      </w:tr>
      <w:tr>
        <w:trPr>
          <w:trHeight w:val="212"/>
        </w:trPr>
        <w:tc>
          <w:tcPr>
            <w:tcW w:w="2240" w:type="dxa"/>
            <w:vAlign w:val="bottom"/>
          </w:tcPr>
          <w:p>
            <w:pPr>
              <w:ind w:left="20"/>
              <w:spacing w:after="0" w:line="212" w:lineRule="exact"/>
              <w:rPr>
                <w:sz w:val="20"/>
                <w:szCs w:val="20"/>
                <w:color w:val="auto"/>
              </w:rPr>
            </w:pPr>
            <w:r>
              <w:rPr>
                <w:rFonts w:ascii="Times New Roman" w:cs="Times New Roman" w:eastAsia="Times New Roman" w:hAnsi="Times New Roman"/>
                <w:sz w:val="17"/>
                <w:szCs w:val="17"/>
                <w:color w:val="auto"/>
              </w:rPr>
              <w:t>32*</w:t>
            </w:r>
            <w:r>
              <w:rPr>
                <w:rFonts w:ascii="Times New Roman" w:cs="Times New Roman" w:eastAsia="Times New Roman" w:hAnsi="Times New Roman"/>
                <w:sz w:val="22"/>
                <w:szCs w:val="22"/>
                <w:color w:val="auto"/>
                <w:vertAlign w:val="superscript"/>
              </w:rPr>
              <w:t>(1)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6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Certification of the Principal Executive Officer and Principal Financial Officer Pursuant to 18 U.S.C. Section 1350, as adopted</w:t>
            </w:r>
          </w:p>
        </w:tc>
      </w:tr>
      <w:tr>
        <w:trPr>
          <w:trHeight w:val="148"/>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700" w:type="dxa"/>
            <w:vAlign w:val="bottom"/>
            <w:tcBorders>
              <w:top w:val="single" w:sz="8" w:color="0000FF"/>
            </w:tcBorders>
            <w:gridSpan w:val="8"/>
          </w:tcPr>
          <w:p>
            <w:pPr>
              <w:spacing w:after="0" w:line="148" w:lineRule="exact"/>
              <w:rPr>
                <w:sz w:val="20"/>
                <w:szCs w:val="20"/>
                <w:color w:val="auto"/>
              </w:rPr>
            </w:pPr>
            <w:r>
              <w:rPr>
                <w:rFonts w:ascii="Times New Roman" w:cs="Times New Roman" w:eastAsia="Times New Roman" w:hAnsi="Times New Roman"/>
                <w:sz w:val="17"/>
                <w:szCs w:val="17"/>
                <w:color w:val="0000FF"/>
              </w:rPr>
              <w:t>pursuant to Section 906 of the Sarbanes-Oxley Act of 2002.</w:t>
            </w:r>
          </w:p>
        </w:tc>
        <w:tc>
          <w:tcPr>
            <w:tcW w:w="160" w:type="dxa"/>
            <w:vAlign w:val="bottom"/>
            <w:gridSpan w:val="4"/>
          </w:tcPr>
          <w:p>
            <w:pPr>
              <w:spacing w:after="0"/>
              <w:rPr>
                <w:sz w:val="12"/>
                <w:szCs w:val="12"/>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00" w:type="dxa"/>
            <w:vAlign w:val="bottom"/>
            <w:gridSpan w:val="3"/>
            <w:shd w:val="clear" w:color="auto" w:fill="0000FF"/>
          </w:tcPr>
          <w:p>
            <w:pPr>
              <w:spacing w:after="0" w:line="20" w:lineRule="exact"/>
              <w:rPr>
                <w:sz w:val="1"/>
                <w:szCs w:val="1"/>
                <w:color w:val="auto"/>
              </w:rPr>
            </w:pPr>
          </w:p>
        </w:tc>
        <w:tc>
          <w:tcPr>
            <w:tcW w:w="4760" w:type="dxa"/>
            <w:vAlign w:val="bottom"/>
            <w:gridSpan w:val="9"/>
          </w:tcPr>
          <w:p>
            <w:pPr>
              <w:spacing w:after="0" w:line="20" w:lineRule="exact"/>
              <w:rPr>
                <w:sz w:val="1"/>
                <w:szCs w:val="1"/>
                <w:color w:val="auto"/>
              </w:rPr>
            </w:pPr>
          </w:p>
        </w:tc>
      </w:tr>
      <w:tr>
        <w:trPr>
          <w:trHeight w:val="199"/>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6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Instance Document- the instance document does not appear in the Interactive Data File because its XBRL tags are embedded</w:t>
            </w:r>
          </w:p>
        </w:tc>
      </w:tr>
      <w:tr>
        <w:trPr>
          <w:trHeight w:val="229"/>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101.ins *</w:t>
            </w:r>
          </w:p>
        </w:tc>
        <w:tc>
          <w:tcPr>
            <w:tcW w:w="20" w:type="dxa"/>
            <w:vAlign w:val="bottom"/>
          </w:tcPr>
          <w:p>
            <w:pPr>
              <w:spacing w:after="0"/>
              <w:rPr>
                <w:sz w:val="19"/>
                <w:szCs w:val="19"/>
                <w:color w:val="auto"/>
              </w:rPr>
            </w:pPr>
          </w:p>
        </w:tc>
        <w:tc>
          <w:tcPr>
            <w:tcW w:w="886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within the Inline XBRL document</w:t>
            </w:r>
          </w:p>
        </w:tc>
      </w:tr>
      <w:tr>
        <w:trPr>
          <w:trHeight w:val="219"/>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101.sch *</w:t>
            </w:r>
          </w:p>
        </w:tc>
        <w:tc>
          <w:tcPr>
            <w:tcW w:w="20" w:type="dxa"/>
            <w:vAlign w:val="bottom"/>
          </w:tcPr>
          <w:p>
            <w:pPr>
              <w:spacing w:after="0"/>
              <w:rPr>
                <w:sz w:val="19"/>
                <w:szCs w:val="19"/>
                <w:color w:val="auto"/>
              </w:rPr>
            </w:pPr>
          </w:p>
        </w:tc>
        <w:tc>
          <w:tcPr>
            <w:tcW w:w="886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XBRL Taxonomy Schema Linkbase Document</w:t>
            </w:r>
          </w:p>
        </w:tc>
      </w:tr>
      <w:tr>
        <w:trPr>
          <w:trHeight w:val="219"/>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101.cal *</w:t>
            </w:r>
          </w:p>
        </w:tc>
        <w:tc>
          <w:tcPr>
            <w:tcW w:w="20" w:type="dxa"/>
            <w:vAlign w:val="bottom"/>
          </w:tcPr>
          <w:p>
            <w:pPr>
              <w:spacing w:after="0"/>
              <w:rPr>
                <w:sz w:val="19"/>
                <w:szCs w:val="19"/>
                <w:color w:val="auto"/>
              </w:rPr>
            </w:pPr>
          </w:p>
        </w:tc>
        <w:tc>
          <w:tcPr>
            <w:tcW w:w="886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XBRL Taxonomy Calculation Linkbase Document</w:t>
            </w:r>
          </w:p>
        </w:tc>
      </w:tr>
      <w:tr>
        <w:trPr>
          <w:trHeight w:val="219"/>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101.def *</w:t>
            </w:r>
          </w:p>
        </w:tc>
        <w:tc>
          <w:tcPr>
            <w:tcW w:w="20" w:type="dxa"/>
            <w:vAlign w:val="bottom"/>
          </w:tcPr>
          <w:p>
            <w:pPr>
              <w:spacing w:after="0"/>
              <w:rPr>
                <w:sz w:val="19"/>
                <w:szCs w:val="19"/>
                <w:color w:val="auto"/>
              </w:rPr>
            </w:pPr>
          </w:p>
        </w:tc>
        <w:tc>
          <w:tcPr>
            <w:tcW w:w="886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XBRL Taxonomy Definition Linkbase Document</w:t>
            </w:r>
          </w:p>
        </w:tc>
      </w:tr>
      <w:tr>
        <w:trPr>
          <w:trHeight w:val="219"/>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101.lab *</w:t>
            </w:r>
          </w:p>
        </w:tc>
        <w:tc>
          <w:tcPr>
            <w:tcW w:w="20" w:type="dxa"/>
            <w:vAlign w:val="bottom"/>
          </w:tcPr>
          <w:p>
            <w:pPr>
              <w:spacing w:after="0"/>
              <w:rPr>
                <w:sz w:val="19"/>
                <w:szCs w:val="19"/>
                <w:color w:val="auto"/>
              </w:rPr>
            </w:pPr>
          </w:p>
        </w:tc>
        <w:tc>
          <w:tcPr>
            <w:tcW w:w="886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XBRL Taxonomy Label Linkbase Document</w:t>
            </w:r>
          </w:p>
        </w:tc>
      </w:tr>
      <w:tr>
        <w:trPr>
          <w:trHeight w:val="22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101.pre *</w:t>
            </w:r>
          </w:p>
        </w:tc>
        <w:tc>
          <w:tcPr>
            <w:tcW w:w="20" w:type="dxa"/>
            <w:vAlign w:val="bottom"/>
          </w:tcPr>
          <w:p>
            <w:pPr>
              <w:spacing w:after="0"/>
              <w:rPr>
                <w:sz w:val="19"/>
                <w:szCs w:val="19"/>
                <w:color w:val="auto"/>
              </w:rPr>
            </w:pPr>
          </w:p>
        </w:tc>
        <w:tc>
          <w:tcPr>
            <w:tcW w:w="886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XBRL Taxonomy Presentation Linkbase Document</w:t>
            </w:r>
          </w:p>
        </w:tc>
      </w:tr>
      <w:tr>
        <w:trPr>
          <w:trHeight w:val="245"/>
        </w:trPr>
        <w:tc>
          <w:tcPr>
            <w:tcW w:w="2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6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7"/>
          <w:szCs w:val="17"/>
          <w:color w:val="auto"/>
        </w:rPr>
        <w:t>*</w:t>
        <w:tab/>
        <w:t>Filed herewith</w:t>
      </w:r>
    </w:p>
    <w:p>
      <w:pPr>
        <w:spacing w:after="0" w:line="114" w:lineRule="exact"/>
        <w:rPr>
          <w:sz w:val="20"/>
          <w:szCs w:val="20"/>
          <w:color w:val="auto"/>
        </w:rPr>
      </w:pPr>
    </w:p>
    <w:p>
      <w:pPr>
        <w:jc w:val="both"/>
        <w:ind w:firstLine="3"/>
        <w:spacing w:after="0" w:line="236" w:lineRule="auto"/>
        <w:tabs>
          <w:tab w:leader="none" w:pos="241"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information in this exhibit is furnished and deemed not filed with the Securities and Exchange Commission for purposes of section 18 of the Exchange Act of 1934, as amended (the "Exchange Act"), and is not to be incorporated by reference into any filing of Magnite, Inc. under the Securities Act of 1933, as amended (the "Securities Act"), or the Exchange Act,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586105</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ind w:right="159" w:firstLine="172"/>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8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MAGNITE, INC. (Registrant)</w:t>
      </w:r>
    </w:p>
    <w:p>
      <w:pPr>
        <w:spacing w:after="0" w:line="6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3596005</wp:posOffset>
            </wp:positionH>
            <wp:positionV relativeFrom="paragraph">
              <wp:posOffset>33655</wp:posOffset>
            </wp:positionV>
            <wp:extent cx="349567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3495675" cy="8255"/>
                    </a:xfrm>
                    <a:prstGeom prst="rect">
                      <a:avLst/>
                    </a:prstGeom>
                    <a:noFill/>
                  </pic:spPr>
                </pic:pic>
              </a:graphicData>
            </a:graphic>
          </wp:anchor>
        </w:drawing>
      </w:r>
    </w:p>
    <w:p>
      <w:pPr>
        <w:spacing w:after="0" w:line="5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David Day</w:t>
      </w:r>
    </w:p>
    <w:p>
      <w:pPr>
        <w:spacing w:after="0" w:line="6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(Principal Financial Officer and Duly Authorized Officer)</w:t>
      </w:r>
    </w:p>
    <w:p>
      <w:pPr>
        <w:spacing w:after="0" w:line="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Date May 7, 2025</w:t>
      </w:r>
    </w:p>
    <w:p>
      <w:pPr>
        <w:sectPr>
          <w:pgSz w:w="11900" w:h="16838" w:orient="portrait"/>
          <w:cols w:equalWidth="0" w:num="1">
            <w:col w:w="10139"/>
          </w:cols>
          <w:pgMar w:left="320" w:top="123" w:right="1440" w:bottom="1440" w:gutter="0" w:footer="0" w:header="0"/>
        </w:sectPr>
      </w:pPr>
    </w:p>
    <w:bookmarkStart w:id="47" w:name="page48"/>
    <w:bookmarkEnd w:id="47"/>
    <w:p>
      <w:pPr>
        <w:ind w:left="9980"/>
        <w:spacing w:after="0"/>
        <w:rPr>
          <w:sz w:val="20"/>
          <w:szCs w:val="20"/>
          <w:color w:val="auto"/>
        </w:rPr>
      </w:pPr>
      <w:r>
        <w:rPr>
          <w:rFonts w:ascii="Times New Roman" w:cs="Times New Roman" w:eastAsia="Times New Roman" w:hAnsi="Times New Roman"/>
          <w:sz w:val="15"/>
          <w:szCs w:val="15"/>
          <w:b w:val="1"/>
          <w:bCs w:val="1"/>
          <w:color w:val="auto"/>
        </w:rPr>
        <w:t>Exhibit 31.1</w:t>
      </w:r>
    </w:p>
    <w:p>
      <w:pPr>
        <w:spacing w:after="0" w:line="2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5"/>
          <w:szCs w:val="15"/>
          <w:b w:val="1"/>
          <w:bCs w:val="1"/>
          <w:color w:val="auto"/>
        </w:rPr>
        <w:t>Certification of Principal Executive Officer</w:t>
      </w:r>
    </w:p>
    <w:p>
      <w:pPr>
        <w:spacing w:after="0" w:line="1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5"/>
          <w:szCs w:val="15"/>
          <w:b w:val="1"/>
          <w:bCs w:val="1"/>
          <w:color w:val="auto"/>
        </w:rPr>
        <w:t>pursuant to</w:t>
      </w:r>
    </w:p>
    <w:p>
      <w:pPr>
        <w:spacing w:after="0" w:line="1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5"/>
          <w:szCs w:val="15"/>
          <w:b w:val="1"/>
          <w:bCs w:val="1"/>
          <w:color w:val="auto"/>
        </w:rPr>
        <w:t>Exchange Act Rules 13a-14(a) and 15d-14(a),</w:t>
      </w:r>
    </w:p>
    <w:p>
      <w:pPr>
        <w:spacing w:after="0" w:line="1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5"/>
          <w:szCs w:val="15"/>
          <w:b w:val="1"/>
          <w:bCs w:val="1"/>
          <w:color w:val="auto"/>
        </w:rPr>
        <w:t>as adopted pursuant to</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Section 302 of the Sarbanes-Oxley Act of 2002</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Michael Barrett, certify that:</w:t>
      </w:r>
    </w:p>
    <w:p>
      <w:pPr>
        <w:spacing w:after="0" w:line="266" w:lineRule="exact"/>
        <w:rPr>
          <w:sz w:val="20"/>
          <w:szCs w:val="20"/>
          <w:color w:val="auto"/>
        </w:rPr>
      </w:pPr>
    </w:p>
    <w:p>
      <w:pPr>
        <w:ind w:left="1240" w:hanging="618"/>
        <w:spacing w:after="0"/>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I have reviewed this Quarterly Report on Form 10-Q of Magnite, Inc.;</w:t>
      </w:r>
    </w:p>
    <w:p>
      <w:pPr>
        <w:spacing w:after="0" w:line="242" w:lineRule="exact"/>
        <w:rPr>
          <w:rFonts w:ascii="Times New Roman" w:cs="Times New Roman" w:eastAsia="Times New Roman" w:hAnsi="Times New Roman"/>
          <w:sz w:val="17"/>
          <w:szCs w:val="17"/>
          <w:color w:val="auto"/>
        </w:rPr>
      </w:pPr>
    </w:p>
    <w:p>
      <w:pPr>
        <w:ind w:left="1240" w:right="280" w:hanging="618"/>
        <w:spacing w:after="0" w:line="275" w:lineRule="auto"/>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Times New Roman" w:cs="Times New Roman" w:eastAsia="Times New Roman" w:hAnsi="Times New Roman"/>
          <w:sz w:val="17"/>
          <w:szCs w:val="17"/>
          <w:color w:val="auto"/>
        </w:rPr>
      </w:pPr>
    </w:p>
    <w:p>
      <w:pPr>
        <w:ind w:left="1240" w:right="360" w:hanging="618"/>
        <w:spacing w:after="0" w:line="275" w:lineRule="auto"/>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0" w:lineRule="exact"/>
        <w:rPr>
          <w:rFonts w:ascii="Times New Roman" w:cs="Times New Roman" w:eastAsia="Times New Roman" w:hAnsi="Times New Roman"/>
          <w:sz w:val="17"/>
          <w:szCs w:val="17"/>
          <w:color w:val="auto"/>
        </w:rPr>
      </w:pPr>
    </w:p>
    <w:p>
      <w:pPr>
        <w:ind w:left="1240" w:right="80" w:hanging="618"/>
        <w:spacing w:after="0" w:line="260" w:lineRule="auto"/>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ind w:left="1700" w:right="200" w:hanging="459"/>
        <w:spacing w:after="0" w:line="288" w:lineRule="auto"/>
        <w:tabs>
          <w:tab w:leader="none" w:pos="1515" w:val="left"/>
        </w:tabs>
        <w:numPr>
          <w:ilvl w:val="1"/>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5"/>
          <w:szCs w:val="15"/>
          <w:color w:val="auto"/>
        </w:rPr>
      </w:pPr>
    </w:p>
    <w:p>
      <w:pPr>
        <w:ind w:left="1700" w:right="300" w:hanging="459"/>
        <w:spacing w:after="0" w:line="279" w:lineRule="auto"/>
        <w:tabs>
          <w:tab w:leader="none" w:pos="1524" w:val="left"/>
        </w:tabs>
        <w:numPr>
          <w:ilvl w:val="1"/>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Times New Roman" w:cs="Times New Roman" w:eastAsia="Times New Roman" w:hAnsi="Times New Roman"/>
          <w:sz w:val="15"/>
          <w:szCs w:val="15"/>
          <w:color w:val="auto"/>
        </w:rPr>
      </w:pPr>
    </w:p>
    <w:p>
      <w:pPr>
        <w:ind w:left="1700" w:right="120" w:hanging="459"/>
        <w:spacing w:after="0" w:line="307" w:lineRule="auto"/>
        <w:tabs>
          <w:tab w:leader="none" w:pos="1515" w:val="left"/>
        </w:tabs>
        <w:numPr>
          <w:ilvl w:val="1"/>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5"/>
          <w:szCs w:val="15"/>
          <w:color w:val="auto"/>
        </w:rPr>
      </w:pPr>
    </w:p>
    <w:p>
      <w:pPr>
        <w:ind w:left="1700" w:right="60" w:hanging="459"/>
        <w:spacing w:after="0" w:line="288" w:lineRule="auto"/>
        <w:tabs>
          <w:tab w:leader="none" w:pos="1524" w:val="left"/>
        </w:tabs>
        <w:numPr>
          <w:ilvl w:val="1"/>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Times New Roman" w:cs="Times New Roman" w:eastAsia="Times New Roman" w:hAnsi="Times New Roman"/>
          <w:sz w:val="15"/>
          <w:szCs w:val="15"/>
          <w:color w:val="auto"/>
        </w:rPr>
      </w:pPr>
    </w:p>
    <w:p>
      <w:pPr>
        <w:ind w:left="1240" w:hanging="618"/>
        <w:spacing w:after="0" w:line="275" w:lineRule="auto"/>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Times New Roman" w:cs="Times New Roman" w:eastAsia="Times New Roman" w:hAnsi="Times New Roman"/>
          <w:sz w:val="17"/>
          <w:szCs w:val="17"/>
          <w:color w:val="auto"/>
        </w:rPr>
      </w:pPr>
    </w:p>
    <w:p>
      <w:pPr>
        <w:ind w:left="1700" w:right="240" w:hanging="459"/>
        <w:spacing w:after="0" w:line="307" w:lineRule="auto"/>
        <w:tabs>
          <w:tab w:leader="none" w:pos="1554" w:val="left"/>
        </w:tabs>
        <w:numPr>
          <w:ilvl w:val="1"/>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Times New Roman" w:cs="Times New Roman" w:eastAsia="Times New Roman" w:hAnsi="Times New Roman"/>
          <w:sz w:val="15"/>
          <w:szCs w:val="15"/>
          <w:color w:val="auto"/>
        </w:rPr>
      </w:pPr>
    </w:p>
    <w:p>
      <w:pPr>
        <w:ind w:left="1700" w:right="400" w:hanging="421"/>
        <w:spacing w:after="0" w:line="307" w:lineRule="auto"/>
        <w:tabs>
          <w:tab w:leader="none" w:pos="1601" w:val="left"/>
        </w:tabs>
        <w:numPr>
          <w:ilvl w:val="2"/>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1240" w:type="dxa"/>
        <w:tblCellMar>
          <w:top w:w="0" w:type="dxa"/>
          <w:left w:w="0" w:type="dxa"/>
          <w:bottom w:w="0" w:type="dxa"/>
          <w:right w:w="0" w:type="dxa"/>
        </w:tblCellMar>
      </w:tblPr>
      <w:tr>
        <w:trPr>
          <w:trHeight w:val="203"/>
        </w:trPr>
        <w:tc>
          <w:tcPr>
            <w:tcW w:w="5420" w:type="dxa"/>
            <w:vAlign w:val="bottom"/>
          </w:tcPr>
          <w:p>
            <w:pPr>
              <w:ind w:left="2740"/>
              <w:spacing w:after="0"/>
              <w:rPr>
                <w:sz w:val="20"/>
                <w:szCs w:val="20"/>
                <w:color w:val="auto"/>
              </w:rPr>
            </w:pPr>
            <w:r>
              <w:rPr>
                <w:rFonts w:ascii="Times New Roman" w:cs="Times New Roman" w:eastAsia="Times New Roman" w:hAnsi="Times New Roman"/>
                <w:sz w:val="15"/>
                <w:szCs w:val="15"/>
                <w:color w:val="auto"/>
              </w:rPr>
              <w:t>Signature:</w:t>
            </w:r>
          </w:p>
        </w:tc>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Michael Barrett</w:t>
            </w:r>
          </w:p>
        </w:tc>
        <w:tc>
          <w:tcPr>
            <w:tcW w:w="0" w:type="dxa"/>
            <w:vAlign w:val="bottom"/>
          </w:tcPr>
          <w:p>
            <w:pPr>
              <w:spacing w:after="0"/>
              <w:rPr>
                <w:sz w:val="1"/>
                <w:szCs w:val="1"/>
                <w:color w:val="auto"/>
              </w:rPr>
            </w:pPr>
          </w:p>
        </w:tc>
      </w:tr>
      <w:tr>
        <w:trPr>
          <w:trHeight w:val="229"/>
        </w:trPr>
        <w:tc>
          <w:tcPr>
            <w:tcW w:w="5420" w:type="dxa"/>
            <w:vAlign w:val="bottom"/>
          </w:tcPr>
          <w:p>
            <w:pPr>
              <w:spacing w:after="0"/>
              <w:rPr>
                <w:sz w:val="19"/>
                <w:szCs w:val="19"/>
                <w:color w:val="auto"/>
              </w:rPr>
            </w:pPr>
          </w:p>
        </w:tc>
        <w:tc>
          <w:tcPr>
            <w:tcW w:w="3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Michael Barrett</w:t>
            </w:r>
          </w:p>
        </w:tc>
        <w:tc>
          <w:tcPr>
            <w:tcW w:w="0" w:type="dxa"/>
            <w:vAlign w:val="bottom"/>
          </w:tcPr>
          <w:p>
            <w:pPr>
              <w:spacing w:after="0"/>
              <w:rPr>
                <w:sz w:val="1"/>
                <w:szCs w:val="1"/>
                <w:color w:val="auto"/>
              </w:rPr>
            </w:pPr>
          </w:p>
        </w:tc>
      </w:tr>
      <w:tr>
        <w:trPr>
          <w:trHeight w:val="180"/>
        </w:trPr>
        <w:tc>
          <w:tcPr>
            <w:tcW w:w="5420" w:type="dxa"/>
            <w:vAlign w:val="bottom"/>
          </w:tcPr>
          <w:p>
            <w:pPr>
              <w:spacing w:after="0"/>
              <w:rPr>
                <w:sz w:val="15"/>
                <w:szCs w:val="15"/>
                <w:color w:val="auto"/>
              </w:rPr>
            </w:pPr>
          </w:p>
        </w:tc>
        <w:tc>
          <w:tcPr>
            <w:tcW w:w="3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Chief Executive Officer</w:t>
            </w:r>
          </w:p>
        </w:tc>
        <w:tc>
          <w:tcPr>
            <w:tcW w:w="0" w:type="dxa"/>
            <w:vAlign w:val="bottom"/>
          </w:tcPr>
          <w:p>
            <w:pPr>
              <w:spacing w:after="0"/>
              <w:rPr>
                <w:sz w:val="1"/>
                <w:szCs w:val="1"/>
                <w:color w:val="auto"/>
              </w:rPr>
            </w:pPr>
          </w:p>
        </w:tc>
      </w:tr>
      <w:tr>
        <w:trPr>
          <w:trHeight w:val="200"/>
        </w:trPr>
        <w:tc>
          <w:tcPr>
            <w:tcW w:w="54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Date May 7, 2025</w:t>
            </w:r>
          </w:p>
        </w:tc>
        <w:tc>
          <w:tcPr>
            <w:tcW w:w="33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(Principal Executive Officer)</w:t>
            </w:r>
          </w:p>
        </w:tc>
        <w:tc>
          <w:tcPr>
            <w:tcW w:w="0" w:type="dxa"/>
            <w:vAlign w:val="bottom"/>
          </w:tcPr>
          <w:p>
            <w:pPr>
              <w:spacing w:after="0"/>
              <w:rPr>
                <w:sz w:val="1"/>
                <w:szCs w:val="1"/>
                <w:color w:val="auto"/>
              </w:rPr>
            </w:pPr>
          </w:p>
        </w:tc>
      </w:tr>
      <w:tr>
        <w:trPr>
          <w:trHeight w:val="52"/>
        </w:trPr>
        <w:tc>
          <w:tcPr>
            <w:tcW w:w="5420" w:type="dxa"/>
            <w:vAlign w:val="bottom"/>
            <w:vMerge w:val="continue"/>
          </w:tcPr>
          <w:p>
            <w:pPr>
              <w:spacing w:after="0"/>
              <w:rPr>
                <w:sz w:val="4"/>
                <w:szCs w:val="4"/>
                <w:color w:val="auto"/>
              </w:rPr>
            </w:pPr>
          </w:p>
        </w:tc>
        <w:tc>
          <w:tcPr>
            <w:tcW w:w="338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858" w:right="359" w:bottom="1440" w:gutter="0" w:footer="0" w:header="0"/>
        </w:sectPr>
      </w:pPr>
    </w:p>
    <w:bookmarkStart w:id="48" w:name="page49"/>
    <w:bookmarkEnd w:id="48"/>
    <w:p>
      <w:pPr>
        <w:ind w:left="9660"/>
        <w:spacing w:after="0"/>
        <w:rPr>
          <w:sz w:val="20"/>
          <w:szCs w:val="20"/>
          <w:color w:val="auto"/>
        </w:rPr>
      </w:pPr>
      <w:r>
        <w:rPr>
          <w:rFonts w:ascii="Times New Roman" w:cs="Times New Roman" w:eastAsia="Times New Roman" w:hAnsi="Times New Roman"/>
          <w:sz w:val="15"/>
          <w:szCs w:val="15"/>
          <w:b w:val="1"/>
          <w:bCs w:val="1"/>
          <w:color w:val="auto"/>
        </w:rPr>
        <w:t>Exhibit 31.2</w:t>
      </w:r>
    </w:p>
    <w:p>
      <w:pPr>
        <w:spacing w:after="0" w:line="24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5"/>
          <w:szCs w:val="15"/>
          <w:b w:val="1"/>
          <w:bCs w:val="1"/>
          <w:color w:val="auto"/>
        </w:rPr>
        <w:t>Certification of Principal Financial Officer</w:t>
      </w:r>
    </w:p>
    <w:p>
      <w:pPr>
        <w:spacing w:after="0" w:line="3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5"/>
          <w:szCs w:val="15"/>
          <w:b w:val="1"/>
          <w:bCs w:val="1"/>
          <w:color w:val="auto"/>
        </w:rPr>
        <w:t>pursuant to</w:t>
      </w:r>
    </w:p>
    <w:p>
      <w:pPr>
        <w:spacing w:after="0" w:line="1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5"/>
          <w:szCs w:val="15"/>
          <w:b w:val="1"/>
          <w:bCs w:val="1"/>
          <w:color w:val="auto"/>
        </w:rPr>
        <w:t>Exchange Act Rules 13a-14(a) and 15d-14(a),</w:t>
      </w:r>
    </w:p>
    <w:p>
      <w:pPr>
        <w:spacing w:after="0" w:line="1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5"/>
          <w:szCs w:val="15"/>
          <w:b w:val="1"/>
          <w:bCs w:val="1"/>
          <w:color w:val="auto"/>
        </w:rPr>
        <w:t>as adopted pursuant to</w:t>
      </w:r>
    </w:p>
    <w:p>
      <w:pPr>
        <w:spacing w:after="0" w:line="1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Section 302 of the Sarbanes-Oxley Act of 2002</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David Day, certify that:</w:t>
      </w:r>
    </w:p>
    <w:p>
      <w:pPr>
        <w:spacing w:after="0" w:line="266" w:lineRule="exact"/>
        <w:rPr>
          <w:sz w:val="20"/>
          <w:szCs w:val="20"/>
          <w:color w:val="auto"/>
        </w:rPr>
      </w:pPr>
    </w:p>
    <w:p>
      <w:pPr>
        <w:ind w:left="920" w:hanging="463"/>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I have reviewed this Quarterly Report on Form 10-Q of Magnite, Inc.;</w:t>
      </w:r>
    </w:p>
    <w:p>
      <w:pPr>
        <w:spacing w:after="0" w:line="242" w:lineRule="exact"/>
        <w:rPr>
          <w:rFonts w:ascii="Times New Roman" w:cs="Times New Roman" w:eastAsia="Times New Roman" w:hAnsi="Times New Roman"/>
          <w:sz w:val="17"/>
          <w:szCs w:val="17"/>
          <w:color w:val="auto"/>
        </w:rPr>
      </w:pPr>
    </w:p>
    <w:p>
      <w:pPr>
        <w:ind w:left="920" w:right="260" w:hanging="463"/>
        <w:spacing w:after="0" w:line="275" w:lineRule="auto"/>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Times New Roman" w:cs="Times New Roman" w:eastAsia="Times New Roman" w:hAnsi="Times New Roman"/>
          <w:sz w:val="17"/>
          <w:szCs w:val="17"/>
          <w:color w:val="auto"/>
        </w:rPr>
      </w:pPr>
    </w:p>
    <w:p>
      <w:pPr>
        <w:ind w:left="920" w:right="340" w:hanging="463"/>
        <w:spacing w:after="0" w:line="275" w:lineRule="auto"/>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0" w:lineRule="exact"/>
        <w:rPr>
          <w:rFonts w:ascii="Times New Roman" w:cs="Times New Roman" w:eastAsia="Times New Roman" w:hAnsi="Times New Roman"/>
          <w:sz w:val="17"/>
          <w:szCs w:val="17"/>
          <w:color w:val="auto"/>
        </w:rPr>
      </w:pPr>
    </w:p>
    <w:p>
      <w:pPr>
        <w:ind w:left="920" w:right="60" w:hanging="463"/>
        <w:spacing w:after="0" w:line="260" w:lineRule="auto"/>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87" w:lineRule="exact"/>
        <w:rPr>
          <w:rFonts w:ascii="Times New Roman" w:cs="Times New Roman" w:eastAsia="Times New Roman" w:hAnsi="Times New Roman"/>
          <w:sz w:val="17"/>
          <w:szCs w:val="17"/>
          <w:color w:val="auto"/>
        </w:rPr>
      </w:pPr>
    </w:p>
    <w:p>
      <w:pPr>
        <w:ind w:left="1540" w:right="120" w:hanging="465"/>
        <w:spacing w:after="0" w:line="279" w:lineRule="auto"/>
        <w:tabs>
          <w:tab w:leader="none" w:pos="1531" w:val="left"/>
        </w:tabs>
        <w:numPr>
          <w:ilvl w:val="1"/>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Times New Roman" w:cs="Times New Roman" w:eastAsia="Times New Roman" w:hAnsi="Times New Roman"/>
          <w:sz w:val="15"/>
          <w:szCs w:val="15"/>
          <w:color w:val="auto"/>
        </w:rPr>
      </w:pPr>
    </w:p>
    <w:p>
      <w:pPr>
        <w:ind w:left="1540" w:right="120" w:hanging="465"/>
        <w:spacing w:after="0" w:line="279" w:lineRule="auto"/>
        <w:tabs>
          <w:tab w:leader="none" w:pos="1540" w:val="left"/>
        </w:tabs>
        <w:numPr>
          <w:ilvl w:val="1"/>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Times New Roman" w:cs="Times New Roman" w:eastAsia="Times New Roman" w:hAnsi="Times New Roman"/>
          <w:sz w:val="15"/>
          <w:szCs w:val="15"/>
          <w:color w:val="auto"/>
        </w:rPr>
      </w:pPr>
    </w:p>
    <w:p>
      <w:pPr>
        <w:ind w:left="1540" w:hanging="465"/>
        <w:spacing w:after="0" w:line="289" w:lineRule="auto"/>
        <w:tabs>
          <w:tab w:leader="none" w:pos="1531" w:val="left"/>
        </w:tabs>
        <w:numPr>
          <w:ilvl w:val="1"/>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5"/>
          <w:szCs w:val="15"/>
          <w:color w:val="auto"/>
        </w:rPr>
      </w:pPr>
    </w:p>
    <w:p>
      <w:pPr>
        <w:ind w:left="1540" w:right="40" w:hanging="465"/>
        <w:spacing w:after="0" w:line="279" w:lineRule="auto"/>
        <w:tabs>
          <w:tab w:leader="none" w:pos="1540" w:val="left"/>
        </w:tabs>
        <w:numPr>
          <w:ilvl w:val="1"/>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Times New Roman" w:cs="Times New Roman" w:eastAsia="Times New Roman" w:hAnsi="Times New Roman"/>
          <w:sz w:val="15"/>
          <w:szCs w:val="15"/>
          <w:color w:val="auto"/>
        </w:rPr>
      </w:pPr>
    </w:p>
    <w:p>
      <w:pPr>
        <w:ind w:left="920" w:right="120" w:hanging="463"/>
        <w:spacing w:after="0" w:line="307" w:lineRule="auto"/>
        <w:tabs>
          <w:tab w:leader="none" w:pos="782"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Times New Roman" w:cs="Times New Roman" w:eastAsia="Times New Roman" w:hAnsi="Times New Roman"/>
          <w:sz w:val="15"/>
          <w:szCs w:val="15"/>
          <w:color w:val="auto"/>
        </w:rPr>
      </w:pPr>
    </w:p>
    <w:p>
      <w:pPr>
        <w:ind w:left="1540" w:right="100" w:hanging="465"/>
        <w:spacing w:after="0" w:line="289" w:lineRule="auto"/>
        <w:tabs>
          <w:tab w:leader="none" w:pos="1531" w:val="left"/>
        </w:tabs>
        <w:numPr>
          <w:ilvl w:val="1"/>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Times New Roman" w:cs="Times New Roman" w:eastAsia="Times New Roman" w:hAnsi="Times New Roman"/>
          <w:sz w:val="15"/>
          <w:szCs w:val="15"/>
          <w:color w:val="auto"/>
        </w:rPr>
      </w:pPr>
    </w:p>
    <w:p>
      <w:pPr>
        <w:ind w:left="1540" w:right="120" w:hanging="465"/>
        <w:spacing w:after="0" w:line="289" w:lineRule="auto"/>
        <w:tabs>
          <w:tab w:leader="none" w:pos="1540" w:val="left"/>
        </w:tabs>
        <w:numPr>
          <w:ilvl w:val="1"/>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1" w:lineRule="exact"/>
        <w:rPr>
          <w:sz w:val="20"/>
          <w:szCs w:val="20"/>
          <w:color w:val="auto"/>
        </w:rPr>
      </w:pPr>
    </w:p>
    <w:tbl>
      <w:tblPr>
        <w:tblLayout w:type="fixed"/>
        <w:tblInd w:w="920" w:type="dxa"/>
        <w:tblCellMar>
          <w:top w:w="0" w:type="dxa"/>
          <w:left w:w="0" w:type="dxa"/>
          <w:bottom w:w="0" w:type="dxa"/>
          <w:right w:w="0" w:type="dxa"/>
        </w:tblCellMar>
      </w:tblPr>
      <w:tr>
        <w:trPr>
          <w:trHeight w:val="203"/>
        </w:trPr>
        <w:tc>
          <w:tcPr>
            <w:tcW w:w="5400" w:type="dxa"/>
            <w:vAlign w:val="bottom"/>
          </w:tcPr>
          <w:p>
            <w:pPr>
              <w:ind w:left="2740"/>
              <w:spacing w:after="0"/>
              <w:rPr>
                <w:sz w:val="20"/>
                <w:szCs w:val="20"/>
                <w:color w:val="auto"/>
              </w:rPr>
            </w:pPr>
            <w:r>
              <w:rPr>
                <w:rFonts w:ascii="Times New Roman" w:cs="Times New Roman" w:eastAsia="Times New Roman" w:hAnsi="Times New Roman"/>
                <w:sz w:val="15"/>
                <w:szCs w:val="15"/>
                <w:color w:val="auto"/>
              </w:rPr>
              <w:t>Signature:</w:t>
            </w:r>
          </w:p>
        </w:tc>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David Day</w:t>
            </w:r>
          </w:p>
        </w:tc>
        <w:tc>
          <w:tcPr>
            <w:tcW w:w="0" w:type="dxa"/>
            <w:vAlign w:val="bottom"/>
          </w:tcPr>
          <w:p>
            <w:pPr>
              <w:spacing w:after="0"/>
              <w:rPr>
                <w:sz w:val="1"/>
                <w:szCs w:val="1"/>
                <w:color w:val="auto"/>
              </w:rPr>
            </w:pPr>
          </w:p>
        </w:tc>
      </w:tr>
      <w:tr>
        <w:trPr>
          <w:trHeight w:val="229"/>
        </w:trPr>
        <w:tc>
          <w:tcPr>
            <w:tcW w:w="5400" w:type="dxa"/>
            <w:vAlign w:val="bottom"/>
          </w:tcPr>
          <w:p>
            <w:pPr>
              <w:spacing w:after="0"/>
              <w:rPr>
                <w:sz w:val="19"/>
                <w:szCs w:val="19"/>
                <w:color w:val="auto"/>
              </w:rPr>
            </w:pPr>
          </w:p>
        </w:tc>
        <w:tc>
          <w:tcPr>
            <w:tcW w:w="3400" w:type="dxa"/>
            <w:vAlign w:val="bottom"/>
          </w:tcPr>
          <w:p>
            <w:pPr>
              <w:ind w:left="700"/>
              <w:spacing w:after="0"/>
              <w:rPr>
                <w:sz w:val="20"/>
                <w:szCs w:val="20"/>
                <w:color w:val="auto"/>
              </w:rPr>
            </w:pPr>
            <w:r>
              <w:rPr>
                <w:rFonts w:ascii="Times New Roman" w:cs="Times New Roman" w:eastAsia="Times New Roman" w:hAnsi="Times New Roman"/>
                <w:sz w:val="15"/>
                <w:szCs w:val="15"/>
                <w:color w:val="auto"/>
              </w:rPr>
              <w:t>David Day</w:t>
            </w:r>
          </w:p>
        </w:tc>
        <w:tc>
          <w:tcPr>
            <w:tcW w:w="0" w:type="dxa"/>
            <w:vAlign w:val="bottom"/>
          </w:tcPr>
          <w:p>
            <w:pPr>
              <w:spacing w:after="0"/>
              <w:rPr>
                <w:sz w:val="1"/>
                <w:szCs w:val="1"/>
                <w:color w:val="auto"/>
              </w:rPr>
            </w:pPr>
          </w:p>
        </w:tc>
      </w:tr>
      <w:tr>
        <w:trPr>
          <w:trHeight w:val="180"/>
        </w:trPr>
        <w:tc>
          <w:tcPr>
            <w:tcW w:w="5400" w:type="dxa"/>
            <w:vAlign w:val="bottom"/>
          </w:tcPr>
          <w:p>
            <w:pPr>
              <w:spacing w:after="0"/>
              <w:rPr>
                <w:sz w:val="15"/>
                <w:szCs w:val="15"/>
                <w:color w:val="auto"/>
              </w:rPr>
            </w:pPr>
          </w:p>
        </w:tc>
        <w:tc>
          <w:tcPr>
            <w:tcW w:w="3400" w:type="dxa"/>
            <w:vAlign w:val="bottom"/>
          </w:tcPr>
          <w:p>
            <w:pPr>
              <w:ind w:left="700"/>
              <w:spacing w:after="0"/>
              <w:rPr>
                <w:sz w:val="20"/>
                <w:szCs w:val="20"/>
                <w:color w:val="auto"/>
              </w:rPr>
            </w:pPr>
            <w:r>
              <w:rPr>
                <w:rFonts w:ascii="Times New Roman" w:cs="Times New Roman" w:eastAsia="Times New Roman" w:hAnsi="Times New Roman"/>
                <w:sz w:val="15"/>
                <w:szCs w:val="15"/>
                <w:color w:val="auto"/>
              </w:rPr>
              <w:t>Chief Financial Officer</w:t>
            </w:r>
          </w:p>
        </w:tc>
        <w:tc>
          <w:tcPr>
            <w:tcW w:w="0" w:type="dxa"/>
            <w:vAlign w:val="bottom"/>
          </w:tcPr>
          <w:p>
            <w:pPr>
              <w:spacing w:after="0"/>
              <w:rPr>
                <w:sz w:val="1"/>
                <w:szCs w:val="1"/>
                <w:color w:val="auto"/>
              </w:rPr>
            </w:pPr>
          </w:p>
        </w:tc>
      </w:tr>
      <w:tr>
        <w:trPr>
          <w:trHeight w:val="200"/>
        </w:trPr>
        <w:tc>
          <w:tcPr>
            <w:tcW w:w="54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Date May 7, 2025</w:t>
            </w:r>
          </w:p>
        </w:tc>
        <w:tc>
          <w:tcPr>
            <w:tcW w:w="3400" w:type="dxa"/>
            <w:vAlign w:val="bottom"/>
          </w:tcPr>
          <w:p>
            <w:pPr>
              <w:ind w:left="700"/>
              <w:spacing w:after="0"/>
              <w:rPr>
                <w:sz w:val="20"/>
                <w:szCs w:val="20"/>
                <w:color w:val="auto"/>
              </w:rPr>
            </w:pPr>
            <w:r>
              <w:rPr>
                <w:rFonts w:ascii="Times New Roman" w:cs="Times New Roman" w:eastAsia="Times New Roman" w:hAnsi="Times New Roman"/>
                <w:sz w:val="15"/>
                <w:szCs w:val="15"/>
                <w:color w:val="auto"/>
              </w:rPr>
              <w:t>(Principal Financial Officer)</w:t>
            </w:r>
          </w:p>
        </w:tc>
        <w:tc>
          <w:tcPr>
            <w:tcW w:w="0" w:type="dxa"/>
            <w:vAlign w:val="bottom"/>
          </w:tcPr>
          <w:p>
            <w:pPr>
              <w:spacing w:after="0"/>
              <w:rPr>
                <w:sz w:val="1"/>
                <w:szCs w:val="1"/>
                <w:color w:val="auto"/>
              </w:rPr>
            </w:pPr>
          </w:p>
        </w:tc>
      </w:tr>
      <w:tr>
        <w:trPr>
          <w:trHeight w:val="52"/>
        </w:trPr>
        <w:tc>
          <w:tcPr>
            <w:tcW w:w="5400" w:type="dxa"/>
            <w:vAlign w:val="bottom"/>
            <w:vMerge w:val="continue"/>
          </w:tcPr>
          <w:p>
            <w:pPr>
              <w:spacing w:after="0"/>
              <w:rPr>
                <w:sz w:val="4"/>
                <w:szCs w:val="4"/>
                <w:color w:val="auto"/>
              </w:rPr>
            </w:pPr>
          </w:p>
        </w:tc>
        <w:tc>
          <w:tcPr>
            <w:tcW w:w="340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640" w:top="858" w:right="37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5"/>
          <w:szCs w:val="15"/>
          <w:b w:val="1"/>
          <w:bCs w:val="1"/>
          <w:color w:val="auto"/>
        </w:rPr>
        <w:t>Exhibit 32</w:t>
      </w:r>
    </w:p>
    <w:p>
      <w:pPr>
        <w:spacing w:after="0" w:line="330" w:lineRule="exact"/>
        <w:rPr>
          <w:sz w:val="20"/>
          <w:szCs w:val="20"/>
          <w:color w:val="auto"/>
        </w:rPr>
      </w:pPr>
    </w:p>
    <w:p>
      <w:pPr>
        <w:jc w:val="center"/>
        <w:ind w:left="780" w:right="160"/>
        <w:spacing w:after="0" w:line="420" w:lineRule="auto"/>
        <w:rPr>
          <w:sz w:val="20"/>
          <w:szCs w:val="20"/>
          <w:color w:val="auto"/>
        </w:rPr>
      </w:pPr>
      <w:r>
        <w:rPr>
          <w:rFonts w:ascii="Times New Roman" w:cs="Times New Roman" w:eastAsia="Times New Roman" w:hAnsi="Times New Roman"/>
          <w:sz w:val="15"/>
          <w:szCs w:val="15"/>
          <w:b w:val="1"/>
          <w:bCs w:val="1"/>
          <w:color w:val="auto"/>
        </w:rPr>
        <w:t>CERTIFICATIONS OF PRINCIPAL EXECUTIVE OFFICER AND PRINCIPAL FINANCIAL OFFICER PURSUANT TO 18 U.S.C. SECTION 1350, AS ADOPTED PURSUANT TO SECTION 906 OF THE SARBANES-OXLEY ACT OF 2002</w:t>
      </w:r>
    </w:p>
    <w:p>
      <w:pPr>
        <w:spacing w:after="0" w:line="200" w:lineRule="exact"/>
        <w:rPr>
          <w:sz w:val="20"/>
          <w:szCs w:val="20"/>
          <w:color w:val="auto"/>
        </w:rPr>
      </w:pPr>
    </w:p>
    <w:p>
      <w:pPr>
        <w:spacing w:after="0" w:line="206" w:lineRule="exact"/>
        <w:rPr>
          <w:sz w:val="20"/>
          <w:szCs w:val="20"/>
          <w:color w:val="auto"/>
        </w:rPr>
      </w:pPr>
    </w:p>
    <w:p>
      <w:pPr>
        <w:ind w:right="240"/>
        <w:spacing w:after="0" w:line="414" w:lineRule="auto"/>
        <w:rPr>
          <w:sz w:val="20"/>
          <w:szCs w:val="20"/>
          <w:color w:val="auto"/>
        </w:rPr>
      </w:pPr>
      <w:r>
        <w:rPr>
          <w:rFonts w:ascii="Times New Roman" w:cs="Times New Roman" w:eastAsia="Times New Roman" w:hAnsi="Times New Roman"/>
          <w:sz w:val="15"/>
          <w:szCs w:val="15"/>
          <w:color w:val="auto"/>
        </w:rPr>
        <w:t>Pursuant to Section 906 of the Sarbanes-Oxley Act of 2002 (18 U.S.C. 1350), Michael Barrett, Chief Executive Officer (Principal Executive Officer) of Magnite, Inc. (the "Company"), and David Day, Chief Financial Officer (Principal Financial Officer) of the Company, each hereby certifies that, to the best of his knowledge:</w:t>
      </w:r>
    </w:p>
    <w:p>
      <w:pPr>
        <w:spacing w:after="0" w:line="191" w:lineRule="exact"/>
        <w:rPr>
          <w:sz w:val="20"/>
          <w:szCs w:val="20"/>
          <w:color w:val="auto"/>
        </w:rPr>
      </w:pPr>
    </w:p>
    <w:p>
      <w:pPr>
        <w:ind w:left="620" w:right="140" w:hanging="307"/>
        <w:spacing w:after="0" w:line="400"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Our Quarterly Report on Form 10-Q for the quarter ended March 31, 2025, to which this certification is attached as Exhibit 32 (the "Report"), fully complies with the requirements of Section 13(a) or 15(d) of the Securities Exchange Act of 1934; and</w:t>
      </w:r>
    </w:p>
    <w:p>
      <w:pPr>
        <w:spacing w:after="0" w:line="18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Company.</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May 7, 2025</w:t>
      </w:r>
    </w:p>
    <w:p>
      <w:pPr>
        <w:spacing w:after="0" w:line="330"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5"/>
          <w:szCs w:val="15"/>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4225925</wp:posOffset>
            </wp:positionH>
            <wp:positionV relativeFrom="paragraph">
              <wp:posOffset>20955</wp:posOffset>
            </wp:positionV>
            <wp:extent cx="22428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2242820" cy="8255"/>
                    </a:xfrm>
                    <a:prstGeom prst="rect">
                      <a:avLst/>
                    </a:prstGeom>
                    <a:noFill/>
                  </pic:spPr>
                </pic:pic>
              </a:graphicData>
            </a:graphic>
          </wp:anchor>
        </w:drawing>
      </w:r>
    </w:p>
    <w:p>
      <w:pPr>
        <w:spacing w:after="0" w:line="65"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5"/>
          <w:szCs w:val="15"/>
          <w:color w:val="auto"/>
        </w:rPr>
        <w:t>Michael Barrett</w:t>
      </w:r>
    </w:p>
    <w:p>
      <w:pPr>
        <w:spacing w:after="0" w:line="27"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5"/>
          <w:szCs w:val="15"/>
          <w:color w:val="auto"/>
        </w:rPr>
        <w:t>Chief Executive Officer</w:t>
      </w:r>
    </w:p>
    <w:p>
      <w:pPr>
        <w:spacing w:after="0" w:line="18"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5"/>
          <w:szCs w:val="15"/>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5"/>
          <w:szCs w:val="15"/>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4225925</wp:posOffset>
            </wp:positionH>
            <wp:positionV relativeFrom="paragraph">
              <wp:posOffset>20955</wp:posOffset>
            </wp:positionV>
            <wp:extent cx="22428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242820" cy="8255"/>
                    </a:xfrm>
                    <a:prstGeom prst="rect">
                      <a:avLst/>
                    </a:prstGeom>
                    <a:noFill/>
                  </pic:spPr>
                </pic:pic>
              </a:graphicData>
            </a:graphic>
          </wp:anchor>
        </w:drawing>
      </w:r>
    </w:p>
    <w:p>
      <w:pPr>
        <w:spacing w:after="0" w:line="65"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5"/>
          <w:szCs w:val="15"/>
          <w:color w:val="auto"/>
        </w:rPr>
        <w:t>David Day</w:t>
      </w:r>
    </w:p>
    <w:p>
      <w:pPr>
        <w:spacing w:after="0" w:line="27"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5"/>
          <w:szCs w:val="15"/>
          <w:color w:val="auto"/>
        </w:rPr>
        <w:t>Chief Financial Officer</w:t>
      </w:r>
    </w:p>
    <w:p>
      <w:pPr>
        <w:spacing w:after="0" w:line="40"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5"/>
          <w:szCs w:val="15"/>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220"/>
        <w:spacing w:after="0" w:line="414" w:lineRule="auto"/>
        <w:rPr>
          <w:sz w:val="20"/>
          <w:szCs w:val="20"/>
          <w:color w:val="auto"/>
        </w:rPr>
      </w:pPr>
      <w:r>
        <w:rPr>
          <w:rFonts w:ascii="Times New Roman" w:cs="Times New Roman" w:eastAsia="Times New Roman" w:hAnsi="Times New Roman"/>
          <w:sz w:val="15"/>
          <w:szCs w:val="15"/>
          <w:color w:val="auto"/>
        </w:rPr>
        <w:t>The foregoing certifications are being furnished pursuant to 13 U.S.C. Section 1350. They are not being filed for purposes of Section 18 of the Securities Exchange Act of 1934, as amended, and are not to be incorporated by reference into any filing of the Company, regardless of any general incorporation language in such filing.</w:t>
      </w:r>
    </w:p>
    <w:sectPr>
      <w:pgSz w:w="11900" w:h="16838" w:orient="portrait"/>
      <w:cols w:equalWidth="0" w:num="1">
        <w:col w:w="10780"/>
      </w:cols>
      <w:pgMar w:left="320" w:top="897"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212"/>
    </w:lvl>
  </w:abstractNum>
  <w:abstractNum w:abstractNumId="3">
    <w:nsid w:val="140E0F76"/>
    <w:multiLevelType w:val="hybridMultilevel"/>
    <w:lvl w:ilvl="0">
      <w:lvlJc w:val="left"/>
      <w:lvlText w:val="%1)"/>
      <w:numFmt w:val="decimal"/>
      <w:start w:val="740"/>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lowerLetter"/>
      <w:start w:val="3"/>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79" Type="http://schemas.openxmlformats.org/officeDocument/2006/relationships/hyperlink" Target="https://www.sec.gov/Archives/edgar/data/1595974/000119312525056671/d94298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2025-05-07T15:38:04Z</dcterms:created>
  <dcterms:modified xsi:type="dcterms:W3CDTF">2025-05-07T15:38:04Z</dcterms:modified>
</cp:coreProperties>
</file>