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260" w:hanging="20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240" w:right="1020" w:hanging="2210"/>
        <w:spacing w:after="0" w:line="266" w:lineRule="auto"/>
        <w:tabs>
          <w:tab w:leader="none" w:pos="12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1900"/>
        <w:spacing w:after="0"/>
        <w:tabs>
          <w:tab w:leader="none" w:pos="87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620"/>
        <w:spacing w:after="0"/>
        <w:tabs>
          <w:tab w:leader="none" w:pos="786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ind w:left="1300"/>
        <w:spacing w:after="0"/>
        <w:tabs>
          <w:tab w:leader="none" w:pos="4580" w:val="left"/>
          <w:tab w:leader="none" w:pos="5980" w:val="left"/>
          <w:tab w:leader="none" w:pos="9020" w:val="left"/>
        </w:tabs>
        <w:rPr>
          <w:sz w:val="20"/>
          <w:szCs w:val="20"/>
          <w:color w:val="auto"/>
        </w:rPr>
      </w:pPr>
      <w:r>
        <w:rPr>
          <w:rFonts w:ascii="Arial" w:cs="Arial" w:eastAsia="Arial" w:hAnsi="Arial"/>
          <w:sz w:val="18"/>
          <w:szCs w:val="18"/>
          <w:b w:val="1"/>
          <w:bCs w:val="1"/>
          <w:color w:val="auto"/>
        </w:rPr>
        <w:t>12181 Bluff Creek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740" w:hanging="423"/>
        <w:spacing w:after="0"/>
        <w:tabs>
          <w:tab w:leader="none" w:pos="5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80"/>
        <w:spacing w:after="0"/>
        <w:tabs>
          <w:tab w:leader="none" w:pos="4560" w:val="left"/>
          <w:tab w:leader="none" w:pos="72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400"/>
        <w:spacing w:after="0"/>
        <w:tabs>
          <w:tab w:leader="none" w:pos="5020" w:val="left"/>
          <w:tab w:leader="none" w:pos="782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RUBI</w:t>
      </w:r>
      <w:r>
        <w:rPr>
          <w:sz w:val="20"/>
          <w:szCs w:val="20"/>
          <w:color w:val="auto"/>
        </w:rPr>
        <w:tab/>
      </w:r>
      <w:r>
        <w:rPr>
          <w:rFonts w:ascii="Arial" w:cs="Arial" w:eastAsia="Arial" w:hAnsi="Arial"/>
          <w:sz w:val="16"/>
          <w:szCs w:val="16"/>
          <w:b w:val="1"/>
          <w:bCs w:val="1"/>
          <w:color w:val="auto"/>
        </w:rPr>
        <w:t>New York Stock Exchange</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23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216" w:lineRule="exact"/>
        <w:rPr>
          <w:sz w:val="24"/>
          <w:szCs w:val="24"/>
          <w:color w:val="auto"/>
        </w:rPr>
      </w:pPr>
    </w:p>
    <w:p>
      <w:pPr>
        <w:ind w:left="3380"/>
        <w:spacing w:after="0"/>
        <w:tabs>
          <w:tab w:leader="none" w:pos="670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July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37465</wp:posOffset>
            </wp:positionV>
            <wp:extent cx="5325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82" w:lineRule="exact"/>
        <w:rPr>
          <w:sz w:val="24"/>
          <w:szCs w:val="24"/>
          <w:color w:val="auto"/>
        </w:rPr>
      </w:pPr>
    </w:p>
    <w:p>
      <w:pPr>
        <w:ind w:left="2200"/>
        <w:spacing w:after="0"/>
        <w:tabs>
          <w:tab w:leader="none" w:pos="738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52,990,930</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Six Months Ended June 30, 2019 and June 30,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2019 and</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2018</w:t>
              </w:r>
            </w:hyperlink>
          </w:p>
        </w:tc>
        <w:tc>
          <w:tcPr>
            <w:tcW w:w="8100" w:type="dxa"/>
            <w:vAlign w:val="bottom"/>
            <w:tcBorders>
              <w:top w:val="single" w:sz="8" w:color="0000EE"/>
            </w:tcBorders>
            <w:gridSpan w:val="13"/>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Stockholders' Equity for the Three and Six Months Ended June 30, 2019 and June 30,</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80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2019 and June 30, 2018</w:t>
              </w:r>
            </w:hyperlink>
          </w:p>
        </w:tc>
        <w:tc>
          <w:tcPr>
            <w:tcW w:w="1260" w:type="dxa"/>
            <w:vAlign w:val="bottom"/>
            <w:gridSpan w:val="4"/>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8"/>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OTHER INFORMATION</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gridSpan w:val="2"/>
          </w:tcPr>
          <w:p>
            <w:pPr>
              <w:spacing w:after="0"/>
              <w:rPr>
                <w:sz w:val="21"/>
                <w:szCs w:val="21"/>
                <w:color w:val="auto"/>
              </w:rPr>
            </w:pPr>
          </w:p>
        </w:tc>
        <w:tc>
          <w:tcPr>
            <w:tcW w:w="796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507"/>
        </w:trPr>
        <w:tc>
          <w:tcPr>
            <w:tcW w:w="1140" w:type="dxa"/>
            <w:vAlign w:val="bottom"/>
          </w:tcPr>
          <w:p>
            <w:pPr>
              <w:spacing w:after="0"/>
              <w:rPr>
                <w:sz w:val="24"/>
                <w:szCs w:val="24"/>
                <w:color w:val="auto"/>
              </w:rPr>
            </w:pPr>
          </w:p>
        </w:tc>
        <w:tc>
          <w:tcPr>
            <w:tcW w:w="6140" w:type="dxa"/>
            <w:vAlign w:val="bottom"/>
            <w:gridSpan w:val="13"/>
          </w:tcPr>
          <w:p>
            <w:pPr>
              <w:jc w:val="center"/>
              <w:ind w:left="291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80,452</w:t>
            </w:r>
          </w:p>
        </w:tc>
        <w:tc>
          <w:tcPr>
            <w:tcW w:w="0" w:type="dxa"/>
            <w:vAlign w:val="bottom"/>
          </w:tcPr>
          <w:p>
            <w:pPr>
              <w:spacing w:after="0"/>
              <w:rPr>
                <w:sz w:val="1"/>
                <w:szCs w:val="1"/>
                <w:color w:val="auto"/>
              </w:rPr>
            </w:pP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178,025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300,541</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lease asset</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non-current</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334,837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213,157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239,678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 liabilities, current</w:t>
            </w: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240,982</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Lease liabilities, non-current</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229,209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241,999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Preferred stock, $0.00001 par value, 10,000 shares authorized at June 30, 2019 and December 31, 2018; 0</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at June 30, 2019 and December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2"/>
              </w:rPr>
              <w:t>Common stock, $0.00001 par value; 500,000 shares authorized at June 30, 2019 and December 31, 2018;</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900" w:type="dxa"/>
            <w:vAlign w:val="bottom"/>
          </w:tcPr>
          <w:p>
            <w:pPr>
              <w:ind w:left="260"/>
              <w:spacing w:after="0"/>
              <w:rPr>
                <w:sz w:val="20"/>
                <w:szCs w:val="20"/>
                <w:color w:val="auto"/>
              </w:rPr>
            </w:pPr>
            <w:r>
              <w:rPr>
                <w:rFonts w:ascii="Arial" w:cs="Arial" w:eastAsia="Arial" w:hAnsi="Arial"/>
                <w:sz w:val="18"/>
                <w:szCs w:val="18"/>
                <w:color w:val="auto"/>
                <w:w w:val="90"/>
              </w:rPr>
              <w:t>52,984 and 51,159 shares issued and outstanding at June 30, 2019 and December 31, 2018, respectively</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442,353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433,877</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(336,433)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(315,606)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105,628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118,013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334,837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92,174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loss, net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on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1"/>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50,239</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418,354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(253,784)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0" w:type="dxa"/>
            <w:vAlign w:val="bottom"/>
          </w:tcPr>
          <w:p>
            <w:pPr>
              <w:spacing w:after="0"/>
              <w:rPr>
                <w:sz w:val="1"/>
                <w:szCs w:val="1"/>
                <w:color w:val="auto"/>
              </w:rPr>
            </w:pPr>
          </w:p>
        </w:tc>
      </w:tr>
      <w:tr>
        <w:trPr>
          <w:trHeight w:val="231"/>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Balance at March 31, 2018</w:t>
            </w: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50,280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423,009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(281,600)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141,654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employee stock</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4,751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(17,984)</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50,750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427,324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(299,584)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127,664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0" w:type="dxa"/>
            <w:vAlign w:val="bottom"/>
            <w:gridSpan w:val="6"/>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26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1"/>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51,159</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433,877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Exercise of common stock options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1,171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51,765</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436,807</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Exercise of common stock options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employee stock</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1,022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4,949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(8,281)</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2019</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52,984</w:t>
            </w:r>
          </w:p>
        </w:tc>
        <w:tc>
          <w:tcPr>
            <w:tcW w:w="1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442,353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(336,433)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June 30, 2018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17,588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9,164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9,156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Accretion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Non-cash lease expense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(gains) losses,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26,831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12,342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2,351</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(15,287)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internal use software development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Investments in available-for-sale securities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(23,991)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of available-for-sale securities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6,086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17,212</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paid related to net share settlement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(4,395)</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76,642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86,111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72,247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OTHER CASH FLOW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paid for income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stock-based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3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In the second quarter of 2019, the Company announced the beta program for Demand Manager, which helps sellers effectively monetize their advertising inventory by making it easier to deploy, configure, and optimize Prebid-based header bidding solutions. Prebid is a free and open source suite of software products designed by advertising community developers to enable publishers to implement header bidding on their websites and from within their apps. 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6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methods, and allows advertising content to be presented to consumers through different channels. The Company's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86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are transacted through real-time bidding, which includes (i) direct sale of premium inventory, which the Company refers to as private marketplace, or PMP, and (ii) open auction bidding, which the Company refers to as open marketplace, or OMP; and</w:t>
      </w: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operates in the rapidly changing advertising industry and has faced demands by ad tech buyers for more efficiency and lower costs, changes in bidding technologies, and increased competition. The Company has adjusted its pricing model, which has reduced margins, and has lowered its expense structure to address these changes in the industry, resulting in net operating losses. The Company continues to incur net operating losses, despite having increased revenues and reduced costs. The Company must continue to increase revenues and/or manage costs in order to compensate for reduced margins, or it may not be able to grow its business and may continue to operate at a loss, depleting its cash resources and liquidity. If the Company continues to experience significant operating losses in the future, the Company may require additional liquidity to fund its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six months ended June 30, 2019 are not necessarily indicative of the results that may be expected for any future interim period, the year ending December 31, 2019, or for any future year.</w:t>
      </w:r>
    </w:p>
    <w:p>
      <w:pPr>
        <w:spacing w:after="0" w:line="5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2018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2018 included in its 2018 Annual Report on Form 10-K.</w:t>
      </w:r>
    </w:p>
    <w:p>
      <w:pPr>
        <w:spacing w:after="0" w:line="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adopted Accounting Standards Codification Topic 842 ("ASC 842")—</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using a modified retrospective approach. The adoption of this standard impacted only the financial statements included as of June 30, 2019 and for the three and six months ended June 30, 2019. See below for additional information regarding the Company's adoption of ASC 842. Aside from the adoption of ASC 842, there have been no significant changes in the Company's accounting policies from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those disclosed in its audited consolidated financial statements and notes thereto for the year ended December 31, 2018 included in its Annual Report on Form 10-K.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ASC 842</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January 1, 2019, the Company adopted ASC 842, which requires the recognition of the right-of-use assets, or ROU assets, and related lease liabilities on the balance sheet using a modified retrospective approach. The consolidated financial statements related to periods prior to January 1, 2019 were not restated, and continue to be reported under ASC Topic 840—</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which did not require the recognition of operating lease liabilities on the balance sheet. As a result, the consolidated financial statements related to periods prior to January 1, 2019 are not entirely comparative with current and future periods. As permitted under ASC 842, the Company elected several practical expedients that permit the Company to not reassess (1) whether existing contracts are or contain a lease, (2) the classification of existing leases, and (3) whether previously capitalized costs continue to qualify as initial indirect costs. In addition, the Company has elected not to recognize short-term leases on our balance sheet, nor separate lease and non-lease components for our data center leases. In addition, we utilized the portfolio approach to group leases with similar characteristics and did not use hindsight to determine lease term.</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to the leases previously reported under ASC 840, the Company also reviewed its data center agreements to identify non-lease components that should not be included in the lease liability and lease expense under ASC 842. Certain fixed non-lease components of data center leases, primarily fixed minimum power commitments, have been included in the lease liability and ROU asset as the Company has elected the practical expedient for its data centers to not separate the lease and non-lease components; however, variable components have not been included. For identified leases, the Company used its incremental borrowing rate to discount the related future payment obligations as of January 1, 2019 to determine its lease liability as of adoption. As of the adoption date, the Company recognized a lease liability of $15.6 million and a corresponding ROU asset of $14.3 million; there was no equity impact from the adoption. The difference between the lease liability and the ROU asset primarily represents the existing deferred rent liabilities balances before adoption, resulting from historical straight-lining of operating leases, which was effectively reclassified upon adoption to reduce the measurement of the ROU asset.</w:t>
      </w:r>
    </w:p>
    <w:p>
      <w:pPr>
        <w:spacing w:after="0" w:line="29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lease liability is included in lease liabilities, current and lease liabilities, non-current within the condensed consolidated balance sheet, which are reduced as lease related payments are made. The ROU asset is amortized on a periodic basis over the expected term of the lease. See Note 11 for additional information.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March 2019, the Financial Accounting Standards Board issued ASU 2019-01—</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xml:space="preserve"> ("ASU 2019-01"), which clarifies certain topics around lease guidance. One of the provisions of ASU 2019-01 pertains to the Company as it updates existing guidance by explicitly allowing an exception to transition disclosures typically required, while adopting ASC 842. Under this guidance, entities that have adopted ASC 842 are not required to provide identical disclosures for the comparative previous year period in the year of adoption. ASU 2019-01 is required to be adopted concurrently with the adoption of ASC 842, and as such, the Company adopted ASU 2019-01 during the first quarter of 2019.</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64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unvested restricted stock</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Weighted-average common shares outstanding used to compute net loss per</w:t>
            </w:r>
          </w:p>
        </w:tc>
        <w:tc>
          <w:tcPr>
            <w:tcW w:w="2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52,358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50,071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51,969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49,883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6320"/>
        <w:spacing w:after="0"/>
        <w:tabs>
          <w:tab w:leader="none" w:pos="936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37465</wp:posOffset>
            </wp:positionV>
            <wp:extent cx="3687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45" w:lineRule="exact"/>
        <w:rPr>
          <w:sz w:val="20"/>
          <w:szCs w:val="20"/>
          <w:color w:val="auto"/>
        </w:rPr>
      </w:pPr>
    </w:p>
    <w:p>
      <w:pPr>
        <w:ind w:left="5880"/>
        <w:spacing w:after="0"/>
        <w:tabs>
          <w:tab w:leader="none" w:pos="736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2"/>
          <w:szCs w:val="12"/>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89"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2"/>
          <w:szCs w:val="12"/>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23495</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89"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20" w:space="640"/>
            <w:col w:w="25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ESPP</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97"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w:t>
      </w:r>
    </w:p>
    <w:p>
      <w:pPr>
        <w:sectPr>
          <w:pgSz w:w="11900" w:h="16838" w:orient="portrait"/>
          <w:cols w:equalWidth="0" w:num="1">
            <w:col w:w="11420"/>
          </w:cols>
          <w:pgMar w:left="240" w:top="125" w:right="239" w:bottom="1440" w:gutter="0" w:footer="0" w:header="0"/>
          <w:type w:val="continuous"/>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and six months ended June 30,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18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June 30, 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22"/>
                <w:szCs w:val="22"/>
                <w:color w:val="auto"/>
              </w:rPr>
            </w:pPr>
          </w:p>
        </w:tc>
      </w:tr>
      <w:tr>
        <w:trPr>
          <w:trHeight w:val="250"/>
        </w:trPr>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2"/>
              </w:rPr>
              <w:t>(in thousands, except percentages)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43"/>
        </w:trPr>
        <w:tc>
          <w:tcPr>
            <w:tcW w:w="1880" w:type="dxa"/>
            <w:vAlign w:val="bottom"/>
          </w:tcPr>
          <w:p>
            <w:pPr>
              <w:ind w:left="380"/>
              <w:spacing w:after="0"/>
              <w:rPr>
                <w:sz w:val="20"/>
                <w:szCs w:val="20"/>
                <w:color w:val="auto"/>
              </w:rPr>
            </w:pPr>
            <w:r>
              <w:rPr>
                <w:rFonts w:ascii="Arial" w:cs="Arial" w:eastAsia="Arial" w:hAnsi="Arial"/>
                <w:sz w:val="18"/>
                <w:szCs w:val="18"/>
                <w:color w:val="auto"/>
              </w:rPr>
              <w:t>Desktop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16,588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27,972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1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25,552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57"/>
        </w:trPr>
        <w:tc>
          <w:tcPr>
            <w:tcW w:w="18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37,870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70,286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53,524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25,790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23,010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19,054</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37,870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53,524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224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3"/>
              </w:rPr>
              <w:t>Significant Other</w:t>
            </w:r>
          </w:p>
        </w:tc>
        <w:tc>
          <w:tcPr>
            <w:tcW w:w="182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224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4"/>
              </w:rPr>
              <w:t>(Level 2)</w:t>
            </w:r>
          </w:p>
        </w:tc>
        <w:tc>
          <w:tcPr>
            <w:tcW w:w="18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13,377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13,377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jc w:val="right"/>
              <w:ind w:right="124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2"/>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At June 30, 2019 and December 31, 2018, cash equivalents of $13.4 million and $13.7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2018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8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0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 had no available-for-sale securities as of June 30, 2019. For the three and six months ended June 30, 2019, there were no realized gains (losses) and there were no unrealized holding gains (losses) reclassified out of accumulated other comprehensive loss into the condensed consolidated statements of operations for the sale of available-for-sale investments. For the three and six months ended June 30, 2018, the Company sold $6.1 million of available-for-sale investments, on which the realized gains were de minimis and there were no unrealized holding gains (losses) reclassified out of accumulated other comprehensive loss into the condensed consolidated statements of operations.</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202,463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213,157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239,678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restricted cash as of June 30, 2019 and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June 30, 2019 and December 31, 2018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Amortization of intangible assets for the three months ended June 30, 2019 and 2018 was $0.8 million for both periods, and $1.6 million for both the six months ended June 30, 2019 and 2018. The estimated remaining amortization expense associated with the Company's intangible assets was as follows as of June 30,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1,512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semi-annually thereafter, but with certain retention grants vesting 50% on each of the first and second anniversaries of the grant date. Options, RSAs, and RSUs granted under the plans accelerate under certain circumstances for certain participants upon a change in control, as defined in the governing plan. An aggregate of 4,444,960 shares remained available for future grants at June 30, 2019 under the plans.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2019</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4,408</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7.45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6.07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total intrinsic values of options exercised during the six months ended June 30, 2019 was $0.6 million. At June 30, 2019, the Company had unrecognized employee stock-based compensation expense relating to nonvested stock options of approximately $5.2 million, which is expected to be recognized over a weighted-average period of 2.9 years. The weighted-average grant date fair value per share of stock options granted during the six months ended June 30, 2019 was $2.85. Total fair value of options vested during the six months ended June 30, 2019 was $1.0 million.</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8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N/A</w:t>
            </w:r>
          </w:p>
        </w:tc>
        <w:tc>
          <w:tcPr>
            <w:tcW w:w="1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574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4"/>
          </w:tcPr>
          <w:p>
            <w:pPr>
              <w:ind w:left="660"/>
              <w:spacing w:after="0"/>
              <w:rPr>
                <w:sz w:val="20"/>
                <w:szCs w:val="20"/>
                <w:color w:val="auto"/>
              </w:rPr>
            </w:pPr>
            <w:r>
              <w:rPr>
                <w:rFonts w:ascii="Arial" w:cs="Arial" w:eastAsia="Arial" w:hAnsi="Arial"/>
                <w:sz w:val="18"/>
                <w:szCs w:val="18"/>
                <w:color w:val="auto"/>
                <w:w w:val="98"/>
              </w:rPr>
              <w:t>A summary of RSA activity for the six months ended June 30, 2019 is as follows: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gridSpan w:val="4"/>
            <w:vMerge w:val="restart"/>
          </w:tcPr>
          <w:p>
            <w:pPr>
              <w:jc w:val="right"/>
              <w:ind w:right="219"/>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Nonvested shares of restricted stock awards outstanding at December 31, 2018</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Nonvested shares of restricted stock awards outstanding at June 30, 2019</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aggregate fair value of restricted stock with service conditions that vested during the six months ended June 30, 2019 was $0.1 million. At June 30, 2019, the Company had unrecognized stock-based compensation expense for RSAs with service conditions of $0.1 million, which is expected to be recognized over a weighted-average period of 0.9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six months ended June 30, 2019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4,668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June 30,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8,287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weighted-average grant date fair value per share of RSUs granted during the six months ended June 30, 2019 was $4.68, which included 1.6 million RSUs that vest 50% annually over two years. The aggregate fair value of RSUs that vested during six months ended June 30, 2019 was $11.2 million. At June 30, 2019, the intrinsic value of nonvested RSUs was $52.7 million. At June 30, 2019, the Company had unrecognized stock-based compensation expense relating to nonvested RSUs of approximately $29.8 million, which is expected to be recognized over a weighted-average period of 2.5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right="60" w:firstLine="648"/>
        <w:spacing w:after="0" w:line="213" w:lineRule="auto"/>
        <w:rPr>
          <w:sz w:val="20"/>
          <w:szCs w:val="20"/>
          <w:color w:val="auto"/>
        </w:rPr>
      </w:pPr>
      <w:r>
        <w:rPr>
          <w:rFonts w:ascii="Arial" w:cs="Arial" w:eastAsia="Arial" w:hAnsi="Arial"/>
          <w:sz w:val="18"/>
          <w:szCs w:val="18"/>
          <w:color w:val="auto"/>
        </w:rPr>
        <w:t>As of June 30, 2019, the Company has reserved 2,001,256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2,343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4,759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4,795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9,156</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part of its on-going efforts to control costs and create efficiencies, the Company undertook restructuring events in 2018 to streamline operations, prioritize resources for growth initiatives and increase profitability. Restructuring and other exit costs of $1.0 million and $3.4 million were incurred during the three and six months ended June 30, 2018, respectively, related to severance and one-time termination benefit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61"/>
        </w:trPr>
        <w:tc>
          <w:tcPr>
            <w:tcW w:w="10380" w:type="dxa"/>
            <w:vAlign w:val="bottom"/>
            <w:gridSpan w:val="3"/>
          </w:tcPr>
          <w:p>
            <w:pPr>
              <w:ind w:left="660"/>
              <w:spacing w:after="0"/>
              <w:rPr>
                <w:sz w:val="20"/>
                <w:szCs w:val="20"/>
                <w:color w:val="auto"/>
              </w:rPr>
            </w:pPr>
            <w:r>
              <w:rPr>
                <w:rFonts w:ascii="Arial" w:cs="Arial" w:eastAsia="Arial" w:hAnsi="Arial"/>
                <w:sz w:val="18"/>
                <w:szCs w:val="18"/>
                <w:color w:val="auto"/>
                <w:w w:val="95"/>
              </w:rPr>
              <w:t>The following table summarizes restructuring and other exit cost activity for the six months ended June 30, 2018 (in thousands):</w:t>
            </w:r>
          </w:p>
        </w:tc>
        <w:tc>
          <w:tcPr>
            <w:tcW w:w="10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January 1, 2018</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gridSpan w:val="2"/>
          </w:tcPr>
          <w:p>
            <w:pPr>
              <w:ind w:left="280"/>
              <w:spacing w:after="0"/>
              <w:rPr>
                <w:sz w:val="20"/>
                <w:szCs w:val="20"/>
                <w:color w:val="auto"/>
              </w:rPr>
            </w:pPr>
            <w:r>
              <w:rPr>
                <w:rFonts w:ascii="Arial" w:cs="Arial" w:eastAsia="Arial" w:hAnsi="Arial"/>
                <w:sz w:val="18"/>
                <w:szCs w:val="18"/>
                <w:color w:val="auto"/>
              </w:rPr>
              <w:t>Restructuring and other exit costs</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12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43"/>
        </w:trPr>
        <w:tc>
          <w:tcPr>
            <w:tcW w:w="9720" w:type="dxa"/>
            <w:vAlign w:val="bottom"/>
            <w:gridSpan w:val="2"/>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12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June 30, 2018</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0"/>
        </w:trPr>
        <w:tc>
          <w:tcPr>
            <w:tcW w:w="1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December 31, 2018, the Company had $0.1 million accrued restructuring and other exit costs remaining. No restructuring and other exit costs were incurred during the three and six months ended June 30, 2019, and all remaining accrued costs associated with the 2018 restructuring events were paid in the first quarter of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recorded an income tax expense of $0.1 million and an income tax benefit of $0.6 million for the three and six months ended June 30, 2019, respectively, and income tax expenses of $0.1 million for both the three and six months ended June 30, 2018. The tax provision for the three and six months ended June 30, 2019 is primarily the result of the release of a foreign valuation allowance resulting from a change to a cost plus arrangement for a foreign subsidiary, the domestic valuation allowance, and the tax liability associated with the foreign subsidiaries.</w:t>
      </w:r>
    </w:p>
    <w:p>
      <w:pPr>
        <w:spacing w:after="0" w:line="3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For additional information and a discussion of the impact of the Tax Act on the Company, refer to Note 15 of the "Notes to Consolidated Financial Statements" within our Annual Report on Form 10-K for December 31, 2018.</w:t>
      </w: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There were no material changes to the Company's unrecognized tax benefits in the six months ended June 30, 2019, and the Company does not expect to have any significant changes to unrecognized tax benefits through the end of the fiscal year. Because of the Company's history of tax losses, all years remain open to tax audit.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2019 and December 31, 2018, the Company had $3.7 million and $2.9 million, respectively, of letters of credit associated with office leases available for borrowing, on which there were no outstanding borrowings as of either date. The Company also has operating lease agreements, discussed in more detail in Note 11.</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indemnification under such agreements and there are no claims that the Company is aware of that could have a material effect on the Company’s condensed consolidated financial statements.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2019. However, based on management’s knowledge as of June 30, 2019,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 Obligations</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adopted ASC 842 as of January 1, 2019. As part of the implementation, the Company recognized its lease liabilities, including the current and non-current portions, within its condensed consolidated balance sheet as of the adoption date, which represents the present value of the Company’s obligation related to the estimated future lease payments. The Company also recognized a right-of-use asset, or ROU asset, which represents the right to use the leased asset over the period of the lease. The ROU asset was calculated as the lease liability less any asset or liability balances that existed at the time of adoption.</w:t>
      </w:r>
    </w:p>
    <w:p>
      <w:pPr>
        <w:spacing w:after="0" w:line="10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Certain data center lease agreements include one year extension options or month-to-month extension options, and one or more of these extensions have been assumed for each lease that the Company believes to be an integral part of our business in the near term. The lease terms of the Company’s operating leases generally range from one year to seven years, and the weighted average remaining lease term of leases included in the lease liability is 3.1 years as of June 30, 2019.</w:t>
      </w:r>
    </w:p>
    <w:p>
      <w:pPr>
        <w:spacing w:after="0" w:line="9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To determine the estimated future lease payments, the Company reviews each of its lease agreements to identify the various payment components. For real estate and equipment leases, the Company includes only the actual lease components in its determination of future lease payments, and for its data center leases, includes both the fixed lease and non-lease components in the estimated future lease payments. This typically includes a fixed minimum power commitment that is included in the data center agreements, but it does not include any variable or usage-based additional charges. Once the estimated future lease payments are determined, the Company uses a discount rate to calculate the present value of the future lease payments. As of June 30, 2019, a weighted average discount rate of 5.20% has been applied to the remaining lease payments to calculate the lease liabilities included within the condensed consolidated balance sheet. This represents the incremental borrowing rate the Company would be subject to on borrowings from its available revolving debt agreement (See Note 12).</w:t>
      </w:r>
    </w:p>
    <w:p>
      <w:pPr>
        <w:spacing w:after="0" w:line="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For the three and six months ended June 30, 2019, the Company recognized $1.8 million and $3.6 million, respectively, of lease expense under ASC 842, which included operating lease expenses associated with leases included in the lease liability and ROU asset on the condensed consolidated balance sheet. In addition, for the three and six months ended June 30, 2019, the Company recognized $0.2 million and $0.4 million, respectively, of lease expense related to short-term leases that are not included in the ROU asset or lease liability balances. For the three and six months ended June 30, 2018, the Company recognized rental expenses of $3.3 million and $6.5 million, respectively, under ASC 840, which included expenses related to short-term leases, and also included certain non-lease components including variable capacity related expenses at the data centers. The Company also received rental income of $46.2 thousand and $0.2 million for real estate leases for which it subleases the property to a third party during the three months ended June 30, 2019 and 2018, respectively, and $0.2 million and $0.4 million for the six months ended June 30, 2019 and 2018, respectively.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4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2019</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3,808</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6,795</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3,043</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1,096</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1,046</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 (undiscounted)</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16,597</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liabilities—total (discounted)</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the leases included in these condensed consolidated financial statements, the Company entered into lease agreements for office locations in New York and New Jersey during the first half of 2019 that have not yet commenced as of June 30, 2019. The Company anticipates the recognition of approximately $9 million additional lease liabilities related to the New York and New Jersey leases when the properties are made available to the Company for use, which is expected to occur in the third quarter of 2019.</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18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September 2018, the Company amended and restated its loan and security agreement with Silicon Valley Bank (the "Loan Agreement"). The Loan Agreement provides a senior secured revolving credit facility of up to $40.0 million with a maturity date of September 26, 2020. The Company incurred $0.1 million of debt issuance fees that were capitalized and are being amortized over the term of the Loan Agreement.</w:t>
      </w:r>
    </w:p>
    <w:p>
      <w:pPr>
        <w:spacing w:after="0" w:line="1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(a) LIBOR plus 2.50% if a streamline period applies or (b) LIBOR plus 4.00% if a streamline period does not apply. If the Company elects prime, advances bear interest at a rate of (a) prime plus 0.50% if a streamline period applies or (b)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13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June 30, 2019, the Company's Adjusted Quick Ratio was 1.16,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June 30, 2019, the Company was in compliance with the Adjusted EBITDA covenant.</w:t>
      </w:r>
    </w:p>
    <w:p>
      <w:pPr>
        <w:spacing w:after="0" w:line="14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Loan Agreement also includes customary representations and warranties, affirmative covenants, and events of default, including events of default upon a change of control and material adverse change (as defined in the Loan Agreement). Following an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event of default, SVB would be entitled to, among other things, accelerate payment of amounts due under the credit facility and exercise all rights of a secured creditor.</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2019, there were no amounts outstanding under the Loan Agreement. Future availability under the credit facility is dependent on several factors including the available borrowing base and compliance with future covenant requirements.</w:t>
      </w:r>
    </w:p>
    <w:p>
      <w:pPr>
        <w:spacing w:after="0" w:line="200" w:lineRule="exact"/>
        <w:rPr>
          <w:sz w:val="20"/>
          <w:szCs w:val="20"/>
          <w:color w:val="auto"/>
        </w:rPr>
      </w:pPr>
    </w:p>
    <w:p>
      <w:pPr>
        <w:spacing w:after="0" w:line="38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125" w:right="6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loss per share, profitability, net income (loss), Adjusted EBITDA, earnings per share, and cash flow; strategic objectives, including focus on header bidding, mobile, video, Demand Manager, and private marketplace opportunities; investments in our business; development of our technology;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grow and to manage our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and aggregators of advertising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to purchase and sell higher value advertising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10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from display to video formats and the introduction and market acceptance of Demand Manager;</w:t>
      </w:r>
    </w:p>
    <w:p>
      <w:pPr>
        <w:spacing w:after="0" w:line="46"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Demand Manager,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lower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compensate for a reduced take rate by increasing the volume and/or value of transactions on our platform and increasing our fill rate;</w:t>
      </w:r>
    </w:p>
    <w:p>
      <w:pPr>
        <w:spacing w:after="0" w:line="113" w:lineRule="exact"/>
        <w:rPr>
          <w:rFonts w:ascii="Arial" w:cs="Arial" w:eastAsia="Arial" w:hAnsi="Arial"/>
          <w:sz w:val="16"/>
          <w:szCs w:val="16"/>
          <w:i w:val="1"/>
          <w:iCs w:val="1"/>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we incur additional investments in technology required to support the increased volume of transactions on our exchange and development of new offerings;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online and mobile advertising spending captured by owned and operated sites (such as Facebook, Google, and Amazon);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2018 and subsequent Quarterly Reports on Form 10-Q.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methods, and allows advertising content to be presented to consumers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transacted through real-time bidding, which includes (i) direct sale of premium inventory, which we refer to as private marketplace ("PMP"), and (ii) open auction bidding, which we refer to as open marketplace ("OMP");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desktop, and connected TV ("CTV"), as well as across various out-of-home channels, such as digital billboards.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the Company and the seller and the clearing price of the winning bid. We also refer to revenue divided by advertising spend as our take rate.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2018, MAGNA estimated that the global programmatic market (excluding search and social) will grow from $34 billion in 2018 to $60 billion by 2022, which represents a 15%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$18 billion global market in 2018 that is expected to increase to $43 billion by 2022, producing a compound annual growth rate of 24%.</w:t>
      </w:r>
    </w:p>
    <w:p>
      <w:pPr>
        <w:spacing w:after="0" w:line="1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Consistent with industry trends, our mobile business is growing faster than desktop. Our mobile revenue increased $12.9 million, or 51%, for the six months ended June 30, 2019, compared to the six months ended June 30, 2018, while our desktop revenue increased 14% during the same period. Our mobile business consists of two components, mobile web and mobile applications. Initially our mobile business was built upon mobile web, which is more similar to our desktop business and subject to similar market pressures as discussed below, and as a result has experienced lower growth in recent periods. Our mobile application business has shown growth rates in excess of industry projections. Revenue from mobile applications is approximately half of our mobile business.</w:t>
      </w:r>
    </w:p>
    <w:p>
      <w:pPr>
        <w:spacing w:after="0" w:line="15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enable an omni-channel approach to expand automatic buying and selling of advertising to all forms of inventory through various channels and have observed growth trends in emerging formats like video and audio. According to MAGNA estimates, video advertising was $17 billion in 2018 and is projected to increase to $45 billion in 2022, with a compound annual growth rate of 27%. We expect video to be a meaningful driver of our future growth with a longer-term opportunity in connected television, or CTV, advertising as more linear TV budgets shift to programmatic.</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 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 share. Another factor impacting our business is that a large share of the growth in digital advertising spending worldwide is being captured by owned and operated sites, such as Facebook, Google, and increasingly Amazon.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Our Business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2018-2022 period. This results from the market shift to mobile channels noted above. These market factors present long-term growth opportunities; however, in the near term, these trends are dampening our overall growth rate, because desktop advertising continues to be a meaningful part of our core business, representing 45% of revenue in the first half of 2019.</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Header bidding, which increases competition for ad inventory by exposing impressions simultaneously to multiple sources of demand in a competitive auction, has been a transformative change in programatic digital advertising over the last several years. While we initially lagged industry adoption, header bidding now represents roughly 80% of our revenue. 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future periods. However, we must continue to address certain technical and operational challenges, as described under "Risk Factors" in our Annual Report on Form 10-K for the year ended December 31, 2018, in order to realize our header bidding solution's full potential.</w:t>
      </w:r>
    </w:p>
    <w:p>
      <w:pPr>
        <w:spacing w:after="0" w:line="5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While the rise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May 2019, we introduced the beta version of Demand Manager, a new service that makes it easy for sellers to deploy, configure, and optimize their own Prebid-based header bidding solutions. This tool allows sellers to more effectively monetize their inventory. We believe that adoption of these tools will further strengthen our relationship with sellers and contribute to our future revenue growth.</w:t>
      </w:r>
    </w:p>
    <w:p>
      <w:pPr>
        <w:spacing w:after="0" w:line="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an effort to capture more inventory for our buyers and deliver better monetization to our sellers, and to provide better transparency and predictability to all our clients, we made first price our default auction dynamic for header bidding transactions in 2018. This means that the first price or highest bid in our auction wins and that first price is passed to the downstream auction. To assist buyers in increasing advertising campaign returns and performance through the utilization of first price auction dynamics,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winning provides to sellers, our first price auction dynamic and EMR solution have contributed to higher CPMs, or cost per ad unit, for our header bidding inventory.</w:t>
      </w:r>
    </w:p>
    <w:p>
      <w:pPr>
        <w:spacing w:after="0" w:line="7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Supply Path Optimization, or SPO, refers to efforts by buyers to consolidate the number of vendors they work with to find the most effective and cost-efficient paths to procure media. This practice emerged in 2018 and continues to gain momentum in 2019. SPO is important to buyers because it can increase the proportion of their advertising that is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of inventory, privacy standards, brand safety, and fraudulent traffic prevention policies. We believe we are well positioned to benefit from supply path optimization in the long run as a result of our broad inventory supply, buyer tools such as traffic shaping and EMR, which reduce the overall cost of working with us, our transparency, and our brand safety measures.</w:t>
      </w:r>
    </w:p>
    <w:p>
      <w:pPr>
        <w:spacing w:after="0" w:line="5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began to see some pressure on CPMs in 2018 that continued into the first half of 2019 but has moderated and began to stabilize in the second quarter of 2019. We believe that CPM increases for publishers in 2017 and early 2018 were driven by header bidding and the move to first price auctions, but that large buyers have adapted to the new bidding environment and have improved their pricing algorithms, which lowered overall CPMs. We believe that better pricing has helped advertising campaigns' return on investment and is driving significant increases in the volume of paid impressions. In the future, CPMs may be negatively impacted as a result of privacy initiatives that drive a higher mix of contextual versus behavioral impressions being sold.</w:t>
      </w:r>
    </w:p>
    <w:p>
      <w:pPr>
        <w:spacing w:after="0" w:line="5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Ad tech exchange intermediaries like us have experienced market demands for greater transparency and reduced costs from all participants. The fees that we charge, or take rate, have been reduced significantly over the last several years. While we were able to increase take rates slightly over the course of 2018, we do not expect significant further increases in take rates.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take rate can be impacted by the type of advertising spend transacted on our platform, OMP or PMP, which carry different rates. OMP fees are higher than PMP, and our overall take rate could change depending on the mix. In addition, any discounts we negotiate with brands or agencies to consolidate spend in exchange for lower seller fees may also impact the average rate we are able to charge. If pressure for reduced costs continue, or if mix changes unfavorably, our revenue growth may be negatively impacted if we are not able to offset the related take rate reductions through increasing the volume of total advertising spend transacted on our platform.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Revenue growth from our traditional desktop display business has benefited from year-over-year take rate increases. Lower industry growth rates in desktop will make growth of desktop revenue more challenging unless we are able to grow market share through SPO or the expansion of additional inventory. Our strategic focus is on growth areas—including mobile, video, PMPs, Demand Manager, and header bidding—that are expected to represent a majority of our revenue in future periods. However, despite our progress in mobile, our traditional desktop display business is expected to continue to represent a significant part of our revenue in the near term. Therefore, the mix of our desktop display business will continue to have a significant effect on our growth until our advertising spend mix has shifted more fully to growth areas.</w:t>
      </w:r>
    </w:p>
    <w:p>
      <w:pPr>
        <w:spacing w:after="0" w:line="1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Reduction Initiatives</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addition to strategic decisions made to reduce costs paid by our clients on our platform while growing revenue through transaction volume, we have also focused on the cost structure of our business to enable us to compete more effectively. We must operate efficiently to relieve the pressure on our margins and cash resources that has resulted from our price reductions undertaken in 2017, and to compensate for the ongoing investments in technology and data processing capabilities required to support the increased volume of transactions that our growth plans require.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are continuously evaluating our costs and pursuing additional cost-control and efficiency opportunities, including increased automation, across all aspects of the Company. However, we anticipate significant increases in ad request volume in 2019, and are developing internal tools to manage the volume increases and investing in software architectural improvements, filtering, and cloud services to accelerate innovation and further enable efficiencies.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Privacy Regulations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business is highly susceptible to emerging privacy regulations and oversight. In Europe, data protection authorities have started to clarify certain requirements under the European General Data Protection Regulation, or GDPR, but uncertainty remains.</w:t>
      </w:r>
    </w:p>
    <w:p>
      <w:pPr>
        <w:spacing w:after="0" w:line="11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to GDPR, there are a number of new privacy regulations that are expected to come into effect in 2020. Last year, California passed the California Consumer Privacy Act, which imposes new obligations on businesses that handle the personal information of California residents. The obligations imposed on the Company remain unclear due to ambiguities in the drafting. These ambiguities and resulting impact on our business will need to be resolved over time. In addition, other privacy bills have been introduced at both the state and federal level. Certain international territories are also imposing new or expanded privacy obligations, including Brazil. In the coming years, we expect further consumer privacy regulation worldwide.</w:t>
      </w:r>
    </w:p>
    <w:p>
      <w:pPr>
        <w:spacing w:after="0" w:line="2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the GDPR and other privacy regulations on our business and, consequently, our revenue could be negatively impacted.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depreciation and maintenance expense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54"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our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 and was insignificant for the six months ended June 30, 2019 and 2018.</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Provision (benefit) for income taxes consists of federal, state, and foreign income taxes and is primarily the result of the release of a foreign valuation allowance resulting from a change to a cost-plus arrangement for a foreign subsidiary,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88"/>
              </w:rPr>
              <w:t>Favorable/(Unfavorable)</w:t>
            </w: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Favorable/(Unfavorable)</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7"/>
                <w:szCs w:val="7"/>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June 30, 2018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7"/>
                <w:szCs w:val="7"/>
                <w:color w:val="auto"/>
              </w:rPr>
            </w:pPr>
          </w:p>
        </w:tc>
        <w:tc>
          <w:tcPr>
            <w:tcW w:w="10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37,870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28,648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70,286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53,524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29,827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11,135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22,111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23,392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10,027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20,307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23,985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46,470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47,839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94"/>
              </w:rPr>
              <w:t>3 %</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92,174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560" w:type="dxa"/>
            <w:vAlign w:val="bottom"/>
            <w:gridSpan w:val="6"/>
          </w:tcPr>
          <w:p>
            <w:pPr>
              <w:ind w:left="40"/>
              <w:spacing w:after="0"/>
              <w:rPr>
                <w:sz w:val="20"/>
                <w:szCs w:val="20"/>
                <w:color w:val="auto"/>
              </w:rPr>
            </w:pPr>
            <w:r>
              <w:rPr>
                <w:rFonts w:ascii="Arial" w:cs="Arial" w:eastAsia="Arial" w:hAnsi="Arial"/>
                <w:sz w:val="16"/>
                <w:szCs w:val="16"/>
                <w:color w:val="auto"/>
                <w:w w:val="95"/>
              </w:rPr>
              <w:t>(1) Stock-based compensation expense included in our expenses was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left="461"/>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89"/>
              </w:rPr>
              <w:t>(in thousands)</w:t>
            </w: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5"/>
          </w:tcPr>
          <w:p>
            <w:pPr>
              <w:jc w:val="center"/>
              <w:ind w:left="461"/>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920" w:type="dxa"/>
            <w:vAlign w:val="bottom"/>
            <w:tcBorders>
              <w:bottom w:val="single" w:sz="8" w:color="CCEEFF"/>
            </w:tcBorders>
            <w:gridSpan w:val="3"/>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2,343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4,759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7"/>
        </w:trPr>
        <w:tc>
          <w:tcPr>
            <w:tcW w:w="3240" w:type="dxa"/>
            <w:vAlign w:val="bottom"/>
            <w:gridSpan w:val="2"/>
          </w:tcPr>
          <w:p>
            <w:pPr>
              <w:ind w:left="520"/>
              <w:spacing w:after="0"/>
              <w:rPr>
                <w:sz w:val="20"/>
                <w:szCs w:val="20"/>
                <w:color w:val="auto"/>
              </w:rPr>
            </w:pPr>
            <w:r>
              <w:rPr>
                <w:rFonts w:ascii="Arial" w:cs="Arial" w:eastAsia="Arial" w:hAnsi="Arial"/>
                <w:sz w:val="16"/>
                <w:szCs w:val="16"/>
                <w:color w:val="auto"/>
                <w:w w:val="91"/>
              </w:rPr>
              <w:t>Total stock-based compensation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4,795</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4,612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9,164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33"/>
        </w:trPr>
        <w:tc>
          <w:tcPr>
            <w:tcW w:w="5560" w:type="dxa"/>
            <w:vAlign w:val="bottom"/>
            <w:gridSpan w:val="6"/>
            <w:vMerge w:val="restart"/>
          </w:tcPr>
          <w:p>
            <w:pPr>
              <w:ind w:left="40"/>
              <w:spacing w:after="0"/>
              <w:rPr>
                <w:sz w:val="20"/>
                <w:szCs w:val="20"/>
                <w:color w:val="auto"/>
              </w:rPr>
            </w:pPr>
            <w:r>
              <w:rPr>
                <w:rFonts w:ascii="Arial" w:cs="Arial" w:eastAsia="Arial" w:hAnsi="Arial"/>
                <w:sz w:val="16"/>
                <w:szCs w:val="16"/>
                <w:color w:val="auto"/>
                <w:w w:val="92"/>
              </w:rPr>
              <w:t>(2) Depreciation and amortization expense included in our expenses was as follows:</w:t>
            </w: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gridSpan w:val="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60" w:type="dxa"/>
            <w:vAlign w:val="bottom"/>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left="461"/>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89"/>
              </w:rPr>
              <w:t>(in thousands)</w:t>
            </w: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5"/>
          </w:tcPr>
          <w:p>
            <w:pPr>
              <w:jc w:val="center"/>
              <w:ind w:left="461"/>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7,758</w:t>
            </w:r>
          </w:p>
        </w:tc>
        <w:tc>
          <w:tcPr>
            <w:tcW w:w="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15,803</w:t>
            </w:r>
          </w:p>
        </w:tc>
        <w:tc>
          <w:tcPr>
            <w:tcW w:w="920" w:type="dxa"/>
            <w:vAlign w:val="bottom"/>
            <w:tcBorders>
              <w:bottom w:val="single" w:sz="8" w:color="CCEEFF"/>
            </w:tcBorders>
            <w:gridSpan w:val="3"/>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16,514</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gridSpan w:val="4"/>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gridSpan w:val="4"/>
            <w:shd w:val="clear" w:color="auto" w:fill="CCEEFF"/>
          </w:tcPr>
          <w:p>
            <w:pPr>
              <w:ind w:left="520"/>
              <w:spacing w:after="0"/>
              <w:rPr>
                <w:sz w:val="20"/>
                <w:szCs w:val="20"/>
                <w:color w:val="auto"/>
              </w:rPr>
            </w:pPr>
            <w:r>
              <w:rPr>
                <w:rFonts w:ascii="Arial" w:cs="Arial" w:eastAsia="Arial" w:hAnsi="Arial"/>
                <w:sz w:val="16"/>
                <w:szCs w:val="16"/>
                <w:color w:val="auto"/>
              </w:rPr>
              <w:t>Total depreciation and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16,814</w:t>
            </w:r>
          </w:p>
        </w:tc>
        <w:tc>
          <w:tcPr>
            <w:tcW w:w="920" w:type="dxa"/>
            <w:vAlign w:val="bottom"/>
            <w:tcBorders>
              <w:bottom w:val="single" w:sz="8" w:color="CCEEFF"/>
            </w:tcBorders>
            <w:gridSpan w:val="3"/>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17,588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340" w:type="dxa"/>
            <w:vAlign w:val="bottom"/>
          </w:tcPr>
          <w:p>
            <w:pPr>
              <w:spacing w:after="0"/>
              <w:rPr>
                <w:sz w:val="22"/>
                <w:szCs w:val="22"/>
                <w:color w:val="auto"/>
              </w:rPr>
            </w:pP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2018</w:t>
            </w: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2019</w:t>
            </w:r>
          </w:p>
        </w:tc>
        <w:tc>
          <w:tcPr>
            <w:tcW w:w="1420" w:type="dxa"/>
            <w:vAlign w:val="bottom"/>
          </w:tcPr>
          <w:p>
            <w:pPr>
              <w:jc w:val="right"/>
              <w:ind w:right="211"/>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340" w:type="dxa"/>
            <w:vAlign w:val="bottom"/>
          </w:tcPr>
          <w:p>
            <w:pPr>
              <w:ind w:left="500"/>
              <w:spacing w:after="0"/>
              <w:rPr>
                <w:sz w:val="20"/>
                <w:szCs w:val="20"/>
                <w:color w:val="auto"/>
              </w:rPr>
            </w:pPr>
            <w:r>
              <w:rPr>
                <w:rFonts w:ascii="Arial" w:cs="Arial" w:eastAsia="Arial" w:hAnsi="Arial"/>
                <w:sz w:val="18"/>
                <w:szCs w:val="18"/>
                <w:color w:val="auto"/>
              </w:rPr>
              <w:t>Cost of revenue</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r>
      <w:tr>
        <w:trPr>
          <w:trHeight w:val="243"/>
        </w:trPr>
        <w:tc>
          <w:tcPr>
            <w:tcW w:w="5340" w:type="dxa"/>
            <w:vAlign w:val="bottom"/>
          </w:tcPr>
          <w:p>
            <w:pPr>
              <w:ind w:left="500"/>
              <w:spacing w:after="0"/>
              <w:rPr>
                <w:sz w:val="20"/>
                <w:szCs w:val="20"/>
                <w:color w:val="auto"/>
              </w:rPr>
            </w:pPr>
            <w:r>
              <w:rPr>
                <w:rFonts w:ascii="Arial" w:cs="Arial" w:eastAsia="Arial" w:hAnsi="Arial"/>
                <w:sz w:val="18"/>
                <w:szCs w:val="18"/>
                <w:color w:val="auto"/>
              </w:rPr>
              <w:t>Technology and development</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37</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43"/>
        </w:trPr>
        <w:tc>
          <w:tcPr>
            <w:tcW w:w="5340" w:type="dxa"/>
            <w:vAlign w:val="bottom"/>
          </w:tcPr>
          <w:p>
            <w:pPr>
              <w:ind w:left="500"/>
              <w:spacing w:after="0"/>
              <w:rPr>
                <w:sz w:val="20"/>
                <w:szCs w:val="20"/>
                <w:color w:val="auto"/>
              </w:rPr>
            </w:pPr>
            <w:r>
              <w:rPr>
                <w:rFonts w:ascii="Arial" w:cs="Arial" w:eastAsia="Arial" w:hAnsi="Arial"/>
                <w:sz w:val="18"/>
                <w:szCs w:val="18"/>
                <w:color w:val="auto"/>
              </w:rPr>
              <w:t>Restructuring and other exit costs</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7"/>
        </w:trPr>
        <w:tc>
          <w:tcPr>
            <w:tcW w:w="5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188</w:t>
            </w:r>
          </w:p>
        </w:tc>
      </w:tr>
      <w:tr>
        <w:trPr>
          <w:trHeight w:val="237"/>
        </w:trPr>
        <w:tc>
          <w:tcPr>
            <w:tcW w:w="534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14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37"/>
        </w:trPr>
        <w:tc>
          <w:tcPr>
            <w:tcW w:w="534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14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(benefit) for income taxes</w:t>
            </w: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2019 and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Revenue increased $9.2 million, or 32%, for the three months ended June 30, 2019 compared to the three months ended June 30, 2018. The increase was driven by increases in both advertising spend transacted on our platform and take rate, or the fee we earn on advertising spend.</w:t>
      </w:r>
    </w:p>
    <w:p>
      <w:pPr>
        <w:spacing w:after="0" w:line="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six months ended June 30, 2019, revenue increased $16.8 million, or 31%, compared to the prior year period, primarily for the same reasons described above for the three month period.</w:t>
      </w:r>
    </w:p>
    <w:p>
      <w:pPr>
        <w:spacing w:after="0" w:line="3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Revenue is impacted by shifts in the mix of advertising spend by transaction type and channel, changes in the fees we charge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As highlighted previously, in late 2018, we began to see some pressure on desktop CPMs, which carried over to mobile CPMs, as a result of buyer pricing tools and the impact from privacy initiatives, such as Apple’s ITP, that drive a higher mix of contextual versus behavioral impressions being sold. We believe that better pricing has helped advertising campaigns' return on investment and is driving significant increases in paid impressions.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 We expect revenue to be higher in absolute dollars in 2019 compared to 2018 and to increase above first half revenue in the second half of 2019.</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 of revenue remained relatively flat for the three months ended June 30, 2019 compared to the three months ended June 30, 2018. For the six months ended June 30, 2019, cost of revenue increased $0.4 million, or 1%, compared to the prior year period.</w:t>
      </w:r>
    </w:p>
    <w:p>
      <w:pPr>
        <w:spacing w:after="0" w:line="13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cost of revenue to be higher in absolute dollars in 2019 compared to 2018, and to increase in the second half of 2019, as a result of increased spending on data centers, serving costs, cloud computing costs, and technology to process the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We are expanding select data center operations to cloud service providers to accelerate innovation and gain efficiencies, and we expect an increase in cost of revenue expenses as a result.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Sales and marketing expenses increased $0.4 million, or 3%, for the three months ended June 30, 2019 compared to the three months ended June 30, 2018, primarily due to an increase in personnel costs.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six months ended June 30, 2019, sales and marketing expenses decreased $1.3 million, or 5%, compared to the prior year period. The decrease was partially due to a decrease of $0.4 million in personnel costs as a result of our 2018 cost control initiatives for the six month comparative period. In addition, professional services and facilities related expenses each decreased $0.5 million compared to the prior year period.</w:t>
      </w:r>
    </w:p>
    <w:p>
      <w:pPr>
        <w:spacing w:after="0" w:line="1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sales and marketing expenses to remain at similar levels in 2019 compared to 2018, and to increase slightly in the second half of 2019 above the first half level despite the continued benefit from cost reductions that were achieved in the second half of 2018, as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Technology and development expenses increased by $0.6 million, or 6%, for the three months ended June 30, 2019 compared to the three months ended June 30, 2018, primarily due to an increase of $0.8 million in personnel costs.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six months ended June 30, 2019, technology and development expenses decreased $0.2 million, or 1%, compared to the prior year period.</w:t>
      </w:r>
    </w:p>
    <w:p>
      <w:pPr>
        <w:spacing w:after="0" w:line="20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expect technology and development expense to increase in 2019 compared to 2018, with small increases in the upcoming quarters as we make a limited number of strategic headcount additions to focus on the engineering aspect of our new developments, including Demand Manager and other initiatives.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General and administrative expenses decreased by $1.4 million, or 12%, for the three months ended June 30, 2019 compared to the three months ended June 30, 2018. The decrease is due to decreases of $0.5 million in personnel costs as a result of our 2018 cost control initiatives and $0.7 million in professional services expenses.</w:t>
      </w:r>
    </w:p>
    <w:p>
      <w:pPr>
        <w:spacing w:after="0" w:line="1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six months ended June 30, 2019, general and administrative expenses decreased $3.7 million, or 15%, compared to the prior year period, primarily due to a $2.5 million decrease in personnel costs as a result of our 2018 cost control initiatives. In addition, expenses related to professional services also decreased $1.2 million in the current year period.</w:t>
      </w:r>
    </w:p>
    <w:p>
      <w:pPr>
        <w:spacing w:after="0" w:line="14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expect general and administrative expenses to decrease in 2019 compared to 2018, with a modest increase in the second half of 2019 compared to the first half of 2019, despite the continued benefit from cost reductions that were achieved in the second half of 2018, as described below. 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For the three and six months ended June 30, 2018, we incurred restructuring and other exit costs of $1.0 million and $3.4 million, respectively, for severance and other one-time employee termination benefits related to headcount reductions that were made in the first quarter of 2018 (see Note 8). There were no restructuring and other exit costs incurred during the three and six months ended June 30, 2019, and all remaining accrued costs associated with the 2018 restructuring events were paid in the first quarter of 2019.</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2018</w:t>
            </w:r>
          </w:p>
        </w:tc>
      </w:tr>
      <w:tr>
        <w:trPr>
          <w:trHeight w:val="249"/>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(in thousands)</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Foreign exchange (gain) loss, net is impacted by movements in exchange rates and the amount of foreign currency-denominated receivables and payables, which are impacted by our billings to buyers and payments to sellers. During the three and six months ended June 30, 2019, the net foreign exchange (gain) loss was primarily attributable to the currency movements between the British Pound and the Danish Krone relative to the U.S. Dollar.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recorded an income tax expense of $0.1 million and an income tax benefit of $0.6 million for the three and six months ended June 30, 2019, respectively, and income tax expenses of $0.1 million for both the three and six months ended June 30, 2018. The tax provision for the three and six months ended June 30, 2019 is primarily the result of the release of a foreign valuation allowance resulting from a change to a cost-plus arrangement for a foreign subsidiary, the domestic valuation allowance, and the tax liability associated with foreign subsidiaries.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principal sources of liquidity are our cash and cash equivalents, marketable securities, cash generated from operations, and our credit facility with Silicon Valley Bank ("SVB"). At June 30, 2019, we had cash and cash equivalents of $86.1 million, of which $14.6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financial covenants. While we are currently in compliance with these covenants, this could change in the future depending on our operating results.</w:t>
      </w:r>
    </w:p>
    <w:p>
      <w:pPr>
        <w:spacing w:after="0" w:line="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At June 30, 2019, we had no amounts outstanding under our Loan Agreement with SVB. Future availability under the credit facility is dependent on several factors including the available borrowing base and compliance with future covenant requirements. See Note 12 of "Notes to Condensed Consolidated Financial Statements" for additional information regarding the Loan Agreement.</w:t>
      </w:r>
    </w:p>
    <w:p>
      <w:pPr>
        <w:spacing w:after="0" w:line="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We may not have the leverage to resist these demands given the competitive nature of our business. If this continues, more of our cash will be required to fund our payment cycle and therefore not available for other uses. Some buyers have also began experiencing financial difficulty and have been forced into filing for bankruptcy protection, and we may be forced to pay sellers even if we are unable to collect from buyers. Our future capital requirements and the adequacy of available funds will depend on many factors, including those set forth in Part II, Item 1A: "Risk Factors" of our Annual Report on Form 10-K for the year ended December 31, 2018 and in Part II, Item 1A of our subsequent Quarterly Reports on Form 10-Q.</w:t>
      </w:r>
    </w:p>
    <w:p>
      <w:pPr>
        <w:spacing w:after="0" w:line="12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demonstrate a path to consistently produce positive cash flow. 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 even if credit is available, lenders may seek more restrictive covenants and higher interest rates that may reduce our borrowing capacity, increase our costs, and reduce our operating flexibility.</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0"/>
              </w:rPr>
              <w:t>June 30, 2018</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provided by investing activities</w:t>
            </w: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17,212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the six months ended June 30, 2019, net cash provided by operating activities was $5.5 million compared to net cash used in operating activities of $21.1 million for the six months ended June 30, 2018. Our operating activities included our net losses of $20.8 million and $45.8 million for the six months ended June 30, 2019 and 2018, respectively, which were offset by non-cash adjustments of $26.6 million and $26.0 million, respectively. In the first half of 2019, net changes in our working capital reduced cash provided by operating activities by $0.3 million. Net cash used in operating activities for the first half of 2018 was increased by a net decrease in our working capital of $1.3 million. The net changes in working capital for both periods are primarily due to the timing of cash receipts from buyers and the timing of payments to sellers.</w:t>
      </w:r>
    </w:p>
    <w:p>
      <w:pPr>
        <w:spacing w:after="0" w:line="57" w:lineRule="exact"/>
        <w:rPr>
          <w:sz w:val="20"/>
          <w:szCs w:val="20"/>
          <w:color w:val="auto"/>
        </w:rPr>
      </w:pPr>
    </w:p>
    <w:p>
      <w:pPr>
        <w:ind w:left="660" w:right="900"/>
        <w:spacing w:after="0" w:line="399"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remain relatively consistent with past years' investment levels as we continue to innovate new solutions on our platform. As the business continues to grow, we expect our investment in property and equipment to slightly increase compared to 2018.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latter half of this year compared to the first half of the year. Investments in, and maturities of, available-for-sale securities and acquisitions of businesses vary from period-to-period.</w:t>
      </w:r>
    </w:p>
    <w:p>
      <w:pPr>
        <w:spacing w:after="0" w:line="3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six months ended June 30, 2019 and 2018, our investing activities provided net cash of $1.1 million and $17.2 million, respectively. For the six months ended June 30, 2019 and 2018, we had net maturities of investments in available-for-sale securities of $7.5 million and $17.2 million, respectively. In addition, we had cash inflows of $6.1 million during the six months ended June 30, 2018 related to sales of available-for-sale securities. These cash inflows were offset by purchases of property and equipment of $2.2 million and $1.2 million during the six months ended June 30, 2019 and 2018, respectively, and investments in our internally developed software of $4.2 million and $4.8 million, respectively.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For the six months ended June 30, 2019 and 2018, we used net cash of $1.0 million and $0.5 million, respectively, for financing activities. Cash outflows from financing activities for the six months ended June 30, 2019 and 2018 included payments of $1.8 million and $0.7 million, respectively, for income tax deposits paid in respect of vesting of stock-based compensation awards that were reimbursed by the award recipients through surrender of shares.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2019 other than the short-term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operating lease agreements including data centers that expire at various times through 2026. At June 30, 2019, expected future commitments relating to operating leases associated with leases included in the lease liability and ROU asset on the condensed consolidated balance sheet were $16.6 million. See Note 11 of "Notes to Condensed Consolidated Financial Statements" for our lease commitment for each of the next five years and thereafter. In certain cases, the terms of the lease agreements provide for rental payments on a graduated basis. We received rental income from subleases totaling $46.2 thousand and $0.2 million for the three and six months ended June 30, 2019, respectively.</w:t>
      </w:r>
    </w:p>
    <w:p>
      <w:pPr>
        <w:spacing w:after="0" w:line="4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six months ended June 30, 2019 and we do not expect to have any significant changes to unrecognized tax benefits through December 31, 2019.</w:t>
      </w:r>
    </w:p>
    <w:p>
      <w:pPr>
        <w:spacing w:after="0" w:line="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significant changes in our accounting policies from those disclosed in our audited consolidated financial statements and notes thereto for the year ended December 31, 2018 included in our Annual Report on Form 10-K.</w:t>
      </w:r>
    </w:p>
    <w:p>
      <w:pPr>
        <w:spacing w:after="0" w:line="35" w:lineRule="exact"/>
        <w:rPr>
          <w:sz w:val="20"/>
          <w:szCs w:val="20"/>
          <w:color w:val="auto"/>
        </w:rPr>
      </w:pPr>
    </w:p>
    <w:p>
      <w:pPr>
        <w:ind w:left="660" w:right="44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generate revenue from transactions where we provide a platform for the purchase and sale of digital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4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2019, our disclosure controls and procedures were effective at the reasonable assurance level.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June 30, 2019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2019. However, based on our knowledge as of June 30, 2019,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common stock involves a high degree of risk. We describe risks associated with our business in Part I, Item 1A of our Annual Report on Form 10-K for the year ended December 31, 2018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There are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initial public offering of common stock was effected through a Registration Statement on Form S-1 (File No.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333-193739), which was declared effective on April 1, 2014. There has been no material change in the planned use of proceeds from our initial public offering as described in our final prospectus filed with the SEC pursuant to Rule 424(b) of the Securities Act and other periodic reports previously filed with the SEC.</w:t>
      </w:r>
    </w:p>
    <w:p>
      <w:pPr>
        <w:spacing w:after="0" w:line="141" w:lineRule="exact"/>
        <w:rPr>
          <w:sz w:val="20"/>
          <w:szCs w:val="20"/>
          <w:color w:val="auto"/>
        </w:rPr>
      </w:pPr>
    </w:p>
    <w:p>
      <w:pPr>
        <w:ind w:left="660" w:right="5200" w:hanging="4"/>
        <w:spacing w:after="0" w:line="387" w:lineRule="auto"/>
        <w:tabs>
          <w:tab w:leader="none" w:pos="90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There were no repurchases of common stock during the three months ended June 30, 2019.</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58"/>
        </w:trPr>
        <w:tc>
          <w:tcPr>
            <w:tcW w:w="230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8"/>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Sixth Amended and Restated Certificate of Incorporation of the Registrant (incorporated by reference to Exhibit 3.1 to the</w:t>
              </w:r>
            </w:hyperlink>
          </w:p>
        </w:tc>
        <w:tc>
          <w:tcPr>
            <w:tcW w:w="160" w:type="dxa"/>
            <w:vAlign w:val="bottom"/>
            <w:gridSpan w:val="2"/>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Registrant's Quarterly Report on Form 10-Q filed with the Commission on May 15, 2014).</w:t>
              </w:r>
            </w:hyperlink>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Amended and Restated Bylaws of the Registrant (incorporated by reference to Exhibit 3.1 to the Registrant's Current</w:t>
              </w:r>
            </w:hyperlink>
          </w:p>
        </w:tc>
        <w:tc>
          <w:tcPr>
            <w:tcW w:w="540" w:type="dxa"/>
            <w:vAlign w:val="bottom"/>
            <w:gridSpan w:val="5"/>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Report on Form 8-K filed with the Commission on April 8, 2016).</w:t>
              </w:r>
            </w:hyperlink>
          </w:p>
        </w:tc>
        <w:tc>
          <w:tcPr>
            <w:tcW w:w="4180" w:type="dxa"/>
            <w:vAlign w:val="bottom"/>
            <w:gridSpan w:val="8"/>
          </w:tcPr>
          <w:p>
            <w:pPr>
              <w:spacing w:after="0"/>
              <w:rPr>
                <w:sz w:val="17"/>
                <w:szCs w:val="17"/>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10"/>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 of Principal Executive Officer Pursuant to Exchange Act Rules 13a-14(a) and 15d-14(a), as adopted pursuant</w:t>
              </w:r>
            </w:hyperlink>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to Section 302 of the Sarbanes-Oxley Act of 2002.</w:t>
              </w:r>
            </w:hyperlink>
          </w:p>
        </w:tc>
        <w:tc>
          <w:tcPr>
            <w:tcW w:w="140" w:type="dxa"/>
            <w:vAlign w:val="bottom"/>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 of Principal Financial Officer Pursuant to Exchange Act Rules 13a-14(a) and 15d-14(a), as adopted pursuant</w:t>
              </w:r>
            </w:hyperlink>
          </w:p>
        </w:tc>
        <w:tc>
          <w:tcPr>
            <w:tcW w:w="180" w:type="dxa"/>
            <w:vAlign w:val="bottom"/>
            <w:gridSpan w:val="3"/>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to Section 302 of the Sarbanes-Oxley Act of 2002.</w:t>
              </w:r>
            </w:hyperlink>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2300" w:type="dxa"/>
            <w:vAlign w:val="bottom"/>
          </w:tcPr>
          <w:p>
            <w:pPr>
              <w:ind w:left="40"/>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the Principal Executive Officer and Principal Financial Officer Pursuant to 18 U.S.C. Section 1350, as</w:t>
              </w:r>
            </w:hyperlink>
          </w:p>
        </w:tc>
        <w:tc>
          <w:tcPr>
            <w:tcW w:w="440" w:type="dxa"/>
            <w:vAlign w:val="bottom"/>
            <w:gridSpan w:val="4"/>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adopted pursuant to Section 906 of the Sarbanes-Oxley Act of 2002.</w:t>
              </w:r>
            </w:hyperlink>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27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w w:val="97"/>
              </w:rPr>
              <w:t>Instance Document- the instance document does not appear in the Interactive Data File because its XBRL tags are</w:t>
            </w: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500" w:right="60" w:hanging="492"/>
        <w:spacing w:after="0" w:line="232" w:lineRule="auto"/>
        <w:tabs>
          <w:tab w:leader="none" w:pos="50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July 31, 2019</w:t>
      </w:r>
    </w:p>
    <w:p>
      <w:pPr>
        <w:sectPr>
          <w:pgSz w:w="11900" w:h="16838" w:orient="portrait"/>
          <w:cols w:equalWidth="0" w:num="1">
            <w:col w:w="10940"/>
          </w:cols>
          <w:pgMar w:left="240" w:top="125" w:right="71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July 31, 2019</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July 31, 2019</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160" w:hanging="328"/>
        <w:spacing w:after="0" w:line="40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June 30, 2019,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10"/>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Archives/edgar/data/1595974/000159597414000004/rubi20140331exhibit31.htm" TargetMode="External"/><Relationship Id="rId13"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2019-12-28T09:05:22Z</dcterms:created>
  <dcterms:modified xsi:type="dcterms:W3CDTF">2019-12-28T09:05:22Z</dcterms:modified>
</cp:coreProperties>
</file>