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(Mark One)</w:t>
      </w:r>
    </w:p>
    <w:p>
      <w:pPr>
        <w:spacing w:after="0" w:line="270" w:lineRule="exact"/>
        <w:rPr>
          <w:sz w:val="24"/>
          <w:szCs w:val="24"/>
          <w:color w:val="auto"/>
        </w:rPr>
      </w:pPr>
    </w:p>
    <w:p>
      <w:pPr>
        <w:ind w:left="1360" w:hanging="225"/>
        <w:spacing w:after="0"/>
        <w:tabs>
          <w:tab w:leader="none" w:pos="1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3140" w:right="920" w:hanging="2212"/>
        <w:spacing w:after="0" w:line="262" w:lineRule="auto"/>
        <w:tabs>
          <w:tab w:leader="none" w:pos="115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001-36384</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240"/>
          </w:cols>
          <w:pgMar w:left="320" w:top="229" w:right="339" w:bottom="0" w:gutter="0" w:footer="0" w:header="0"/>
        </w:sectPr>
      </w:pPr>
    </w:p>
    <w:p>
      <w:pPr>
        <w:spacing w:after="0" w:line="2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20-8881738</w:t>
      </w:r>
    </w:p>
    <w:p>
      <w:pPr>
        <w:spacing w:after="0" w:line="38" w:lineRule="exact"/>
        <w:rPr>
          <w:sz w:val="24"/>
          <w:szCs w:val="24"/>
          <w:color w:val="auto"/>
        </w:rPr>
      </w:pPr>
    </w:p>
    <w:p>
      <w:pPr>
        <w:sectPr>
          <w:pgSz w:w="11900" w:h="16838" w:orient="portrait"/>
          <w:cols w:equalWidth="0" w:num="2">
            <w:col w:w="7860" w:space="720"/>
            <w:col w:w="2660"/>
          </w:cols>
          <w:pgMar w:left="320" w:top="229" w:right="339" w:bottom="0" w:gutter="0" w:footer="0" w:header="0"/>
          <w:type w:val="continuous"/>
        </w:sectPr>
      </w:pPr>
    </w:p>
    <w:p>
      <w:pPr>
        <w:jc w:val="center"/>
        <w:ind w:right="25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252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83" w:lineRule="exact"/>
        <w:rPr>
          <w:sz w:val="24"/>
          <w:szCs w:val="24"/>
          <w:color w:val="auto"/>
        </w:rPr>
      </w:pPr>
    </w:p>
    <w:p>
      <w:pPr>
        <w:sectPr>
          <w:pgSz w:w="11900" w:h="16838" w:orient="portrait"/>
          <w:cols w:equalWidth="0" w:num="2">
            <w:col w:w="6980" w:space="720"/>
            <w:col w:w="3540"/>
          </w:cols>
          <w:pgMar w:left="320" w:top="229" w:right="339" w:bottom="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12181 Bluff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Los Angeles,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CA</w:t>
      </w:r>
    </w:p>
    <w:p>
      <w:pPr>
        <w:spacing w:after="0" w:line="31" w:lineRule="exact"/>
        <w:rPr>
          <w:sz w:val="24"/>
          <w:szCs w:val="24"/>
          <w:color w:val="auto"/>
        </w:rPr>
      </w:pPr>
    </w:p>
    <w:p>
      <w:pPr>
        <w:sectPr>
          <w:pgSz w:w="11900" w:h="16838" w:orient="portrait"/>
          <w:cols w:equalWidth="0" w:num="4">
            <w:col w:w="3820" w:space="720"/>
            <w:col w:w="700" w:space="620"/>
            <w:col w:w="2300" w:space="720"/>
            <w:col w:w="2360"/>
          </w:cols>
          <w:pgMar w:left="320" w:top="229" w:right="33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90094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1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310 207-0272</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400"/>
        <w:spacing w:after="0"/>
        <w:tabs>
          <w:tab w:leader="none" w:pos="4420" w:val="left"/>
          <w:tab w:leader="none" w:pos="708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3" w:lineRule="exact"/>
        <w:rPr>
          <w:sz w:val="24"/>
          <w:szCs w:val="24"/>
          <w:color w:val="auto"/>
        </w:rPr>
      </w:pPr>
    </w:p>
    <w:p>
      <w:pPr>
        <w:ind w:left="320"/>
        <w:spacing w:after="0"/>
        <w:tabs>
          <w:tab w:leader="none" w:pos="4840" w:val="left"/>
          <w:tab w:leader="none" w:pos="7540" w:val="left"/>
        </w:tabs>
        <w:rPr>
          <w:sz w:val="20"/>
          <w:szCs w:val="20"/>
          <w:color w:val="auto"/>
        </w:rPr>
      </w:pPr>
      <w:r>
        <w:rPr>
          <w:rFonts w:ascii="Times New Roman" w:cs="Times New Roman" w:eastAsia="Times New Roman" w:hAnsi="Times New Roman"/>
          <w:sz w:val="18"/>
          <w:szCs w:val="18"/>
          <w:b w:val="1"/>
          <w:bCs w:val="1"/>
          <w:color w:val="auto"/>
        </w:rPr>
        <w:t>Common stock, par value $0.00001 per share</w:t>
      </w:r>
      <w:r>
        <w:rPr>
          <w:sz w:val="20"/>
          <w:szCs w:val="20"/>
          <w:color w:val="auto"/>
        </w:rPr>
        <w:tab/>
      </w:r>
      <w:r>
        <w:rPr>
          <w:rFonts w:ascii="Times New Roman" w:cs="Times New Roman" w:eastAsia="Times New Roman" w:hAnsi="Times New Roman"/>
          <w:sz w:val="18"/>
          <w:szCs w:val="18"/>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0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240"/>
          </w:cols>
          <w:pgMar w:left="320" w:top="229" w:right="339" w:bottom="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108" w:lineRule="exact"/>
        <w:rPr>
          <w:sz w:val="24"/>
          <w:szCs w:val="24"/>
          <w:color w:val="auto"/>
        </w:rPr>
      </w:pPr>
    </w:p>
    <w:p>
      <w:pPr>
        <w:sectPr>
          <w:pgSz w:w="11900" w:h="16838" w:orient="portrait"/>
          <w:cols w:equalWidth="0" w:num="3">
            <w:col w:w="8460" w:space="180"/>
            <w:col w:w="480" w:space="140"/>
            <w:col w:w="1980"/>
          </w:cols>
          <w:pgMar w:left="320" w:top="229" w:right="339" w:bottom="0" w:gutter="0" w:footer="0" w:header="0"/>
          <w:type w:val="continuous"/>
        </w:sectPr>
      </w:pP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line="19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w:t>
      </w:r>
    </w:p>
    <w:p>
      <w:pPr>
        <w:spacing w:after="0" w:line="161" w:lineRule="exact"/>
        <w:rPr>
          <w:sz w:val="24"/>
          <w:szCs w:val="24"/>
          <w:color w:val="auto"/>
        </w:rPr>
      </w:pPr>
    </w:p>
    <w:p>
      <w:pPr>
        <w:sectPr>
          <w:pgSz w:w="11900" w:h="16838" w:orient="portrait"/>
          <w:cols w:equalWidth="0" w:num="3">
            <w:col w:w="8620" w:space="140"/>
            <w:col w:w="480" w:space="140"/>
            <w:col w:w="1860"/>
          </w:cols>
          <w:pgMar w:left="320" w:top="229" w:right="339" w:bottom="0" w:gutter="0" w:footer="0" w:header="0"/>
          <w:type w:val="continuous"/>
        </w:sect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3"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29"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type w:val="continuous"/>
        </w:sectPr>
      </w:pP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4600" w:space="720"/>
            <w:col w:w="160" w:space="140"/>
            <w:col w:w="4720" w:space="720"/>
            <w:col w:w="180"/>
          </w:cols>
          <w:pgMar w:left="320" w:top="229" w:right="339" w:bottom="0" w:gutter="0" w:footer="0" w:header="0"/>
          <w:type w:val="continuous"/>
        </w:sectPr>
      </w:pP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4600" w:space="720"/>
            <w:col w:w="160" w:space="140"/>
            <w:col w:w="4720" w:space="720"/>
            <w:col w:w="180"/>
          </w:cols>
          <w:pgMar w:left="320" w:top="229" w:right="339" w:bottom="0" w:gutter="0" w:footer="0" w:header="0"/>
          <w:type w:val="continuous"/>
        </w:sectPr>
      </w:pPr>
    </w:p>
    <w:p>
      <w:pPr>
        <w:spacing w:after="0" w:line="2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10340" w:space="720"/>
            <w:col w:w="180"/>
          </w:cols>
          <w:pgMar w:left="320" w:top="229" w:right="339" w:bottom="0" w:gutter="0" w:footer="0" w:header="0"/>
          <w:type w:val="continuous"/>
        </w:sectPr>
      </w:pPr>
    </w:p>
    <w:p>
      <w:pPr>
        <w:spacing w:after="0" w:line="25"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0" w:lineRule="exact"/>
        <w:rPr>
          <w:sz w:val="24"/>
          <w:szCs w:val="24"/>
          <w:color w:val="auto"/>
        </w:rPr>
      </w:pPr>
    </w:p>
    <w:p>
      <w:pPr>
        <w:ind w:right="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3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2020, the aggregate market value of shares held by non-affiliates of the registrant (based on the closing sales price of such shares on the Nasdaq Global Select Market on June 30, 2020) was approximately $646.3 million.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ectPr>
          <w:pgSz w:w="11900" w:h="16838" w:orient="portrait"/>
          <w:cols w:equalWidth="0" w:num="1">
            <w:col w:w="11240"/>
          </w:cols>
          <w:pgMar w:left="320" w:top="229" w:right="339" w:bottom="0" w:gutter="0" w:footer="0" w:header="0"/>
          <w:type w:val="continuous"/>
        </w:sectPr>
      </w:pPr>
    </w:p>
    <w:bookmarkStart w:id="1" w:name="page2"/>
    <w:bookmarkEnd w:id="1"/>
    <w:tbl>
      <w:tblPr>
        <w:tblLayout w:type="fixed"/>
        <w:tblInd w:w="1500" w:type="dxa"/>
        <w:tblCellMar>
          <w:top w:w="0" w:type="dxa"/>
          <w:left w:w="0" w:type="dxa"/>
          <w:bottom w:w="0" w:type="dxa"/>
          <w:right w:w="0" w:type="dxa"/>
        </w:tblCellMar>
      </w:tblPr>
      <w:tr>
        <w:trPr>
          <w:trHeight w:val="21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as of February 19, 2021</w:t>
            </w:r>
          </w:p>
        </w:tc>
      </w:tr>
      <w:tr>
        <w:trPr>
          <w:trHeight w:val="235"/>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right"/>
              <w:ind w:right="1515"/>
              <w:spacing w:after="0"/>
              <w:rPr>
                <w:sz w:val="20"/>
                <w:szCs w:val="20"/>
                <w:color w:val="auto"/>
              </w:rPr>
            </w:pPr>
            <w:r>
              <w:rPr>
                <w:rFonts w:ascii="Times New Roman" w:cs="Times New Roman" w:eastAsia="Times New Roman" w:hAnsi="Times New Roman"/>
                <w:sz w:val="18"/>
                <w:szCs w:val="18"/>
                <w:b w:val="1"/>
                <w:bCs w:val="1"/>
                <w:color w:val="auto"/>
              </w:rPr>
              <w:t>115,570,100</w:t>
            </w:r>
          </w:p>
        </w:tc>
      </w:tr>
    </w:tbl>
    <w:p>
      <w:pPr>
        <w:spacing w:after="0" w:line="200" w:lineRule="exact"/>
        <w:rPr>
          <w:sz w:val="20"/>
          <w:szCs w:val="20"/>
          <w:color w:val="auto"/>
        </w:rPr>
      </w:pPr>
    </w:p>
    <w:p>
      <w:pPr>
        <w:spacing w:after="0" w:line="3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To the extent herein specifically referenced in Part III, portions of the Registrant's definitive Proxy Statement for the 2021 Annual General Meeting of Shareholders to be filed with the Securities and Exchange Commission pursuant to Regulation 14A. See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3"/>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360" w:type="dxa"/>
            <w:vAlign w:val="bottom"/>
          </w:tcPr>
          <w:p>
            <w:pPr>
              <w:spacing w:after="0"/>
              <w:rPr>
                <w:sz w:val="17"/>
                <w:szCs w:val="17"/>
                <w:color w:val="auto"/>
              </w:rPr>
            </w:pPr>
          </w:p>
        </w:tc>
      </w:tr>
      <w:tr>
        <w:trPr>
          <w:trHeight w:val="768"/>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MAGNITE, INC.</w:t>
            </w:r>
          </w:p>
        </w:tc>
        <w:tc>
          <w:tcPr>
            <w:tcW w:w="136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3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2020</w:t>
            </w:r>
          </w:p>
        </w:tc>
        <w:tc>
          <w:tcPr>
            <w:tcW w:w="1360" w:type="dxa"/>
            <w:vAlign w:val="bottom"/>
          </w:tcPr>
          <w:p>
            <w:pPr>
              <w:spacing w:after="0"/>
              <w:rPr>
                <w:sz w:val="18"/>
                <w:szCs w:val="18"/>
                <w:color w:val="auto"/>
              </w:rPr>
            </w:pPr>
          </w:p>
        </w:tc>
      </w:tr>
      <w:tr>
        <w:trPr>
          <w:trHeight w:val="238"/>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60" w:type="dxa"/>
            <w:vAlign w:val="bottom"/>
          </w:tcPr>
          <w:p>
            <w:pPr>
              <w:spacing w:after="0"/>
              <w:rPr>
                <w:sz w:val="20"/>
                <w:szCs w:val="20"/>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25"/>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No.</w:t>
            </w:r>
          </w:p>
        </w:tc>
      </w:tr>
      <w:tr>
        <w:trPr>
          <w:trHeight w:val="234"/>
        </w:trPr>
        <w:tc>
          <w:tcPr>
            <w:tcW w:w="9880" w:type="dxa"/>
            <w:vAlign w:val="bottom"/>
            <w:gridSpan w:val="3"/>
          </w:tcPr>
          <w:p>
            <w:pPr>
              <w:ind w:left="1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Special Note About Forward-Looking Statements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r>
      <w:tr>
        <w:trPr>
          <w:trHeight w:val="441"/>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Business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Risk Factors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18">
              <w:r>
                <w:rPr>
                  <w:rFonts w:ascii="Times New Roman" w:cs="Times New Roman" w:eastAsia="Times New Roman" w:hAnsi="Times New Roman"/>
                  <w:sz w:val="18"/>
                  <w:szCs w:val="18"/>
                  <w:u w:val="single" w:color="auto"/>
                  <w:color w:val="0000FF"/>
                  <w:w w:val="99"/>
                </w:rPr>
                <w:t>18</w:t>
              </w:r>
            </w:hyperlink>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1B.</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Unresolved Staff Comments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2">
              <w:r>
                <w:rPr>
                  <w:rFonts w:ascii="Times New Roman" w:cs="Times New Roman" w:eastAsia="Times New Roman" w:hAnsi="Times New Roman"/>
                  <w:sz w:val="18"/>
                  <w:szCs w:val="18"/>
                  <w:u w:val="single" w:color="auto"/>
                  <w:color w:val="0000FF"/>
                  <w:w w:val="99"/>
                </w:rPr>
                <w:t>42</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Properties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2">
              <w:r>
                <w:rPr>
                  <w:rFonts w:ascii="Times New Roman" w:cs="Times New Roman" w:eastAsia="Times New Roman" w:hAnsi="Times New Roman"/>
                  <w:sz w:val="18"/>
                  <w:szCs w:val="18"/>
                  <w:u w:val="single" w:color="auto"/>
                  <w:color w:val="0000FF"/>
                  <w:w w:val="99"/>
                </w:rPr>
                <w:t>42</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Legal Proceedings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3">
              <w:r>
                <w:rPr>
                  <w:rFonts w:ascii="Times New Roman" w:cs="Times New Roman" w:eastAsia="Times New Roman" w:hAnsi="Times New Roman"/>
                  <w:sz w:val="18"/>
                  <w:szCs w:val="18"/>
                  <w:u w:val="single" w:color="auto"/>
                  <w:color w:val="0000FF"/>
                  <w:w w:val="99"/>
                </w:rPr>
                <w:t>43</w:t>
              </w:r>
            </w:hyperlink>
          </w:p>
        </w:tc>
      </w:tr>
      <w:tr>
        <w:trPr>
          <w:trHeight w:val="234"/>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Mine Safety Disclosures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3">
              <w:r>
                <w:rPr>
                  <w:rFonts w:ascii="Times New Roman" w:cs="Times New Roman" w:eastAsia="Times New Roman" w:hAnsi="Times New Roman"/>
                  <w:sz w:val="18"/>
                  <w:szCs w:val="18"/>
                  <w:u w:val="single" w:color="auto"/>
                  <w:color w:val="0000FF"/>
                  <w:w w:val="99"/>
                </w:rPr>
                <w:t>43</w:t>
              </w:r>
            </w:hyperlink>
          </w:p>
        </w:tc>
      </w:tr>
      <w:tr>
        <w:trPr>
          <w:trHeight w:val="441"/>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4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44</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Selected Financial Data</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5">
              <w:r>
                <w:rPr>
                  <w:rFonts w:ascii="Times New Roman" w:cs="Times New Roman" w:eastAsia="Times New Roman" w:hAnsi="Times New Roman"/>
                  <w:sz w:val="18"/>
                  <w:szCs w:val="18"/>
                  <w:u w:val="single" w:color="auto"/>
                  <w:color w:val="0000FF"/>
                  <w:w w:val="99"/>
                </w:rPr>
                <w:t>45</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7.</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46">
              <w:r>
                <w:rPr>
                  <w:rFonts w:ascii="Times New Roman" w:cs="Times New Roman" w:eastAsia="Times New Roman" w:hAnsi="Times New Roman"/>
                  <w:sz w:val="18"/>
                  <w:szCs w:val="18"/>
                  <w:u w:val="single" w:color="auto"/>
                  <w:color w:val="0000FF"/>
                  <w:w w:val="99"/>
                </w:rPr>
                <w:t>47</w:t>
              </w:r>
            </w:hyperlink>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7A.</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Quantitative and Qualitative Disclosures About Market Risk</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61">
              <w:r>
                <w:rPr>
                  <w:rFonts w:ascii="Times New Roman" w:cs="Times New Roman" w:eastAsia="Times New Roman" w:hAnsi="Times New Roman"/>
                  <w:sz w:val="18"/>
                  <w:szCs w:val="18"/>
                  <w:u w:val="single" w:color="auto"/>
                  <w:color w:val="0000FF"/>
                  <w:w w:val="99"/>
                </w:rPr>
                <w:t>61</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8.</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Financial Statements and Supplementary Data</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9"/>
              </w:rPr>
            </w:pPr>
            <w:hyperlink w:anchor="page62">
              <w:r>
                <w:rPr>
                  <w:rFonts w:ascii="Times New Roman" w:cs="Times New Roman" w:eastAsia="Times New Roman" w:hAnsi="Times New Roman"/>
                  <w:sz w:val="18"/>
                  <w:szCs w:val="18"/>
                  <w:u w:val="single" w:color="auto"/>
                  <w:color w:val="0000FF"/>
                  <w:w w:val="99"/>
                </w:rPr>
                <w:t>63</w:t>
              </w:r>
            </w:hyperlink>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2">
              <w:r>
                <w:rPr>
                  <w:rFonts w:ascii="Times New Roman" w:cs="Times New Roman" w:eastAsia="Times New Roman" w:hAnsi="Times New Roman"/>
                  <w:sz w:val="18"/>
                  <w:szCs w:val="18"/>
                  <w:u w:val="single" w:color="auto"/>
                  <w:color w:val="0000FF"/>
                  <w:w w:val="96"/>
                </w:rPr>
                <w:t>102</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9A.</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Controls and Procedures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2">
              <w:r>
                <w:rPr>
                  <w:rFonts w:ascii="Times New Roman" w:cs="Times New Roman" w:eastAsia="Times New Roman" w:hAnsi="Times New Roman"/>
                  <w:sz w:val="18"/>
                  <w:szCs w:val="18"/>
                  <w:u w:val="single" w:color="auto"/>
                  <w:color w:val="0000FF"/>
                  <w:w w:val="96"/>
                </w:rPr>
                <w:t>102</w:t>
              </w:r>
            </w:hyperlink>
          </w:p>
        </w:tc>
      </w:tr>
      <w:tr>
        <w:trPr>
          <w:trHeight w:val="234"/>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9B.</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Other Information</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3">
              <w:r>
                <w:rPr>
                  <w:rFonts w:ascii="Times New Roman" w:cs="Times New Roman" w:eastAsia="Times New Roman" w:hAnsi="Times New Roman"/>
                  <w:sz w:val="18"/>
                  <w:szCs w:val="18"/>
                  <w:u w:val="single" w:color="auto"/>
                  <w:color w:val="0000FF"/>
                  <w:w w:val="96"/>
                </w:rPr>
                <w:t>103</w:t>
              </w:r>
            </w:hyperlink>
          </w:p>
        </w:tc>
      </w:tr>
      <w:tr>
        <w:trPr>
          <w:trHeight w:val="441"/>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4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10.</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Directors, Executive Officers and Corporate Governance</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3">
              <w:r>
                <w:rPr>
                  <w:rFonts w:ascii="Times New Roman" w:cs="Times New Roman" w:eastAsia="Times New Roman" w:hAnsi="Times New Roman"/>
                  <w:sz w:val="18"/>
                  <w:szCs w:val="18"/>
                  <w:u w:val="single" w:color="auto"/>
                  <w:color w:val="0000FF"/>
                  <w:w w:val="96"/>
                </w:rPr>
                <w:t>103</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11.</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Executive Compensation</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3">
              <w:r>
                <w:rPr>
                  <w:rFonts w:ascii="Times New Roman" w:cs="Times New Roman" w:eastAsia="Times New Roman" w:hAnsi="Times New Roman"/>
                  <w:sz w:val="18"/>
                  <w:szCs w:val="18"/>
                  <w:u w:val="single" w:color="auto"/>
                  <w:color w:val="0000FF"/>
                  <w:w w:val="96"/>
                </w:rPr>
                <w:t>103</w:t>
              </w:r>
            </w:hyperlink>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12.</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4">
              <w:r>
                <w:rPr>
                  <w:rFonts w:ascii="Times New Roman" w:cs="Times New Roman" w:eastAsia="Times New Roman" w:hAnsi="Times New Roman"/>
                  <w:sz w:val="18"/>
                  <w:szCs w:val="18"/>
                  <w:u w:val="single" w:color="auto"/>
                  <w:color w:val="0000FF"/>
                  <w:w w:val="96"/>
                </w:rPr>
                <w:t>104</w:t>
              </w:r>
            </w:hyperlink>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13.</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4">
              <w:r>
                <w:rPr>
                  <w:rFonts w:ascii="Times New Roman" w:cs="Times New Roman" w:eastAsia="Times New Roman" w:hAnsi="Times New Roman"/>
                  <w:sz w:val="18"/>
                  <w:szCs w:val="18"/>
                  <w:u w:val="single" w:color="auto"/>
                  <w:color w:val="0000FF"/>
                  <w:w w:val="96"/>
                </w:rPr>
                <w:t>104</w:t>
              </w:r>
            </w:hyperlink>
          </w:p>
        </w:tc>
      </w:tr>
      <w:tr>
        <w:trPr>
          <w:trHeight w:val="234"/>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14.</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Principal Accountant Fees and Services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4">
              <w:r>
                <w:rPr>
                  <w:rFonts w:ascii="Times New Roman" w:cs="Times New Roman" w:eastAsia="Times New Roman" w:hAnsi="Times New Roman"/>
                  <w:sz w:val="18"/>
                  <w:szCs w:val="18"/>
                  <w:u w:val="single" w:color="auto"/>
                  <w:color w:val="0000FF"/>
                  <w:w w:val="96"/>
                </w:rPr>
                <w:t>104</w:t>
              </w:r>
            </w:hyperlink>
          </w:p>
        </w:tc>
      </w:tr>
      <w:tr>
        <w:trPr>
          <w:trHeight w:val="441"/>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4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15.</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Exhibits, Financial Statement Schedules</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5">
              <w:r>
                <w:rPr>
                  <w:rFonts w:ascii="Times New Roman" w:cs="Times New Roman" w:eastAsia="Times New Roman" w:hAnsi="Times New Roman"/>
                  <w:sz w:val="18"/>
                  <w:szCs w:val="18"/>
                  <w:u w:val="single" w:color="auto"/>
                  <w:color w:val="0000FF"/>
                  <w:w w:val="96"/>
                </w:rPr>
                <w:t>105</w:t>
              </w:r>
            </w:hyperlink>
          </w:p>
        </w:tc>
      </w:tr>
      <w:tr>
        <w:trPr>
          <w:trHeight w:val="229"/>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16.</w:t>
            </w:r>
          </w:p>
        </w:tc>
        <w:tc>
          <w:tcPr>
            <w:tcW w:w="884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Form 10-K Summary</w:t>
              </w:r>
            </w:hyperlink>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7">
              <w:r>
                <w:rPr>
                  <w:rFonts w:ascii="Times New Roman" w:cs="Times New Roman" w:eastAsia="Times New Roman" w:hAnsi="Times New Roman"/>
                  <w:sz w:val="18"/>
                  <w:szCs w:val="18"/>
                  <w:u w:val="single" w:color="auto"/>
                  <w:color w:val="0000FF"/>
                  <w:w w:val="96"/>
                </w:rPr>
                <w:t>107</w:t>
              </w:r>
            </w:hyperlink>
          </w:p>
        </w:tc>
      </w:tr>
      <w:tr>
        <w:trPr>
          <w:trHeight w:val="234"/>
        </w:trPr>
        <w:tc>
          <w:tcPr>
            <w:tcW w:w="1040" w:type="dxa"/>
            <w:vAlign w:val="bottom"/>
          </w:tcPr>
          <w:p>
            <w:pPr>
              <w:ind w:left="16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Signatures</w:t>
              </w:r>
            </w:hyperlink>
          </w:p>
        </w:tc>
        <w:tc>
          <w:tcPr>
            <w:tcW w:w="24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360" w:type="dxa"/>
            <w:vAlign w:val="bottom"/>
          </w:tcPr>
          <w:p>
            <w:pPr>
              <w:jc w:val="center"/>
              <w:ind w:left="210"/>
              <w:spacing w:after="0"/>
              <w:rPr>
                <w:rFonts w:ascii="Times New Roman" w:cs="Times New Roman" w:eastAsia="Times New Roman" w:hAnsi="Times New Roman"/>
                <w:sz w:val="18"/>
                <w:szCs w:val="18"/>
                <w:u w:val="single" w:color="auto"/>
                <w:color w:val="0000FF"/>
                <w:w w:val="96"/>
              </w:rPr>
            </w:pPr>
            <w:hyperlink w:anchor="page107">
              <w:r>
                <w:rPr>
                  <w:rFonts w:ascii="Times New Roman" w:cs="Times New Roman" w:eastAsia="Times New Roman" w:hAnsi="Times New Roman"/>
                  <w:sz w:val="18"/>
                  <w:szCs w:val="18"/>
                  <w:u w:val="single" w:color="auto"/>
                  <w:color w:val="0000FF"/>
                  <w:w w:val="96"/>
                </w:rPr>
                <w:t>108</w:t>
              </w:r>
            </w:hyperlink>
          </w:p>
        </w:tc>
      </w:tr>
      <w:tr>
        <w:trPr>
          <w:trHeight w:val="878"/>
        </w:trPr>
        <w:tc>
          <w:tcPr>
            <w:tcW w:w="1040" w:type="dxa"/>
            <w:vAlign w:val="bottom"/>
          </w:tcPr>
          <w:p>
            <w:pPr>
              <w:spacing w:after="0"/>
              <w:rPr>
                <w:sz w:val="24"/>
                <w:szCs w:val="24"/>
                <w:color w:val="auto"/>
              </w:rPr>
            </w:pPr>
          </w:p>
        </w:tc>
        <w:tc>
          <w:tcPr>
            <w:tcW w:w="88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i w:val="1"/>
          <w:iCs w:val="1"/>
          <w:color w:val="auto"/>
        </w:rPr>
        <w:t>SPECIAL NOTE ABOUT FORWARD-LOOKING STATEMENTS; SUMMARY OF RISK FACTORS</w:t>
      </w:r>
    </w:p>
    <w:p>
      <w:pPr>
        <w:spacing w:after="0" w:line="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proposed acquisition of SpotX, Inc. ("SpotX," and such proposed acquisition the "SpotX Acquisition") or the anticipated benefits thereof; completion of the proposed SpotX Acquisition on anticipated terms and timing; statements concerning the potential impacts of the COVID-19 pandemic on our business operations, financial condition, and results of operations and on the world economy; our anticipated financial performance; anticipated benefits or effects related to our completed merger with Telaria, Inc. ("Telaria" and such merger the "Merger"); strategic objectives, including our focus on connected television ("CTV"), mobile, video, header bidding, Demand Manager, identity solutions, and private marketplace opportunities; investments in our business; development of our technology;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CTV, mobile, video, and private marketplace offerings; sales growth; client utilization of our offerings; our competitive differentiation; our market share and leadership position in the industry; market conditions, trends, and opportunities; certain statements regarding future operational performance measures including ad requests, fill rate, paid impressions, average CPM, take rate, and advertising spend;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that our business face include, but are not limited to, the following:</w:t>
      </w:r>
    </w:p>
    <w:p>
      <w:pPr>
        <w:spacing w:after="0" w:line="9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not complete the acquisition of SpotX or realize the anticipated benefits of the SpotX Acquisition;</w:t>
      </w:r>
    </w:p>
    <w:p>
      <w:pPr>
        <w:spacing w:after="0" w:line="49" w:lineRule="exact"/>
        <w:rPr>
          <w:rFonts w:ascii="Times New Roman" w:cs="Times New Roman" w:eastAsia="Times New Roman" w:hAnsi="Times New Roman"/>
          <w:sz w:val="18"/>
          <w:szCs w:val="18"/>
          <w:i w:val="1"/>
          <w:iCs w:val="1"/>
          <w:color w:val="auto"/>
        </w:rPr>
      </w:pPr>
    </w:p>
    <w:p>
      <w:pPr>
        <w:ind w:left="660" w:right="54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proposed financing of the SpotX Acquisition will significantly increase our leverage, which may put us at risk of defaulting on our debt obligations and limit our ability to conduct certain activities;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completion of the SpotX Acquisition will result in dilution to our stockholders;</w:t>
      </w:r>
    </w:p>
    <w:p>
      <w:pPr>
        <w:spacing w:after="0" w:line="36" w:lineRule="exact"/>
        <w:rPr>
          <w:rFonts w:ascii="Times New Roman" w:cs="Times New Roman" w:eastAsia="Times New Roman" w:hAnsi="Times New Roman"/>
          <w:sz w:val="18"/>
          <w:szCs w:val="18"/>
          <w:i w:val="1"/>
          <w:iCs w:val="1"/>
          <w:color w:val="auto"/>
        </w:rPr>
      </w:pPr>
    </w:p>
    <w:p>
      <w:pPr>
        <w:ind w:left="660" w:right="40" w:hanging="328"/>
        <w:spacing w:after="0" w:line="290" w:lineRule="auto"/>
        <w:tabs>
          <w:tab w:leader="none" w:pos="655"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severity, magnitude, and duration of the COVID-19 pandemic, including impacts of the pandemic and of responses to the pandemic by governments, business and individuals on our operations, personnel, buyers, sellers, and on the global economy and the advertising marketplace;</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vulnerability to the depletion of cash resources as a result of impacts of the COVID-19 pandemic;</w:t>
      </w:r>
    </w:p>
    <w:p>
      <w:pPr>
        <w:spacing w:after="0" w:line="49" w:lineRule="exact"/>
        <w:rPr>
          <w:rFonts w:ascii="Times New Roman" w:cs="Times New Roman" w:eastAsia="Times New Roman" w:hAnsi="Times New Roman"/>
          <w:sz w:val="18"/>
          <w:szCs w:val="18"/>
          <w:i w:val="1"/>
          <w:iCs w:val="1"/>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not realize the anticipated benefits of the Merger;</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unsuccessful in our Supply Path Optimization efforts;</w:t>
      </w:r>
    </w:p>
    <w:p>
      <w:pPr>
        <w:spacing w:after="0" w:line="49" w:lineRule="exact"/>
        <w:rPr>
          <w:rFonts w:ascii="Times New Roman" w:cs="Times New Roman" w:eastAsia="Times New Roman" w:hAnsi="Times New Roman"/>
          <w:sz w:val="18"/>
          <w:szCs w:val="18"/>
          <w:i w:val="1"/>
          <w:iCs w:val="1"/>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introduce new offerings and bring them to market in a timely manner, and otherwise adapt in response to client demands and industry trends;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our estimates and expectations associated with new offerings;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lack of adoption and market acceptance of our Demand Manager solution;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technology development efforts may be inefficient or ineffective, or not keep pace with competitors;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increase the scale and efficiency of our technology infrastructure to support our growth;</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emergence of header bidding has increased competition from other demand sources and may cause infrastructure strain and added costs;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access to mobile inventory may be limited by third-party technology or lack of direct relationships with mobile sellers;</w:t>
      </w:r>
    </w:p>
    <w:p>
      <w:pPr>
        <w:spacing w:after="0" w:line="36" w:lineRule="exact"/>
        <w:rPr>
          <w:rFonts w:ascii="Times New Roman" w:cs="Times New Roman" w:eastAsia="Times New Roman" w:hAnsi="Times New Roman"/>
          <w:sz w:val="18"/>
          <w:szCs w:val="18"/>
          <w:i w:val="1"/>
          <w:iCs w:val="1"/>
          <w:color w:val="auto"/>
        </w:rPr>
      </w:pPr>
    </w:p>
    <w:p>
      <w:pPr>
        <w:ind w:left="660" w:right="10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experience lower take rates, which may not be offset by increase in the volume of ad requests, improvements in fill-rate, and/or increases in the value of transactions through our platform;</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requests for discounts, fee concessions, rebates, refunds or favorable payment terms;</w:t>
      </w:r>
    </w:p>
    <w:p>
      <w:pPr>
        <w:spacing w:after="0" w:line="36" w:lineRule="exact"/>
        <w:rPr>
          <w:rFonts w:ascii="Times New Roman" w:cs="Times New Roman" w:eastAsia="Times New Roman" w:hAnsi="Times New Roman"/>
          <w:sz w:val="18"/>
          <w:szCs w:val="18"/>
          <w:i w:val="1"/>
          <w:iCs w:val="1"/>
          <w:color w:val="auto"/>
        </w:rPr>
      </w:pPr>
    </w:p>
    <w:p>
      <w:pPr>
        <w:ind w:left="660" w:right="28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history of losses, and the fact that in the past our operating results have and may in the future fluctuate significantly, be difficult to predict, and fall below analysts' and investors' expectations;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on the advertising market and our business from difficult economic conditions or uncertainty;</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seasonal trends on our results of operations;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operate in an intensely competitive market that includes companies that have greater financial, technical and marketing resources than we do;</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consolidation in the ad tech industry;</w:t>
      </w:r>
    </w:p>
    <w:p>
      <w:pPr>
        <w:spacing w:after="0" w:line="49" w:lineRule="exact"/>
        <w:rPr>
          <w:rFonts w:ascii="Times New Roman" w:cs="Times New Roman" w:eastAsia="Times New Roman" w:hAnsi="Times New Roman"/>
          <w:sz w:val="18"/>
          <w:szCs w:val="18"/>
          <w:i w:val="1"/>
          <w:iCs w:val="1"/>
          <w:color w:val="auto"/>
        </w:rPr>
      </w:pPr>
    </w:p>
    <w:p>
      <w:pPr>
        <w:ind w:left="660" w:right="28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growing percentage of online and mobile advertising spending captured by closed “walled gardens” (such as Google, Facebook, Comcast, and Amazon);</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differentiate our offerings and compete effectively to combat commodification and disintermediation;</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limitations on our ability to collect or use data as a result of consumer tools, regulatory restrictions and technological limitations;</w:t>
      </w:r>
    </w:p>
    <w:p>
      <w:pPr>
        <w:spacing w:after="0" w:line="49" w:lineRule="exact"/>
        <w:rPr>
          <w:rFonts w:ascii="Times New Roman" w:cs="Times New Roman" w:eastAsia="Times New Roman" w:hAnsi="Times New Roman"/>
          <w:sz w:val="18"/>
          <w:szCs w:val="18"/>
          <w:i w:val="1"/>
          <w:iCs w:val="1"/>
          <w:color w:val="auto"/>
        </w:rPr>
      </w:pPr>
    </w:p>
    <w:p>
      <w:pPr>
        <w:ind w:left="660" w:right="32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development and use of new identity solutions as a replacement for third-party cookies and other identifiers may disrupt the programmatic ecosystem and cause the performance of our platform to decline;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industry may not adopt or may be slow to adopt the use of first-party publisher segments as an alternative to third-party cookies;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and the effect on our business of, evolving legal standards and regulations, particularly concerning data protection and privacy;</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industry self-regulation;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by us or our clients to meet advertising and inventory content standards could harm our brand and reputation and those of our partners;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buyers and sellers of digital advertising inventory and increase our business with them;</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freedom of buyers and sellers to direct their spending and inventory to competing sources of inventory and demand;</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buyers and sellers to establish direct relationships and integrations without the use of our platform;</w:t>
      </w:r>
    </w:p>
    <w:p>
      <w:pPr>
        <w:spacing w:after="0" w:line="36" w:lineRule="exact"/>
        <w:rPr>
          <w:rFonts w:ascii="Times New Roman" w:cs="Times New Roman" w:eastAsia="Times New Roman" w:hAnsi="Times New Roman"/>
          <w:sz w:val="18"/>
          <w:szCs w:val="18"/>
          <w:i w:val="1"/>
          <w:iCs w:val="1"/>
          <w:color w:val="auto"/>
        </w:rPr>
      </w:pPr>
    </w:p>
    <w:p>
      <w:pPr>
        <w:ind w:left="660" w:right="58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large aggregators of advertising inventory, and the concentration of CTV among a small number of large sellers that enjoy significant negotiating leverage;</w:t>
      </w:r>
    </w:p>
    <w:p>
      <w:pPr>
        <w:spacing w:after="0" w:line="1" w:lineRule="exact"/>
        <w:rPr>
          <w:rFonts w:ascii="Times New Roman" w:cs="Times New Roman" w:eastAsia="Times New Roman" w:hAnsi="Times New Roman"/>
          <w:sz w:val="18"/>
          <w:szCs w:val="18"/>
          <w:i w:val="1"/>
          <w:iCs w:val="1"/>
          <w:color w:val="auto"/>
        </w:rPr>
      </w:pPr>
    </w:p>
    <w:p>
      <w:pPr>
        <w:ind w:left="660" w:right="8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provide value to both buyers and sellers of advertising without being perceived as favoring one over the other or being perceived as competing with them through our service offerings;</w:t>
      </w:r>
    </w:p>
    <w:p>
      <w:pPr>
        <w:spacing w:after="0" w:line="1" w:lineRule="exact"/>
        <w:rPr>
          <w:rFonts w:ascii="Times New Roman" w:cs="Times New Roman" w:eastAsia="Times New Roman" w:hAnsi="Times New Roman"/>
          <w:sz w:val="18"/>
          <w:szCs w:val="18"/>
          <w:i w:val="1"/>
          <w:iCs w:val="1"/>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large sources of advertising demand, including demand side platforms ("DSPs") that may have or develop high-risk credit profiles or fail to pay invoices when due;</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exposed to claims from clients for breach of contracts;</w:t>
      </w:r>
    </w:p>
    <w:p>
      <w:pPr>
        <w:spacing w:after="0" w:line="49" w:lineRule="exact"/>
        <w:rPr>
          <w:rFonts w:ascii="Times New Roman" w:cs="Times New Roman" w:eastAsia="Times New Roman" w:hAnsi="Times New Roman"/>
          <w:sz w:val="18"/>
          <w:szCs w:val="18"/>
          <w:i w:val="1"/>
          <w:iCs w:val="1"/>
          <w:color w:val="auto"/>
        </w:rPr>
      </w:pPr>
    </w:p>
    <w:p>
      <w:pPr>
        <w:ind w:left="660" w:right="340" w:hanging="328"/>
        <w:spacing w:after="0" w:line="266"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errors or failures in the operation of our solution, interruptions in our access to network infrastructure or data, and breaches of our computer systems;</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ensure a high level of brand safety for our clients and to detect "bot" traffic and other fraudulent or malicious activity;</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access inventory with high viewability and completion rates;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use of our net operating losses and tax credit carryforwards may be subject to certain limitations;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of adjustments to the purchase price allocation and valuation relating to the Merger;</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raise additional capital if needed;</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in the price of our common stock;</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negative analyst or investor research reports;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qualified employees and key personnel;</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associated with enforcing our intellectual property rights or defending intellectual property infringement and other claims;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successfully execute our international growth plans; and</w:t>
      </w:r>
    </w:p>
    <w:p>
      <w:pPr>
        <w:spacing w:after="0" w:line="49" w:lineRule="exact"/>
        <w:rPr>
          <w:rFonts w:ascii="Times New Roman" w:cs="Times New Roman" w:eastAsia="Times New Roman" w:hAnsi="Times New Roman"/>
          <w:sz w:val="18"/>
          <w:szCs w:val="18"/>
          <w:i w:val="1"/>
          <w:iCs w:val="1"/>
          <w:color w:val="auto"/>
        </w:rPr>
      </w:pPr>
    </w:p>
    <w:p>
      <w:pPr>
        <w:ind w:left="660" w:right="560" w:hanging="328"/>
        <w:spacing w:after="0" w:line="284"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identify future acquisitions of or investments in complementary companies or technologies and our ability to consummate the acquisitions and integrate such companies or technologies.</w:t>
      </w:r>
    </w:p>
    <w:p>
      <w:pPr>
        <w:spacing w:after="0" w:line="3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Quarterly Reports on Form 10-Q for 2021.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i w:val="1"/>
          <w:iCs w:val="1"/>
          <w:color w:val="auto"/>
        </w:rPr>
        <w:t>industry conferences or make other public statements without disclosing material nonpublic information in our possession. Given these uncertainties, investors should not place undue reliance on these forward-looking statements.</w:t>
      </w:r>
    </w:p>
    <w:p>
      <w:pPr>
        <w:spacing w:after="0" w:line="2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NOTE REGARDING THIRD-PARTY INFORMATION</w:t>
      </w:r>
    </w:p>
    <w:p>
      <w:pPr>
        <w:spacing w:after="0" w:line="5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 Risk Factors" in this Annual Report on Form 10-K. These and other factors could cause results to differ materially from those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Magnite, Inc., formerly known as The Rubicon Project, Inc. ("we," or "us"), provides technology solutions to automate the purchase and sale of digital advertising inventory.</w:t>
      </w:r>
    </w:p>
    <w:p>
      <w:pPr>
        <w:spacing w:after="0" w:line="40"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On April 1, 2020, we completed a stock-for-stock merger with Telaria, Inc , a leading provider of connected television ("CTV") technology, creating what we believe is the world's largest independent sell-side advertising platform, offering a single partner for transacting globally across all channels, formats, and auction types.</w:t>
      </w:r>
    </w:p>
    <w:p>
      <w:pPr>
        <w:spacing w:after="0" w:line="4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February 4, 2021, we entered into a Stock Purchase Agreement (the "SpotX Purchase Agreement") with RTL US Holding, Inc. ("RTL") to acquire 100% of the issued and outstanding shares of capital stock of SpotX, Inc., a Delaware corporation, for a purchase price equal to $560 million in cash plus 14 million shares of the Company’s common stock. SpotX is one of the leading platforms shaping CTV and video advertising globally. We believe the acquisition will create the largest independent CTV advertising platform in the programmatic marketplace, making it easier for buyers to reach CTV audiences at scale from industry-leading streaming content providers, broadcasters, platforms and device manufacturers. The SpotX Acquisition is subject to receipt of regulatory approvals and satisfaction of customary closing conditions and is expected to close in the second quarter of 2021.</w:t>
      </w:r>
    </w:p>
    <w:p>
      <w:pPr>
        <w:spacing w:after="0" w:line="66"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over 6 trillion ad requests per month allowing buyers access to a global, scaled, independent alternative to "walled gardens," who both own and sell inventory and maintain control on the demand side.</w:t>
      </w:r>
    </w:p>
    <w:p>
      <w:pPr>
        <w:spacing w:after="0" w:line="6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provide a full suite of tools for sellers to control their advertising business and protect the consumer viewing experience. These controls are particularly important to CTV sellers who need to ensure a TV-like viewing and advertising experience for consumers.</w:t>
      </w:r>
    </w:p>
    <w:p>
      <w:pPr>
        <w:spacing w:after="0" w:line="2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Buyers leverage our platform to manage their advertising spending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headquartered in Los Angeles, California with a presence in New York, New York. 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the Business</w:t>
      </w:r>
    </w:p>
    <w:p>
      <w:pPr>
        <w:spacing w:after="0" w:line="10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COVID-19 pandemic and resulting global disruptions negatively affected our revenue, results of operations, cash flows, and financial condition. Our business depends on the overall demand for advertising and on the economic health of our current and prospective sellers and buyers. In response to the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This decrease was particularly pronounced through the first half of the year, where we experienced a significant decline in our revenues compared to our expectations. Our revenue trends improved significantly during the third and fourth quarters of 2020 as our revenue returned to positive growth.</w:t>
      </w:r>
    </w:p>
    <w:p>
      <w:pPr>
        <w:spacing w:after="0" w:line="6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United States, we have personnel and operations in the United Kingdom, Canada, France, Australia, New Zealand, Germany, Italy, Japan, Singapore, and Brazil, and each of these countries has been affected by the pandemic and taken measures to try to contain it. Our global workforce maintained a work from home policy for the entirety of the second quarter through year-end 2020 and this policy is expected to continue in the foreseeable future for the majority of our employees. We believe that our employees have been able to work productively during the time period in which our global offices have been shut down. However, to the extent we have extended work from home requirements, or that work patterns are permanently altered, it is unclear how productivity may be impacted in the long-term. We intend to approach returning to our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with caution and to prioritize the safety and health of our employees, while following the guidance set by local authorities and our landlords.</w:t>
      </w:r>
    </w:p>
    <w:p>
      <w:pPr>
        <w:spacing w:after="0" w:line="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economic health of our current and prospective buyers also impacts the collectability of our accounts receivable. Although our liquidity has not been significantly affected by the effects of COVID-19 to date, any downturn in economic conditions in the future may severely impact our liquidity as we may need additional time to collect from buyers, which may impact our ability to pay sellers.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substantial uncertainties associated with the COVID-19 pandemic, the extent to which the pandemic (and actions taken in response to it by governments, businesses, and individuals) will ultimately impact our business is currently unknown, and depends on various factors, many of which are outside of our control. Refer to Item 1A. "Risk Factors" for additional information related to this risk.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Continued Shift Toward Digital Advertising</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 Several factors, including the availability of high-speed broadband and mobile network infrastructure, penetration of internet-connected devices, a proliferation of online content sellers and a behavioral shift towards online and on demand viewing are driving robust growth in digital content consumption. The shift to digital has created opportunities for buyers and sellers of advertising inventory to improve return on advertising investment by using data to more accurately target and measure campaigns. As digital content consumption continues to proliferate, we believe the percentage of advertising dollars spent through digital channels will continue to grow.</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Automation of Buying and Selling</w:t>
      </w:r>
    </w:p>
    <w:p>
      <w:pPr>
        <w:spacing w:after="0" w:line="108"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which includes direct sale of premium inventory to a buyer, which we refer to as private marketplace ("PMP"), and open auction bidding, where buyers bid against each other in real-time auction for the right to purchase a publisher's inventory, which we refer to as open marketplace ("OMP"). Programmatic transactions complement a publisher’s direct sales force by enabling them to automate their sales process and improve workflow capabilities to increase productivity. These transactions also create additional revenue opportunities by enabling buyers and sellers to directly communicate and share data to deliver more valuable targeted advertising. Programmatic has become the dominant method of transacting for desktop and mobile inventory and we expect it to continue to grow as a percentage of CTV advertising.</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Convergence of TV and Digital</w:t>
      </w:r>
    </w:p>
    <w:p>
      <w:pPr>
        <w:spacing w:after="0" w:line="9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expect CTV to be a significant driver of our revenue growth. CTV refers to the viewing of digital content on internet connected televisions, including through stand-alone streaming devices, gaming consoles and smart TV operating systems.</w:t>
      </w:r>
    </w:p>
    <w:p>
      <w:pPr>
        <w:spacing w:after="0" w:line="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CTV viewership is growing rapidly and the pace of adoption is accelerating the transition of linear television to CTV programming. According to a November 2020 poll conducted by the Interactive Advertising Bureau, approximately 60% of US advertisers planned to shift ad dollars from linear TV to either CTV or OTT in 2021. eMarketer forecasted that advertisers will spent an additional $1.16 billion on programmatic CTV video ads in 2020 compared with 2019, and incremental spending in 2021 will increase to $2.37 billion. The adoption of CTV has disrupted the traditional linear TV distribution model, as eMarketer estimates that approximately 31.2 million U.S. households have "cut-the-cord" (i.e., canceled a pay TV service and continued without it) as of the end of 2020, and this number is expected to increase to close to 50% of all U.S. households by the end of 2024. This disruption has created new options for consumers and new economic opportunities for content sellers to compete with traditional linear TV.</w:t>
      </w:r>
    </w:p>
    <w:p>
      <w:pPr>
        <w:spacing w:after="0" w:line="6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Despite the growth in CTV viewership, the CTV advertising market, in particular programmatic advertising, is still in its early stages. Historically, the largest streaming applications have been subscription-based, and CTV sellers with ad-supported models have been slower to adopt programmatic solutions compared to desktop and mobile sellers due to a variety of technical and business reasons.</w:t>
      </w:r>
    </w:p>
    <w:p>
      <w:pPr>
        <w:spacing w:after="0" w:line="4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the number of CTV channels continues to proliferate, we believe that ad-supported models or hybrid models that rely on a combination of subscription fees and advertising revenue will continue to gain traction. Furthermore, as the CTV</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market continues to mature, we believe that a greater percentage of CTV advertising inventory will be sold programmatically, similar to trends that occurred in desktop and mobile.</w:t>
      </w:r>
    </w:p>
    <w:p>
      <w:pPr>
        <w:spacing w:after="0" w:line="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the COVID-19 pandemic caused temporary headwinds related to demand challenges, we believe that the pandemic and resulting shelter-in-place orders have accelerated these positive long-term CTV trends. With people spending more time at home, we have seen a large increase in viewership on CTV. This increase in viewership has the potential to create long-term changes in viewing habits. Many CTV providers have committed to significant increases in investment in quality content, which we believe will further drive increases in viewership. At the same time, macroeconomic challenges are driving consumers away from pay subscriptions towards ad supported models. Prolonged macroeconomic challenges may lead CTV advertisers and sellers to more readily embrace programmatic advertising as they look to create economic efficiencies and reduce costs.</w:t>
      </w:r>
    </w:p>
    <w:p>
      <w:pPr>
        <w:spacing w:after="0" w:line="6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believe that as streaming continues to become mainstream and ad supported models become more prevalent, brand advertisers that look to engage with streaming viewers will continue to shift their budgets from linear to CTV. As such, we expect CTV to be a significant driver of our revenue growth for the foreseeable future. We expect the pending acquisition of SpotX to further fuel this growth.</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For instance, Google has announced plans to fully eliminate the use of third-party cookies by January 2022, while Apple has further restricted the use of mobile identifiers on its devices.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provide the infrastructure and tools needed for a publisher-centric identity model to succeed, and we are already enabling sellers to create audience segments with their first-party data. In addition to actively working with sellers to develop solutions that could leverage their first party data, we are leading efforts through Prebid.org, with industry support, to create standardized open identity solutions that ensure a smooth transition to a cookieless environment, and offer an alternative to proprietary solutions. Prebid.org is an independent organization that we co-founded, which is dedicated to promoting fair, transparent open source solutions for the programmatic ecosystem. We are also participating in the Wc3 Web standards initiatives, which are being led by Google Chrome, to create anonymized advertising segments. We have contributed several product and design ideas to this process and expects to start production prototypes in the first half of 2021. Finally, we are also actively supporting single sign-on initiatives such as Universal ID 2.0 (UID) and other industry efforts.</w:t>
      </w:r>
    </w:p>
    <w:p>
      <w:pPr>
        <w:spacing w:after="0" w:line="6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Path Optimization</w:t>
      </w:r>
    </w:p>
    <w:p>
      <w:pPr>
        <w:spacing w:after="0" w:line="9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spending,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Header Bidding and Data Processing</w:t>
      </w:r>
    </w:p>
    <w:p>
      <w:pPr>
        <w:spacing w:after="0" w:line="10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while the rise and rapid adoption of header bidding increased revenue for sellers, it has also created new challenges and technical complexities. Header bidding has led to a significant increase in the number of ad impressions to be processed and analyzed through our platform as well as by DSPs, which can lead to increased costs if not properly addressed.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invested in technology solutions to help manage the increased infrastructure costs of header-bidding while increasing our access to valuable seller inventory.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We also generate revenue from the fee we charge clients for use of our Demand Manager product, which generally is a percentage of the client's advertising spending on any advertising marketplace.</w:t>
      </w:r>
    </w:p>
    <w:p>
      <w:pPr>
        <w:spacing w:after="0" w:line="4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 or cost per thousand.</w:t>
      </w:r>
    </w:p>
    <w:p>
      <w:pPr>
        <w:spacing w:after="0" w:line="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us and the seller and the clearing price of the winning bid. We also refer to revenue divided by advertising spend as our take 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Magnite: Competitive Strengths of Our Platform. </w:t>
      </w:r>
      <w:r>
        <w:rPr>
          <w:rFonts w:ascii="Times New Roman" w:cs="Times New Roman" w:eastAsia="Times New Roman" w:hAnsi="Times New Roman"/>
          <w:sz w:val="18"/>
          <w:szCs w:val="18"/>
          <w:color w:val="auto"/>
        </w:rPr>
        <w:t>Key competitive strengths of our platform include: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Leadership in CTV</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platform has been strategically built to meet the unique requirements of CTV sellers. Many of these sellers have their roots in linear television and it is important that established business practices in television advertising can be translated to programmatic CTV advertising. For instance, our "ad-pod" feature provides long-form content sellers with a tool analogous to commercial breaks in traditional linear television, so that they can request and manage several ads at once from different demand sources, in a single ad-pod. In addition, we provide dynamic ad insertion to serve live streaming events,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invested significant time and resources cultivating relationships with CTV sellers and have built a specialized team of CTV experts across our engineering and sales functions to support our clients and evangelize the benefits of CTV advertising. In addition, for certain larger CTV sellers, we may build custom features or functionality to help drive deeper adoption.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Scaled Omni-Channel Platform</w:t>
      </w:r>
    </w:p>
    <w:p>
      <w:pPr>
        <w:spacing w:after="0" w:line="10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offer a scaled omni-channel platform that brings value to both buyers and sellers of ad inventory. For buyers, we offer a single omni-channel partner to reach target audiences globally across all channels, including CTV, mobile, desktop, and digital out-of-home, and formats, including video, display, and audio. For sellers, we partner as a one stop shop where they can sell digital advertising across all of their properties, regardless of device or format, and gain instant access to the world’s largest automated digital advertising buyers with the flexibility to sell their advertising inventory in an automated fashion on an impression-by-impression basis. We believe large numbers of diverse sellers on our platform attract more buyers and vice versa, resulting in a self-reinforcing network effect that adds value for all our clients and creates a stickier platform solution.</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Marketplace Solutions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premium inventory is purchased and sold through PMPs, in particular with respect to CTV. Some sellers will continue to rely on their own sales forces for sales of premium inventory, but will benefit from automation to better price, match, and place campaigns, and to automate manual operations such as ad trafficking, quality assurance, and billing and collections. Our capabilities support sales functions rather than replacing them, which eliminates friction in the sales process. Buyers and sellers can also leverage their first-party data assets and third-party data assets in our platform to increase the value of sellers' inventory and the precision of buyers' targeting efforts.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Big Data Analytics and Machine-Learning Algorithms; Bid Filtering</w:t>
      </w:r>
    </w:p>
    <w:p>
      <w:pPr>
        <w:spacing w:after="0" w:line="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core aspect of our value proposition is our big data and machine-learning platform that is able to discover unique insights from our massive data repositories. Our systems collect and analyze a myriad of information such as historical clearing prices, bid responses, buyer preferences, ad formats , user location, buyer audience preferences, how many ads the user has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seen, browser or device information, and sellers’ first party data about users. Our access to data puts us in a unique position to develop differentiated insights to help both buyers and sellers. Our solution is constantly self-improving as we process more volume and accumulate more data, which in turn helps make our machine-learning algorithms more intelligent and contributes to higher-quality matching between buyers and sellers. This data also fuels our bid filtering technology, allowing us to more aggressively block traffic that is not likely to monetize. We believe that our traffic optimization coupled with bid filtering improves return on investment for buyers and increases revenue for sellers, which in turn attracts more buyers and sellers to our platform creating a dual network effect that makes our platform stickier. These capabilities also help us manage the costs associated with the high volumes of ad requests we receive.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offer identity solutions that help buyers and sellers create better matches and increase advertising ROI and the value of the underlying impression. Our tools enable sellers to create audience segments based on first-party data, which makes their advertising inventory more valuable to buyers looking to achieve specific campaign goals. In addition, our technology is integrated with a number of third party data, attribution and identity vendors, allowing buyers and sellers to leverage these solutions directly through our platform without the need for multiple vendor contracts.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Header Bidding and Demand Manager Solutions</w:t>
      </w:r>
    </w:p>
    <w:p>
      <w:pPr>
        <w:spacing w:after="0" w:line="9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are integrated with all of the major header-bidding standards, including Prebid.org, which we co-founded, as well as the solutions offered by Google and Amazon. We believe the various header bidding alternatives we offer, our buyer reach and scale, our buying efficiency, and our machine-learning capabilities put us in a strong position to compete for seller impressions monetized through header-bidding solutions, and we expect these header bidding solutions to deliver a meaningful volume of impressions. We have also launched Demand Manager, a software solution that helps desktop and mobile sellers manage all of their header-bidding advertising inventory, regardless of who wins the impression, for a fee based on a percentage of that advertising spending. We believe that adoption and proliferation of these tools will further strengthen our relationship with sellers and contribute to our future revenue growth.</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Transparency and Controls</w:t>
      </w:r>
    </w:p>
    <w:p>
      <w:pPr>
        <w:spacing w:after="0" w:line="10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each time an impression is monetized on our platform based on a simple and transparent fee structure established with our publisher partners, and do not collect any fees directly from buyers. Our clients direct the sale and management of ad inventory through our platform, including the ability to define supply hierarchies and demand tiers, set minimum price floors, and establish advertiser and category level blocked and allowed lists. We provide sellers with detailed analytics, which allows them to effectively monitor buying patterns and make real-time changes to take advantage of market dynamics and maximize their yield.</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Self-Service Model</w:t>
      </w:r>
    </w:p>
    <w:p>
      <w:pPr>
        <w:spacing w:after="0" w:line="10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offer a self-service model that lets sellers access our platform without extensive involvement by our personnel. This model allows us to scale efficiently and grow our business at a faster pace than the growth of our sales and support organization. As a result, we are able to achieve a high degree of operating leverage, which positions our business for growing profitability.</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Buyer Tools</w:t>
      </w:r>
    </w:p>
    <w:p>
      <w:pPr>
        <w:spacing w:after="0" w:line="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a suite of buyer tools designed to improve ROI for buyers and help them meet their campaign strategies. Our Direct Connect offering allows agency holding companies and major brands to create their own private label marketplaces and establish direct connections with sellers through our platform, while our custom auction packages provide buyers with a versatile and cost effective way of curating and targeting open market inventory based on categories such as audience, context, and viewability. In addition, our innovative bid shading technology, Estimated Market Rate, helps buyers bid more effectively in a first price auction environment.</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Independence</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fully aligned with the interests of our publisher clients. Unlike some large industry participants, we do not have our own media properties that compete for advertising spending with our sellers. Therefore, we are agnostic and have no preference towards delivering demand to any specific publisher. In addition, because we do not offer a demand side platform, we are able to avoid inherent conflicts of interest that exist when serving both the buy- and sell-side.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Magnite: Growth Strategies. </w:t>
      </w:r>
      <w:r>
        <w:rPr>
          <w:rFonts w:ascii="Times New Roman" w:cs="Times New Roman" w:eastAsia="Times New Roman" w:hAnsi="Times New Roman"/>
          <w:sz w:val="18"/>
          <w:szCs w:val="18"/>
          <w:color w:val="auto"/>
        </w:rPr>
        <w:t>The key elements to our long-term growth strategy include: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Focus on CTV</w:t>
      </w:r>
    </w:p>
    <w:p>
      <w:pPr>
        <w:spacing w:after="0" w:line="9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expect CTV to be the biggest driver of our growth. As streaming video continues to become mainstream and ad-supported models become more prevalent, we believe brand advertisers will continue to shift their budgets from linear</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television to CTV. We plan to invest significant resources in technology, sales and support related to our CTV growth initiatives. Consistent with this growth objective, on February 4, 2021, we entered into an agreement to acquire SpotX, a leading platform shaping CTV and video advertising globally. We expect the pending SpotX Acquisition to accelerate our CTV growth.</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Path Optimization</w:t>
      </w:r>
    </w:p>
    <w:p>
      <w:pPr>
        <w:spacing w:after="0" w:line="108"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As described above, SPO refers to efforts by buyers to consolidate the number of vendors with which they work to find the most effective and cost-efficient paths to procure media. We believe we are well positioned to benefit from SPO due to the factors described above and that it presents an opportunity for us to capture market share and increase the volume of advertising spend on our platform. To capitalize on SPO opportunities, we have invested in our buyer focused sales team to pursue more direct relationships with advertisers and agencies.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9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described above, we believe that the elimination of third 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As the largest independent supply side platform, we believe we are well positioned to take a leadership position in driving open identity solutions that will benefit buyers and sellers on our platform.</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 Efficiencies on our Exchange</w:t>
      </w:r>
    </w:p>
    <w:p>
      <w:pPr>
        <w:spacing w:after="0" w:line="10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aim to increase the operational efficiency of our platform, so as to enable buyers and sellers to achieve their campaign and monetization objectives in a cost-effective manner. Our solution is constantly self-improving as we process more volume and accumulate more data, which in turn helps make our machine-learning algorithms more intelligent and contributes to higher quality matching between buyers and sellers. We are continuing to invest in traffic optimization and bid filtering technology to allow us to monetize a higher proportion of the ad requests on our platform, which reduces costs for us as well as the process costs for buyers. We believe these cost savings make our platform more attractive to buyers, which in turn improves revenue opportunities for sellers.</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Increasing Seller Inventory</w:t>
      </w:r>
    </w:p>
    <w:p>
      <w:pPr>
        <w:spacing w:after="0" w:line="1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order to increase the transaction volume on our platform we are continuously looking to add new high quality sellers to our platform. In addition, we are seeking to expand our existing relationships with sellers to increase our share of their inventory, in particular in the CTV and OTT space where inventory is controlled by fewer sellers. Our plan for increasing our inventory volumes includes establishing and deepening our direct relationships with sellers, including through custom integrations, expanding our seller tools, capitalizing on our omni-channel capabilities and leveraging our header bidding integrations, including through Demand Manager.</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 our International Footprint, Especially in Asia and South America</w:t>
      </w:r>
    </w:p>
    <w:p>
      <w:pPr>
        <w:spacing w:after="0" w:line="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With established operating presence in North America, Australia and Europe, and a developing presence in Asia and South America, we serve buyers and sellers on a global basis. We plan to continue to expand our international presence and make additional investments in sales, marketing and infrastructure to support our long-term growth and to position ourselves for expected increases in the penetration of programmatic advertising globally. We expect programmatic advertising to grow at different rates in different geographic markets, and are constantly evaluating new markets with a strategy to use our existing infrastructure and adjacent sales offices or by expanding our infrastructure footprint and placing personnel directly in those markets.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 to Innovate and Enhance our Platform</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working on a number of platform innovations and enhancements designed to improve the value to our clients. We intend to invest in new features that facilitate the creation of first-party publisher segments, improve upon our traffic optimization and bid filtering, enhance our brand safety controls, and help sellers to optimize their yield. For example, we recently launched the open beta of Unified Decisioning, which gives sellers the tools and controls to define when and how direct sold and programmatic demand should compete. The solution works alongside all major ad servers so that the optimal ad set is chosen taking into consideration both direct and programmatic deal priority and yield while ensuring publisher’s business rules, including frequency capping and competitive separation, are enforced.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support a majority of our non-CTV transactions, we have developed a globally distributed infrastructure hosted at data centers in the U.S., Europe, and Asia that run our proprietary software. Our CTV transactions run primarily on a cloud-based infrastructure. These two approaches optimize the type of traffic we handle - hosted data centers for high-frequency, low-</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latency transactions and cloud-supported for lower frequency transactions subject to more volatile viewing patterns, for example CTV prime-time viewing spikes.</w:t>
      </w:r>
    </w:p>
    <w:p>
      <w:pPr>
        <w:spacing w:after="0" w:line="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approach supports the volume, diversity, and complexity of buyers’ bidding patterns, which increases market liquidity. Bid efficiency algorithms provide bid prediction (i.e., which buyers are most likely to bid on a given impression) and throttling (i.e., the volume of bid requests a given buyer can process), to improve infrastructure load and execute transactions efficiently by only sending bid requests to those buyers of advertising inventory who can handle the volume and are likely to respond.</w:t>
      </w:r>
    </w:p>
    <w:p>
      <w:pPr>
        <w:spacing w:after="0" w:line="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infrastructure is supported by real-time data pipelines, a system that quickly moves volumes of data generated by our business into reporting and machine-learning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 and our core technology and development team, which is responsible for the design, development, operation, and maintenance of our platform, and employs an agile development process that emphasizes frequent, iterative, and incremental development cycles.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continued investment in our platform, including its technologies and functionalities, is critical to our success and long-term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0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market our solution to buyers and sellers through a global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getting the most value from our solution. Our client services teams work closely with clients to support campaigns. Our buyer team focuses on the unique challenges and priorities of buyers and is separately managed in order to properly represent this important client group. Our marketing initiatives are focused on managing our brand, increasing market awareness, and driving advertising spend to our platform.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Our industry is highly competitive. Overall digital advertising spending is highly concentrated in a small number of very large companies that have their own inventory, including Google, Facebook, Comcast, Verizon, AT&amp;T and Amazon, with which we compete for digital advertising inventory and demand. These companies are formidable competitors due to their huge resources and direct user relationships, and will become even more dominant as third-party cookie use decreases. Despite the dominance of large companies, there is still a large addressable market that is highly fragmented and includes many providers of transaction services with which we compete, including supply side platforms, or SSPs,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buyers are increasingly demanding more transparency and lower transaction costs and establishing relationships directly with sellers of advertising inventory, which puts significant pressure on us. Our offering must remain competitive in scope, ease of use, scalability, speed, data access, price, inventory quality, brand security, customer service, identity protection and other technological features that help sellers monetize their inventory and buyers increase the return on their advertising investment. While our industry is evolving rapidly and becoming increasingly competitive, we believe that our solution enables us to compete favorably on these factors. In addition, we believe we enjoy a number of competitive strengths, as further detailed above.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Our Team and Culture</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team draws from a broad spectrum of experience, including data science, machine-learning algorithms, infrastructure, software development, and from experienced leadership on the seller and buyer sides, including CTV, mobile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 video. In addition to the United States, we have personnel and operations in the United Kingdom, Canada, France, Australia, New Zealand, Germany, Italy, Japan, Singapore, and Brazil in order to service buyers and sellers on a global scale.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0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strive to build a culture that is high-performing and results-oriented while emphasizing transparency, collaboration and innovation. Our recruitment team seeks individuals that are committed to seeing the big picture and being catalysts of change. We ask our employees to empower others, make a difference and ensure our company is an exciting place to work, not just a "job."</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Equity and Inclusion</w:t>
      </w:r>
    </w:p>
    <w:p>
      <w:pPr>
        <w:spacing w:after="0" w:line="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Magnify Council is focused on enhancing diversity, equity and inclusion. Our objectives, through the support of the Magnify Council, are to create "the best" employee experience, continually deploy programs to develop diverse talent, and support external partners that emphasize the global promotion of diversity, equity and inclusion.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Retention</w:t>
      </w:r>
    </w:p>
    <w:p>
      <w:pPr>
        <w:spacing w:after="0" w:line="10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reward team and individual excellence and are committed to creating an exceptional workplace environment in which we seek feedback from our employees in annual engagement surveys. We believe in continual feedback on performance. Our employees set goals at a regular cadence throughout the year and managers provide achievement ratings. Additionally, we routinely analyze voluntary employee turnover to understand and address trends. We give equity to our employees to promote alignment and ownership.</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and Safety</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Due to the COVID-19 pandemic, our global workforce maintained a work from home policy for the entirety of the second, third, and fourth quarters of 2020 and is expected to continue in the foreseeable future for the majority of our employees. We believe that our employees have been able to work productively during the time period in which our global offices have been shut down. However, we recognize that stressful circumstances require us to provide additional care for our employees. In 2020, we introduced quarterly mental health days, deployed a global employee assistance program, and a digital platform with access to live classes and discussions supporting wellness.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Conduct</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promoting high standards of honest and ethical business conduct and compliance in alignment with our cultural values. We do not tolerate harassment or discrimination. Our employees are required to take annual harassment and discrimination training as well as acknowledge our Code of Business and Ethics Policy.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we had 569 full-time employees.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4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several issued patents and pending patent applications, some of which may ultimately be abandoned if we determine that the cost of prosecution or maintenance does not justify the utility of receiving the patent. None of these patents has been litigated and we are not licensing any of the patents,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spacing w:after="0" w:line="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designed to control access to our technology and proprietary information. We view our trade secrets and know-how as a significant component of our intellectual property assets, which we believe differentiate us from our competitors.</w:t>
      </w:r>
    </w:p>
    <w:p>
      <w:pPr>
        <w:spacing w:after="0" w:line="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Dynamics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Sellers</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Sellers own or operate media properties, websites and applications through which advertisements can be delivered to consumers as they navigate across screens. Sellers use our platform to monetize and manage their advertising inventory.</w:t>
      </w:r>
    </w:p>
    <w:p>
      <w:pPr>
        <w:spacing w:after="0" w:line="4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While we work with many clients, a relatively small number of them provide a large share of the unique user audiences accessible by buyers. This is particularly true in CTV, where sellers tend to be larger and more sophisticated compared to other online sellers. Given the limited number of CTV sellers, we are focused on building deeper, long-term strategic partnerships with these clients through a full-service business development strategy. We have invested significant resources in identifying and cultivating these relationships and our sales executives and account managers often serve a consultative role within a client’s sales organization to help establish best practices and evangelize the benefits of programmatic CTV advertising. This team is further supported by our product and engineering team with deep technical expertise, and for larger clients, we may build out custom features or functionality to help drive deeper adoption of our platform.</w:t>
      </w:r>
    </w:p>
    <w:p>
      <w:pPr>
        <w:spacing w:after="0" w:line="5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the mobile channel, most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when appropriate, but it is difficult to displace existing SDKs.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Buyers</w:t>
      </w:r>
    </w:p>
    <w:p>
      <w:pPr>
        <w:spacing w:after="0" w:line="10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On the buy-side of our business, while demand for advertising inventory is very distributed, spending by advertisers and agencies on digital advertising inventory has historically been channeled through technological intermediaries, principally DSPs.</w:t>
      </w:r>
    </w:p>
    <w:p>
      <w:pPr>
        <w:spacing w:after="0" w:line="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These DSPs are directly connected to our technology through server-to-server integrations and are responsible for bidding on and purchasing advertising inventory on our platform pursuant to master service agreements. We have relationships with almost all of these major DSPs, and because there are relatively few of them, each of these relationships is important to us and represents a source of demand that could be difficult for us to replace.</w:t>
      </w:r>
    </w:p>
    <w:p>
      <w:pPr>
        <w:spacing w:after="0" w:line="5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maintain close relationships with DSPs to maximize the amount of spend being transacted through our platform. For instance, our sales team collaborates with DSPs to create custom private marketplaces that fit specific targeting criteria for a given campaign and our team of technical account managers continually monitors DSP bidding activities and provides recommendations that inform their trading practices.</w:t>
      </w:r>
    </w:p>
    <w:p>
      <w:pPr>
        <w:spacing w:after="0" w:line="54" w:lineRule="exact"/>
        <w:rPr>
          <w:sz w:val="20"/>
          <w:szCs w:val="20"/>
          <w:color w:val="auto"/>
        </w:rPr>
      </w:pPr>
    </w:p>
    <w:p>
      <w:pPr>
        <w:ind w:right="260" w:firstLine="648"/>
        <w:spacing w:after="0" w:line="281" w:lineRule="auto"/>
        <w:rPr>
          <w:sz w:val="20"/>
          <w:szCs w:val="20"/>
          <w:color w:val="auto"/>
        </w:rPr>
      </w:pPr>
      <w:r>
        <w:rPr>
          <w:rFonts w:ascii="Times New Roman" w:cs="Times New Roman" w:eastAsia="Times New Roman" w:hAnsi="Times New Roman"/>
          <w:sz w:val="17"/>
          <w:szCs w:val="17"/>
          <w:color w:val="auto"/>
        </w:rPr>
        <w:t>While the DSP is directly responsible for purchasing advertising inventory, the overall direction of an advertising campaign is typically determined by the advertiser or advertising agency that has engaged the DSP. For certain private marketplace transactions, the specific parameters of a campaign may be negotiated directly with the advertiser or agency without involvement of a DSP. Accordingly, in order to increase the amount of spend transacted on our platform, and in furtherance of our SPO efforts, we also maintain close relationships directly with brand advertisers and agencies.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Scope of Our Operations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growth of programmatic advertising is expanding into geographic markets outside of the United States, and in some markets, the adoption rate of programmatic digital advertising is greater than in the United States.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United States. For detailed information regarding our revenue and property and equipment, net by geographical region, see Note 4 and Note 7 of the "Notes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do not collect information, such as name, address, or phone number, that can be used directly to identify a real person, and we take steps not to collect and store such information. Instead, we rely on IP addresses, geo-location information, and persistent identifiers about Internet users and do not attempt to associate this data with other data that can be used to identify real people. This type of information is considered "personal"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6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With respect to COPPA, we have taken various steps to implement a system that: (i) flags seller-identified child-directed sites to buyers,</w:t>
      </w:r>
    </w:p>
    <w:p>
      <w:pPr>
        <w:spacing w:after="0" w:line="2" w:lineRule="exact"/>
        <w:rPr>
          <w:sz w:val="20"/>
          <w:szCs w:val="20"/>
          <w:color w:val="auto"/>
        </w:rPr>
      </w:pPr>
    </w:p>
    <w:p>
      <w:pPr>
        <w:ind w:right="80" w:firstLine="8"/>
        <w:spacing w:after="0" w:line="26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advertisers’ ability to serve personalized advertisements on child-directed sites, (iii) helps limit the types of information that our advertisers have access to when placing advertisements on child-directed sites, and (iv) limits the data that we collect and use on such child-directed sites.</w:t>
      </w:r>
    </w:p>
    <w:p>
      <w:pPr>
        <w:spacing w:after="0" w:line="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use and transfer of personal data in the European Economic Area ("EEA") member states and the United Kingdom (“UK”) is currently governed by the General Data Protection Regulation (the "GDPR"). The GDPR sets out higher potential liabilities for certain data protection violations and establishes significant new regulatory requirements resulting in a greater compliance burden for us in the course of delivering our solution in the EEA and UK. While data protection authorities have started to clarify certain requirements under GDPR, significant uncertainty remains as to how the regulation will be applied and enforced.</w:t>
      </w:r>
    </w:p>
    <w:p>
      <w:pPr>
        <w:spacing w:after="0" w:line="4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recently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6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Further, the European Union is expected to replace the EU ePrivacy Directive governing the use of technologies to collect consumer information with the ePrivacy Regulation. Current drafts of the ePrivacy Regulation impose fines for violations that are materially higher than those imposed under the ePrivacy Directive.</w:t>
      </w:r>
    </w:p>
    <w:p>
      <w:pPr>
        <w:spacing w:after="0" w:line="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GDPR also prohibits the transfer of personal data of EU and UK subjects outside of the EEA and the UK, unless the party exporting the data from the EU or UK implements a compliance mechanism designed to ensure that the receiving party will adequately protect such data. We have historically relied on certain compliance mechanisms that have since been invalidated, and had to shift our business practices to rely on other legally sufficient compliance measures. However, guidance on exactly what measures must be taken to allow the lawful transfer of personal data to the United States remains unclear. While we will interpret the guidance and continue to explore the additional measures that can be implemented to protect personal data that is transferred to us in the United States, we remain subject to regulatory enforcement by data protection authorities located in the EU, UK and the United States. By relying on these compliance measures, we risk becoming the subject of regulatory investigations in any of the individual jurisdictions in which we operate. Each such investigation could cost us significant time and resources, and could potentially result in fines, criminal prosecution, or other penalties. Further, to the extent any new guidance emerges to these compliance measures, it could further invalidate our approach to data export from</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EEA and UK. It may take us significant time, resources, and effort to restructure our business and/or rely on another legally sufficient compliance measure.</w:t>
      </w:r>
    </w:p>
    <w:p>
      <w:pPr>
        <w:spacing w:after="0" w:line="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6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Until prevailing compliance practices standardize, the impact of worldwide privacy regulations on our business and, consequently, our revenue could be negatively impacted.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regulatory risks to our business, see "Item 1A. Risk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quarters than in other quarters.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revenue is generated from advertising spend transacted on our platform using our technology solution. Generally, we invoice and collect from buyers the full purchase price for impressions they have purchased, retain our fees, and remit the balance to sellers. We attempt to coordinate collections from our buyers so as to fund our payment obligations to our sellers. However, in some cases, we may be required to pay sellers for impressions delivered before we have collected, or even if we are unable to collect, from the buyer of those impressions. There can be no assurances that we will not experience bad debt in the future. Any such write-offs for bad debt could have a materially negative effect on our results of operations for the periods in which the write-offs occur. In addition, growth and increased competitive pressure in the digital advertising industry are causing overall increased focus by all industry participants on pricing, transparency, and cash and collection cycles.</w:t>
      </w:r>
    </w:p>
    <w:p>
      <w:pPr>
        <w:spacing w:after="0" w:line="6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Some buyers have experienced financial pressures that have motivated them to challenge some details of our invoices or to slow the timing of their payments to us. In addition, although our liquidity has not been significantly affected by the effects of COVID-19 to date, any downturn in economic conditions in the future may severely impact our liquidity as we may need additional time to collect from buyers, which may impact our ability to pay sellers. If buyers slow their payments to us or our cash collections are significantly diminished as a result of these dynamics, our revenue and/or cash flow could be adversely affected and we may need to use working capital to fund our accounts payable pending collection from buyers. This may result in additional cash expenditures and cause us to forgo or defer other more productive uses of that working capital.</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U.S. Securities and Exchange Commission, or the SEC, pursuant to Sections 13(a) and 15(d) of the Exchange Act. Information filed by the Company with the SEC is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available free of charge on the Company’s website at investor.magnite.com as soon as reasonably practicable after such materials are filed with or furnished to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Proposed Acquisition of SpotX</w:t>
      </w:r>
    </w:p>
    <w:p>
      <w:pPr>
        <w:spacing w:after="0" w:line="158" w:lineRule="exact"/>
        <w:rPr>
          <w:sz w:val="20"/>
          <w:szCs w:val="20"/>
          <w:color w:val="auto"/>
        </w:rPr>
      </w:pPr>
    </w:p>
    <w:p>
      <w:pPr>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acquisition of SpotX or complete the acquisition within the time frame we anticipate. Failure to complete the acquisition could have material adverse effects on us.</w:t>
      </w: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completion of the acquisition is subject to a number of customary closing conditions, including, among other things, the absence of certain legal impediments and the expiration or termination of the required waiting period under the Hart-Scott-Rodino Antitrust Improvements Act of 1976, as amended, which make the completion and timing of the acquisition uncertain. The failure to satisfy all of the required conditions could delay the completion of the acquisition for a significant period of time or prevent it from occurring at all. There can be no assurance that the conditions to the completion of the acquisition will be satisfied or waived or that the acquisition will be completed.</w:t>
      </w:r>
    </w:p>
    <w:p>
      <w:pPr>
        <w:spacing w:after="0" w:line="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the acquisition is not completed, we may be materially adversely affected and, without realizing any of the benefits of having completed the acquisition, will be subject to a number of risks, including the following:</w:t>
      </w:r>
    </w:p>
    <w:p>
      <w:pPr>
        <w:spacing w:after="0" w:line="4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could decline;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liable for damages incurred or suffered by the seller of SpotX in specified circumstances;</w:t>
      </w:r>
    </w:p>
    <w:p>
      <w:pPr>
        <w:spacing w:after="0" w:line="49" w:lineRule="exact"/>
        <w:rPr>
          <w:rFonts w:ascii="Times New Roman" w:cs="Times New Roman" w:eastAsia="Times New Roman" w:hAnsi="Times New Roman"/>
          <w:sz w:val="18"/>
          <w:szCs w:val="18"/>
          <w:color w:val="auto"/>
        </w:rPr>
      </w:pPr>
    </w:p>
    <w:p>
      <w:pPr>
        <w:ind w:left="660" w:right="8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SpotX Purchase Agreement is terminated and our board seeks another acquisition, our stockholders cannot be certain that we will be able to find a party willing to enter into a transaction on terms equivalent to or more attractive than the terms of the SpotX Purchase Agreement;</w:t>
      </w:r>
    </w:p>
    <w:p>
      <w:pPr>
        <w:spacing w:after="0" w:line="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our management to matters relating to the acquisition could otherwise have been devoted to pursuing other beneficial opportunities;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or from our customers, suppliers or employees; and</w:t>
      </w:r>
    </w:p>
    <w:p>
      <w:pPr>
        <w:spacing w:after="0" w:line="49"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certain costs relating to the acquisition, such as legal, accounting, financial advisory and printing fees, whether or not the acquisition is completed.</w:t>
      </w:r>
    </w:p>
    <w:p>
      <w:pPr>
        <w:spacing w:after="0" w:line="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if the acquisition is not completed, we could be subject to litigation related to any failure to complete the acquisition or related to any enforcement proceeding commenced against us to perform our obligations under the SpotX Purchase Agreement. Because our obligations under the SpotX Purchase Agreement are not conditioned on our receipt of or ability to obtain financing, there is a risk we could be liable for damages to the seller of SpotX or subject to litigation or enforcement proceedings even in circumstances where our inability to close the transaction is due to a failure to timely obtain financing on the terms contemplated by the Commitment Letter (discussed below) or at all. Any of these risks could materially and adversely impact our ongoing business, financial condition, financial results and stock price.</w:t>
      </w:r>
    </w:p>
    <w:p>
      <w:pPr>
        <w:spacing w:after="0" w:line="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Similarly, delays in the completion of the acquisition could, among other things, result in additional transaction costs, loss of revenue or other negative effects associated with delay and uncertainty about completion of the acquisition and could materially and adversely impact our ongoing business, financial condition, financial results and stock price following the completion of the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anticipated cost savings or other anticipated benefits of our acquisition of SpotX.</w:t>
      </w:r>
    </w:p>
    <w:p>
      <w:pPr>
        <w:spacing w:after="0" w:line="10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success of the acquisition will depend, in part, on our ability to successfully integrate SpotX with our business and realize the anticipated benefits, including synergies, cost savings, innovation and technological opportunities and operational efficiencies from the acquisition in a manner that does not materially disrupt existing customer, supplier and employee relations and does not result in decreased revenues due to losses of, or decreases in use of our solutions by, buyers and sellers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advertising inventory. If we are unable to achieve these objectives within the anticipated time frame, or at all, the anticipated benefits may not be realized fully or at all, or may take longer to realize than expected, and the value of our common stock may decline. We may fail to realize some or all of the anticipated benefits of the acquisition if the integration process takes longer than expected or is more costly than expected. The integration of SpotX with our business may result in material challenges, including, without limitation:</w:t>
      </w:r>
    </w:p>
    <w:p>
      <w:pPr>
        <w:spacing w:after="0" w:line="4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more complex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business and operational relationships, including customers, suppliers and employees and other counterparties, as may be impacted by contracts containing consent and/or other provisions that may be triggered by the acquisition, and attracting new business and operational relationships;</w:t>
      </w:r>
    </w:p>
    <w:p>
      <w:pPr>
        <w:spacing w:after="0" w:line="2"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 including unanticipated issues in integrating information technology, communications and other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or delays associated with the acquisition.</w:t>
      </w:r>
    </w:p>
    <w:p>
      <w:pPr>
        <w:spacing w:after="0" w:line="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Many of these factors will be outside of our control, and any one of them could result in delays, increased costs, decreases in the amount of expected revenues or cost synergies, and other adverse impacts, which could materially affect our financial position, results of operations and cash flows.</w:t>
      </w:r>
    </w:p>
    <w:p>
      <w:pPr>
        <w:spacing w:after="0" w:line="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legal restrictions, we are currently permitted to conduct only limited planning for the integration of SpotX following the acquisition. The actual integration may result in additional and unforeseen expenses, and the anticipated benefits of the integration plan may not be realized on a timely basis, if at all.</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proposed financing of the acquisition of SpotX will significantly increase our leverage, which may put us at greater risk of defaulting on our debt obligations and limit our ability to conduct necessary operating activities, make strategic investments, respond to changing market conditions, or obtain future financing on favorable terms.</w:t>
      </w:r>
    </w:p>
    <w:p>
      <w:pPr>
        <w:spacing w:after="0" w:line="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finance the cash portion of the SpotX acquisition consideration in part through borrowings under certain proposed new credit facilities. In connection with the SpotX Purchase Agreement, we entered into a commitment letter (the "Commitment Letter" pursuant to which, subject to the terms and conditions set forth therein, Goldman Sachs Bank USA has committed to provide a senior secured term loan facility in an aggregate principal amount of up to $560 million (the "Term Loan Facility"). The funding of the Term Loan Facility provided for in the Commitment Letter is contingent on the satisfaction of customary conditions, including the execution and delivery of definitive documentation with respect to credit facilities in accordance with the terms set forth in the Commitment Letter and the consummation of the SpotX acquisition in accordance with the SpotX Purchase Agreement.</w:t>
      </w:r>
    </w:p>
    <w:p>
      <w:pPr>
        <w:spacing w:after="0" w:line="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completion of the Term Loan Facility, if at all, would significantly increase our indebtedness and require us to comply with certain financial metrics and restrictive covenants. The increased leverage could adversely affect our business and operating results by:</w:t>
      </w:r>
    </w:p>
    <w:p>
      <w:pPr>
        <w:spacing w:after="0" w:line="4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make payments on our indebtedness and comply with applicable financial metrics and covenants;</w:t>
      </w:r>
    </w:p>
    <w:p>
      <w:pPr>
        <w:spacing w:after="0" w:line="36" w:lineRule="exact"/>
        <w:rPr>
          <w:rFonts w:ascii="Times New Roman" w:cs="Times New Roman" w:eastAsia="Times New Roman" w:hAnsi="Times New Roman"/>
          <w:sz w:val="18"/>
          <w:szCs w:val="18"/>
          <w:color w:val="auto"/>
        </w:rPr>
      </w:pPr>
    </w:p>
    <w:p>
      <w:pPr>
        <w:ind w:left="660" w:right="72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use a substantial portion of our cash flow to pay interest and principal, which reduces the amount available for operations, distributions, acquisitions and capital expenditures;</w:t>
      </w:r>
    </w:p>
    <w:p>
      <w:pPr>
        <w:spacing w:after="0" w:line="1" w:lineRule="exact"/>
        <w:rPr>
          <w:rFonts w:ascii="Times New Roman" w:cs="Times New Roman" w:eastAsia="Times New Roman" w:hAnsi="Times New Roman"/>
          <w:sz w:val="18"/>
          <w:szCs w:val="18"/>
          <w:color w:val="auto"/>
        </w:rPr>
      </w:pPr>
    </w:p>
    <w:p>
      <w:pPr>
        <w:ind w:left="660" w:right="54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economic and industry downturns and reducing our flexibility to respond to changing business and economic conditions;</w:t>
      </w:r>
    </w:p>
    <w:p>
      <w:pPr>
        <w:spacing w:after="0" w:line="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agree to less favorable terms, including higher interest rates, in order to incur additional debt, and otherwise limiting our ability to borrow for operations, working capital or to finance acquisitions in the future; or</w:t>
      </w:r>
    </w:p>
    <w:p>
      <w:pPr>
        <w:ind w:left="660" w:right="1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conducting our business, which may place us at a disadvantage compared to competitors with less debt or debt with less restrictive terms.</w:t>
      </w:r>
    </w:p>
    <w:p>
      <w:pPr>
        <w:spacing w:after="0" w:line="4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subject to the restrictions governing our existing indebtedness, which would further exacerbate the leverage risks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acquisition of SpotX is completed, our current stockholders will generally have a reduced ownership and voting interest after the acquisition.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stockholders currently have the right to vote to elect our directors and on other matters affecting the company. Immediately after the completion of the acquisition, each of our stockholders will remain a stockholder, but with a percentage ownership that will be smaller than such stockholder’s percentage ownership as of immediately prior to the acquisition. As a result of this reduced ownership percentage, our stockholders will generally have less voting power after the acquisition than they did prior to the acquisition.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acquisition of SpotX is completed, the seller of SpotX will own a substantial portion of our outstanding common stock, and their interests may not always coincide with the interests of the other holders.</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acquisition of SpotX is completed, the seller of SpotX, RTL or an affiliate of RTL designated pursuant to the SpotX Purchase Agreement, will receive 14 million shares of our common stock, subject to certain adjustments. As a result, RTL may have significant influence over all matters presented to our stockholders for approval, including election and removal of our directors and change in control transactions. The interests of RTL may not always coincide with the interests of the other holders of our common stock. As part of the SpotX Purchase Agreement, RTL has agreed to abide by certain standstill covenants with respect to us and our securities for a period of three years following the closing of the transaction.</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acquisition of SpotX may trigger change in control or other provisions in agreements to which SpotX is a party, which may have an adverse impact on our business and results of operations following completion of the acquisition.</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completion of the acquisition may trigger change in control and other provisions in certain agreements to which SpotX is a party. If SpotX and we are unable to negotiate waivers of those provisions, counterparties may exercise their rights and remedies under the agreements, including terminating the agreements or seeking monetary damages or equitable remedies. Even if we are able to negotiate consents or waivers, the counterparties may require a fee for such waivers or seek to renegotiate the agreements on terms less favorable to us. Any of the foregoing or similar developments may have an adverse impact on our business and results of operations following completion of the acquisition, including by diminishing or making it more difficult for us to realize some or all of the anticipated benefits of the acquisition, or by increasing the costs to us of completing the acquisition.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we undertake may disrupt our business, adversely affect operations, dilute stockholders, and expose us to costs and liabilities.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including, if completed, our acquisition of SpotX, would involve a number of risks, which may include the following:</w:t>
      </w:r>
    </w:p>
    <w:p>
      <w:pPr>
        <w:spacing w:after="0" w:line="75" w:lineRule="exact"/>
        <w:rPr>
          <w:sz w:val="20"/>
          <w:szCs w:val="20"/>
          <w:color w:val="auto"/>
        </w:rPr>
      </w:pPr>
    </w:p>
    <w:p>
      <w:pPr>
        <w:ind w:left="660" w:right="9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acquisition, and integration of acquired businesses require substantial attention from management. The diversion of management's attention and any difficulties encountered in the transition process could hurt our business;</w:t>
      </w:r>
    </w:p>
    <w:p>
      <w:pPr>
        <w:ind w:left="660" w:right="2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jc w:val="both"/>
        <w:ind w:left="660" w:right="8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organizational cultural effects arising from the integration of new personnel;</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in integrating the personnel, technologies, solutions, operations, and existing contracts of the acquired business;</w:t>
      </w:r>
    </w:p>
    <w:p>
      <w:pPr>
        <w:spacing w:after="0" w:line="36"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all of the problems, liabilities or other shortcomings or challenges of an acquired company, technology, or solution, including issues related to intellectual property, solution quality or architecture, income tax and other regulatory compliance practices, revenue recognition or other accounting practices, or employee or client issues;</w:t>
      </w:r>
    </w:p>
    <w:p>
      <w:pPr>
        <w:ind w:left="660" w:right="100" w:hanging="328"/>
        <w:spacing w:after="0" w:line="281"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spacing w:after="0" w:line="1" w:lineRule="exact"/>
        <w:rPr>
          <w:rFonts w:ascii="Times New Roman" w:cs="Times New Roman" w:eastAsia="Times New Roman" w:hAnsi="Times New Roman"/>
          <w:sz w:val="17"/>
          <w:szCs w:val="17"/>
          <w:color w:val="auto"/>
        </w:rPr>
      </w:pPr>
    </w:p>
    <w:p>
      <w:pPr>
        <w:ind w:left="660" w:right="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expose us to the risk of assumed 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w:t>
      </w:r>
    </w:p>
    <w:p>
      <w:pPr>
        <w:spacing w:after="0" w:line="2" w:lineRule="exact"/>
        <w:rPr>
          <w:rFonts w:ascii="Times New Roman" w:cs="Times New Roman" w:eastAsia="Times New Roman" w:hAnsi="Times New Roman"/>
          <w:sz w:val="18"/>
          <w:szCs w:val="18"/>
          <w:color w:val="auto"/>
        </w:rPr>
      </w:pPr>
    </w:p>
    <w:p>
      <w:pPr>
        <w:ind w:left="660" w:right="96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acquisitions can generate significant intangible assets that result in substantial related amortization charges and possible impairments;</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660" w:right="2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 (the "Sarbanes-Oxley Act");</w:t>
      </w:r>
    </w:p>
    <w:p>
      <w:pPr>
        <w:jc w:val="both"/>
        <w:ind w:left="660" w:right="4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 and</w:t>
      </w:r>
    </w:p>
    <w:p>
      <w:pPr>
        <w:spacing w:after="0" w:line="2"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COVID-19</w:t>
      </w:r>
    </w:p>
    <w:p>
      <w:pPr>
        <w:spacing w:after="0" w:line="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COVID-19 pandemic and spread of COVID-19 has impacted and may have material adverse effects on our business, financial position, results of operations and/or cash flows.</w:t>
      </w:r>
    </w:p>
    <w:p>
      <w:pPr>
        <w:spacing w:after="0" w:line="3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business has been impacted and may be materially adversely impacted by the effects of the COVID-19 pandemic. In addition to the United States, we have personnel and operations in the United Kingdom, Canada, France, Australia, New Zealand, Germany, Italy, Japan, Singapore, and Brazil, and each of these countries has been affected by the pandemic and taken measures to try to contain it. These measures have impacted and may further impact our workforce and operations, and the operations of our sellers and buyers.</w:t>
      </w:r>
    </w:p>
    <w:p>
      <w:pPr>
        <w:spacing w:after="0" w:line="5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COVID-19 pandemic has in the short-run and may over the longer term adversely affect the economies and financial markets of many countries. Adverse economic conditions and general uncertainty about economic recovery or growth, particularly in North America and Europe, where we conduct most of our business, has caused advertisers to significantly reduce their advertising budgets. Our business depends on the overall demand for advertising and on the economic health of our current and prospective sellers and buyers. As a result of advertisers significantly reducing their overall advertising spending, our revenue and results of operations have been directly affected. Though our revenue trends improved and stabilized in the second half of 2020, there can be no assurance that these trends will continue.</w:t>
      </w:r>
    </w:p>
    <w:p>
      <w:pPr>
        <w:spacing w:after="0" w:line="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economic health of our current and prospective buyers impacts the collectability of our accounts receivable. Although our liquidity has not been significantly affected by the effects of COVID-19 to date, any prolonged downturn in economic conditions in the future may severely impact our liquidity as we may need additional time to collect from buyers, which may impact our ability to pay sellers.</w:t>
      </w:r>
    </w:p>
    <w:p>
      <w:pPr>
        <w:spacing w:after="0" w:line="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degree to which the COVID-19 pandemic and responses thereto impacts our results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Although the full magnitude of the impact of the COVID-19 pandemic on our business and operations remains uncertain, the spread of COVID-19 and the imposition of related public health measures and travel and business restrictions has and is expected to continue to adversely impact our forecasted business, financial condition, operating results and cash flows.</w:t>
      </w:r>
    </w:p>
    <w:p>
      <w:pPr>
        <w:spacing w:after="0" w:line="6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Additional or unforeseen effects from the COVID-19 pandemic and the resulting economic distress could implicate or amplify many of the other risks discussed below.</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Prospects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CTV advertising spend grows more slowly than we expect our operating results and growth prospects could be harmed.</w:t>
      </w:r>
    </w:p>
    <w:p>
      <w:pPr>
        <w:spacing w:after="0" w:line="94"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growth of our platform is dependent, in part, on the continued growth in CTV advertising spend. Growth in the CTV advertising market is dependent on a number of factors, including the pace of cord-cutting (the replacement of tradition linear TV for CTV streaming), the continued proliferation of digital content and CTV providers, the adoption of ad-supported models by CTV sellers in lieu of, or in addition to, subscription models, and an acceleration in the shift of ad dollars from traditional linear TV to CTV to keep pace with changing viewership habits. If the market for ad-supported CTV develops more slowly than we expect or fails to develop as a result of these or other factors, our operating results and growth prospects could be harmed.</w:t>
      </w:r>
    </w:p>
    <w:p>
      <w:pPr>
        <w:spacing w:after="0" w:line="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CTV sellers fail to adopt programmatic advertising solutions, or adopt such solutions more slowly that we expect, our operating and growth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digital advertising has continued to scale and evolve, the amount of advertising being bought and sold programmatically has increased dramatically. Despite the opportunities created by programmatic advertising, CTV sellers have been slower to adopt programmatic solutions compared to desktop and mobile video sellers. Many CTV sellers have backgrounds in cable or broadcast television and have limited experience with digital advertising, and in particular programmatic advertising. For these sellers,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sellers to establish best practices and evangelize the benefits of programmatic CTV.</w:t>
      </w:r>
    </w:p>
    <w:p>
      <w:pPr>
        <w:spacing w:after="0" w:line="5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programmatic advertising will continue to grow as a percentage of overall CTV advertising, there can be no assurances that CTV sellers will adopt programmatic solutions or the speed at which they may adopt such solutions. Any such failure or delay in adoption could negatively impact our finance results and growth prospects.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maintain or increase access to the CTV advertising inventory monetized through our platform on terms acceptable to us.</w:t>
      </w:r>
    </w:p>
    <w:p>
      <w:pPr>
        <w:spacing w:after="0" w:line="10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success requires us to maintain and expand our access to premium and unique advertising inventory. We do not own or control the ad inventory upon which our business depends and do not own or create content. Sellers are generally not required to offer a specified level of inventory on our platform, and we cannot be assured that any publisher will continue to make their ad inventory available on our platform. Sellers may seek to change the terms on which they offer inventory on our platform, including with respect to pricing, or may elect to make advertising inventory available to our competitors who offer more favorable economic terms. Furthermore, sellers may enter into exclusive relationships with our competitors, which preclude us from offering their inventory.</w:t>
      </w:r>
    </w:p>
    <w:p>
      <w:pPr>
        <w:spacing w:after="0" w:line="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These risks are particularly pronounced with CTV sellers. CTV inventory is highly sought after, and unlike desktop or mobile advertising, which may come from disparate sources, CTV inventory tends to be concentrated on a smaller number of larger sellers that enjoy significant negotiating leverage. This dynamic has been exacerbated by consolidation in the industry, as a number of digital-first CTV sellers have been acquired by larger established television and media brands. In some instances, consolidation may result in the loss of business with an existing client (for example, if an acquiror has a preferred relationship with one of our competitors or has a proprietary solution). As a result of this concentration,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anticipated benefits of the merger with Telaria.</w:t>
      </w:r>
    </w:p>
    <w:p>
      <w:pPr>
        <w:spacing w:after="0" w:line="1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the Merger will depend, in part, on our ability to successfully combine and integrate our business with Telaria, and realize the anticipated benefits, including synergies, cost savings, innovation and technological opportunities and operational efficiencies from the Merger in a manner that does not materially disrupt existing customer, supplier and employee relations and does not result in decreased revenues due to losses of, or decreases in use of our solutions by, buyers and sellers of advertising inventory. If the combined company is unable to achieve these objectives within the anticipated time frame, or at all, the anticipated benefits may not be realized fully or at all, or may take longer to realize than expected, and the value of the combined company common stock may decline. The combined company may fail to realize some or all of the anticipated benefits of the Merger if the integration process takes longer than expected or is more costly than expected. The integration of the two companies may result in material challenges, including, without limitation:</w:t>
      </w:r>
    </w:p>
    <w:p>
      <w:pPr>
        <w:spacing w:after="0" w:line="5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more complex combined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4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business and operational relationships, including customers, suppliers and employees and other counterparties, as may be impacted by contracts containing consent and/or other provisions that may be triggered by the Merger, and attracting new business and operational relationships;</w:t>
      </w:r>
    </w:p>
    <w:p>
      <w:pPr>
        <w:spacing w:after="0" w:line="2" w:lineRule="exact"/>
        <w:rPr>
          <w:rFonts w:ascii="Times New Roman" w:cs="Times New Roman" w:eastAsia="Times New Roman" w:hAnsi="Times New Roman"/>
          <w:sz w:val="18"/>
          <w:szCs w:val="18"/>
          <w:color w:val="auto"/>
        </w:rPr>
      </w:pPr>
    </w:p>
    <w:p>
      <w:pPr>
        <w:ind w:left="660" w:right="340" w:hanging="328"/>
        <w:spacing w:after="0" w:line="27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 including unanticipated issues in integrating information technology, communications and other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or delays associated with the Merger.</w:t>
      </w:r>
    </w:p>
    <w:p>
      <w:pPr>
        <w:spacing w:after="0" w:line="90" w:lineRule="exact"/>
        <w:rPr>
          <w:sz w:val="20"/>
          <w:szCs w:val="20"/>
          <w:color w:val="auto"/>
        </w:rPr>
      </w:pPr>
    </w:p>
    <w:p>
      <w:pPr>
        <w:ind w:right="160" w:firstLine="180"/>
        <w:spacing w:after="0" w:line="266" w:lineRule="auto"/>
        <w:rPr>
          <w:sz w:val="20"/>
          <w:szCs w:val="20"/>
          <w:color w:val="auto"/>
        </w:rPr>
      </w:pPr>
      <w:r>
        <w:rPr>
          <w:rFonts w:ascii="Times New Roman" w:cs="Times New Roman" w:eastAsia="Times New Roman" w:hAnsi="Times New Roman"/>
          <w:sz w:val="18"/>
          <w:szCs w:val="18"/>
          <w:color w:val="auto"/>
        </w:rPr>
        <w:t>Many of these factors will be outside of our control, and any one of them could result in delays, increased costs, decreases in the amount of expected revenues or cost synergies, and other adverse impacts, which could materially affect the combined company’s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Supply Path Optimization efforts.</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SPO refers to efforts by buyers to consolidate the number of vendors with which they work to find the most effective and cost-efficient paths to procure media. There are a number of criteria that buyers use to evaluate supply partners. While we believe we are well positioned to benefit from supply path optimization in the long run as a result of our transparency, our pricing tools, which reduce the overall cost of working with us, our broad and unique inventory supply across all channels and formats, buyer tools such as traffic shaping that reduce the cost of working with us, and our brand safety measures, we compete for demand with a number of well-established companies, and buyers have not always embraced our offering due to various factors, including the perception that competitors have superior technology or produce better results.</w:t>
      </w:r>
    </w:p>
    <w:p>
      <w:pPr>
        <w:spacing w:after="0" w:line="5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must continue to adapt and improve our offerings to win buyers’ business. In order to achieve increased advertising spend, we may negotiate discounts to our seller fees with agencies and advertisers, and we have increasingly been receiving requests from buyers for discounts, rebates, or similar incentives to move more advertising spending to our platform. We believe that because our business has many fixed costs, increases in advertising spend volume create opportunity to disproportionately improve net income, even with increased seller fee discounts. However, our results could be negatively impacted if our advertising spend increases and cost leverage is not adequate to compensate for discounted fees.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Demand Manager service requires significant upfront investments, has a long on-boarding and ramp-up period, and may not be successful.</w:t>
      </w:r>
    </w:p>
    <w:p>
      <w:pPr>
        <w:spacing w:after="0" w:line="10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2019 we announced a new offering called Demand Manager. Demand Manager helps sellers effectively monetize their advertising inventory through configuration tools and analytics to make it easier to deploy, configure, and optimize Prebid-based header bidding solutions. Before clients are able to begin using Demand Manager, we expend a significant amount of time and costs in the initial setup and implementation, and we do not recognize revenue from Demand Manager clients until we commence services, often after an additional initial trial period. The pace of adoption of Demand Manager depends on the features and capabilities provided by our solution, as well as acceptance and expansion of the underlying Prebid-based header bidding solutions, which we do not control. While we anticipate long-term revenue growth from Demand Manager, there can be no assurance that we will be able to add additional clients to our service or expand the inventory managed by current clients and thus grow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made a strategic decision to eliminate our buyer fees in 2017, which at the time accounted for a significant percentage of our revenue.</w:t>
      </w:r>
    </w:p>
    <w:p>
      <w:pPr>
        <w:spacing w:after="0" w:line="10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response to increasing market pressure and in an effort to be more competitive, on November 1, 2017 we eliminated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xml:space="preserve"> transaction fees. Buyer transaction fees represented approximately 49% of our revenue for the first ten months of 2017, which is the period during which we charged buyer fees in 2017. Consequently, the elimination of our buyer transaction fees has had a severe adverse effect on our revenue and margins. In order to adjust for the elimination of these fees, we refocused our business on growing advertising spend through increased volume of transactions and operating with increased efficiencies. These initiatives included investments in bid shaping and bid filtering technology that has allowed us to improve our fill rate, or the percentage of ad requests on our platform that are monetized.</w:t>
      </w:r>
    </w:p>
    <w:p>
      <w:pPr>
        <w:spacing w:after="0" w:line="6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Though we’ve taken steps to significantly increase advertising spend on our platform, we may not succeed in continuing to increase transaction volume or improve fill rates. To the extent we are unable to compensate for our price reductions by continuing to increase advertising spend on our platform, our revenue will decline, we will not be able to grow our business, our cash resources may be depleted, and we may be forced to seek additional capital to support our business and operations. If we are required to cut costs further in order to remain competitive, we may have difficulty identifying and implementing significant additional cost reduction measures without adversely impacting our operations and our ability to provide competitive services to our clients.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development efforts may be inefficient or ineffective, which may impair our ability to attract buyers and sellers.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face intense competition in the marketplace and are confronted by rapidly changing technology, evolving industry standards and consumer needs, regulatory changes, and the frequent introduction of new solutions by our competitors to which we must adapt and respond. Our future success will depend in part upon our ability to enhance our existing solution and to develop and introduce competing new solutions in a timely manner with features and pricing that meet changing client and market requirements. Our solutions are complex and can require a significant investment of time and resources to develop, test, introduce, and enhance. These activities can take longer than we expect. We schedule and prioritize our development efforts according to a variety of factors, including our perceptions of market trends, client requirements, and resource availability; however,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have expanded our use of outsourced software development,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which may put the company at greater risk with respect to our technology development because we may have less control over the performance of outside programmers and we may be at greater risk of losing their services. To the extent we do not manage our development efforts efficiently and effectively, we may fail to produce solutions that respond appropriately to the needs of buyers and sellers, and competitors may more successfully develop responsive offerings. If our solution is not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emergence of header bidding has increased competition from other demand sources and may cause infrastructure strain and added cost.</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mobile and desktop channels, sellers have embraced header bidding, a technology solution by which impressions that would have previously been exposed to different potential sources of demand in a sequence dictated by ad server priorities are instead available for concurrent competitive bidding by demand sources. This can help sellers increase revenue by exposing their inventory to more bidders, thereby allocating more inventory to demand sources that value it most highly. While header bidding has the potential to increase our access to inventory that otherwise would have been allocated first to other exchanges, thus increasing our revenue opportunity, it has also resulted in a number of challenges for our business. First, some sellers with which we have had direct relationships may choose not to integrate with us as a header-bidding demand source, in which case we will have less opportunity to access their advertising inventory through our platform. Second, certain sources of demand, including owners of the header bidding solutions, may be prioritized by sellers in their header bidding implementation, leaving us at a competitive disadvantage in the auction. Third, just as header bidding allows us to compete with demand sources that would previously have been above us in sellers' ad server sequences, it exposes us to additional competition by demand sources that, prior to the emergence of header bidding, might have been below us in the sellers' ad server sequences or otherwise unable to compete effectively for inventory. Lastly, header-bidding has vastly increased the volume of ad requests that need to be processed and analyzed through our system, resulting in increased infrastructure costs.</w:t>
      </w:r>
    </w:p>
    <w:p>
      <w:pPr>
        <w:spacing w:after="0" w:line="6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we are unable improve the efficiency and effectiveness of our current header bidding solution and installations we may not fully offset these increased infrastructure costs, and we will not be able to take full advantage of the opportunities made available through current header bidding technology to access a larger addressable market and increase our revenue by capturing a greater share of inventory. In addition, our success in monetizing impressions through header-bidding solutions is dependent on the interoperability of our platform with proprietary header-bidding solutions, some of which are owned by our competitors. As a result, we may be susceptible to evolution in technology and changes in business practices by the owners of such header-bidding solutions that we cannot predict.</w:t>
      </w:r>
    </w:p>
    <w:p>
      <w:pPr>
        <w:spacing w:after="0" w:line="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While header-bidding technologies have not been largely adopted by CTV sellers, such solutions or similar solutions geared towards unifying demand may become more prevalent in the future. If we are not able to effectively adapt our technology to such solutions or if their adoption results in increased competition for CTV inventory, we may have reduced opportunities or it may be more costly to monetize this inventory, which would negatively affect our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increase the scale and efficiency of our technology infrastructure to support our growth and transaction volumes.</w:t>
      </w:r>
    </w:p>
    <w:p>
      <w:pPr>
        <w:spacing w:after="0" w:line="1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 We must continue to increase the capacity of our platform to support our high-volume strategy, to cope with increased data volumes and parties resulting from header bidding and an increasing variety of advertising formats and platforms, and to maintain a stable service infrastructure and reliable service delivery. To the extent we are unable, for cost or other reasons, to effectively increase the capacity of our platform, continue to process transactions at fast enough speeds, and support emerging advertising formats or services preferred by buyers, our revenue will suffer. We expect to continue to invest in our platform to meet increasing demand. Such investment may negatively affect our profitability and results of operations.</w:t>
      </w:r>
    </w:p>
    <w:p>
      <w:pPr>
        <w:spacing w:after="0" w:line="4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belief that there is significant and growing demand for private marketplace solutions may be inaccurate, and we may not realize a return from our investments in that area.</w:t>
      </w:r>
    </w:p>
    <w:p>
      <w:pPr>
        <w:spacing w:after="0" w:line="3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believe there is significant and growing demand for PMPs, and we have made significant investments to meet that demand and grow our market share of PMPs. Currently, the majority of CTV transactions are executed through PMPs and we expect PMPs to grow as a percentage of revenue in mobile and desktop as well. PMPs may involve lower fees than we can charge for OMP, which may not be fully offset by anticipated higher CPMs. In some cases, we have experienced fee pressure as we have built out our PMP offering, and we expect this fee pressure to increase as more competitors, including new entrants as well as sellers themselves, build their own technology and infrastructure to enable PMPs. Even if the market for these solutions develops as we anticipate, and our buyers and sellers embrace our offerings, the positive effect of our PMP offerings on our results of operations may be offset or negated if PMPs cannibalize our open marketplace transaction volumes, by similar offerings from our competitors, or through other adverse developments.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heavily in our mobile technology, which poses additional risks that did not affect our legacy desktop display business. To the extent our access to mobile inventory is limited by third-party technology or lack of direct relationships with mobile sellers, our ability to grow our business will be impaired.</w:t>
      </w:r>
    </w:p>
    <w:p>
      <w:pPr>
        <w:spacing w:after="0" w:line="4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Due to increased usage of mobile devices and resulting migration of advertising spending to mobile platforms, we have invested heavily in our mobile technology and are relying on our mobile offerings to fuel our continued growth. 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mobile applications to be the largest driver of our mobile business. Many mobile apps utilize software development kits, or SDKs, and other proprietary technology of third parties, such as aggregators, and it is those third parties, not the application providers themselves, that contract with us to provide exchange services to help monetize the inventory. Due to this consolidation, if our relationships with these third parties decline or are terminated, it may result in a larger than usual loss of access to mobile inventory. Any rapid and/or significant decline in the availability of mobile inventory can adversely affect our mobile advertising spend and growth prospects.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issues have in the past and could in the future have a material adverse effect on our business.</w:t>
      </w:r>
    </w:p>
    <w:p>
      <w:pPr>
        <w:spacing w:after="0" w:line="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majority of our revenue comes from DSP buyers purchasing advertising inventory made available by sellers on our platform. We experience requests from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(our fee as a percentage of advertising spend), the value of our business, and the price of our stock could be adversely affected if we cannot maintain and grow our revenue and profitability through volume increases that compensate for price reductions, or if we are forced to make significant fee concessions, rebates, or refunds, or if buyers reduce spending with us or sellers reduce inventory available through our exchange due to fee disputes or pricing issues.</w:t>
      </w:r>
    </w:p>
    <w:p>
      <w:pPr>
        <w:spacing w:after="0" w:line="6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take rates may be difficult to forecast and may decrease in future periods; any decrease in our take rates may result in a decrease in our revenue notwithstanding an increase in the amount of spend transacted through our platform.</w:t>
      </w:r>
    </w:p>
    <w:p>
      <w:pPr>
        <w:spacing w:after="0" w:line="3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our platform on a transactional basis where we are paid by a publisher each time an impression is monetized on our platform. Typically, this fee is structured as a percentage of advertising spend that the publisher receives for its inventory. Our take rate varies by publisher and transaction type. For instance, our take rate tends to be lower for PMP transactions compared to open auction, and tends to be lower on CTV transactions compared to other channels. We may also negotiate lower take rates with large sellers to win additional business or share of inventory, in particular in CTV.</w:t>
      </w:r>
    </w:p>
    <w:p>
      <w:pPr>
        <w:spacing w:after="0" w:line="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Even if we are able to accurately forecast the anticipated total advertising spend transacted by buyers across our platform, we may have limited visibility regarding the revenue we will generate because we do not control what publisher inventory is purchased by a buyer. For substantially all transactions executed through our platform, our revenue is recognized net of any inventory costs that we remit to sellers. As a result, a decrease in our take rate could cause our revenue to decrease notwithstanding an increase in the total spend transacted through our seller platform.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face many risks that may prevent us from achieving or sustaining profitability in the future.</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reported net losses of $53.4 million and $25.5 million during the years ended December 31, 2020 and 2019, respectively. As of December 31, 2020, we had an accumulated deficit of $394.5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spacing w:after="0" w:line="4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these measures, and in light of the overall decline in advertising spend experienced in 2020, revenue may continue to decrease due to competitive pressures, maturation of our business, or other factors, and additional cost-reduction measures may be required even as we must continue to increase investment in technology in response to industry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developments and to retain competitiveness. We may not be able to sustain growth or to achieve or sustain profitability in the future.</w:t>
      </w:r>
    </w:p>
    <w:p>
      <w:pPr>
        <w:spacing w:after="0" w:line="8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various factors, our operating results have in the past and may in the future fluctuate significantly, be difficult to predict, and fall below analysts' and investors' expectations.</w:t>
      </w:r>
    </w:p>
    <w:p>
      <w:pPr>
        <w:spacing w:after="0" w:line="3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54" w:lineRule="exact"/>
        <w:rPr>
          <w:sz w:val="20"/>
          <w:szCs w:val="20"/>
          <w:color w:val="auto"/>
        </w:rPr>
      </w:pPr>
    </w:p>
    <w:p>
      <w:pPr>
        <w:ind w:left="660" w:right="10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demand for digital advertising, as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w:t>
      </w:r>
    </w:p>
    <w:p>
      <w:pPr>
        <w:spacing w:after="0" w:line="2"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spacing w:after="0" w:line="4" w:lineRule="exact"/>
        <w:rPr>
          <w:rFonts w:ascii="Times New Roman" w:cs="Times New Roman" w:eastAsia="Times New Roman" w:hAnsi="Times New Roman"/>
          <w:sz w:val="18"/>
          <w:szCs w:val="18"/>
          <w:color w:val="auto"/>
        </w:rPr>
      </w:pPr>
    </w:p>
    <w:p>
      <w:pPr>
        <w:ind w:left="660" w:right="64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our revenue mix to include new services, some of which may have lower pricing than our historic lower-value inventory business or may cannibalize existing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buyers or sellers;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economic health of our current and prospective sellers and buyers;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advertising strategies or budgets or financial condition of advertisers;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technology and the cost, timeliness, and results of our technology innovation efforts;</w:t>
      </w:r>
    </w:p>
    <w:p>
      <w:pPr>
        <w:spacing w:after="0" w:line="36" w:lineRule="exact"/>
        <w:rPr>
          <w:rFonts w:ascii="Times New Roman" w:cs="Times New Roman" w:eastAsia="Times New Roman" w:hAnsi="Times New Roman"/>
          <w:sz w:val="18"/>
          <w:szCs w:val="18"/>
          <w:color w:val="auto"/>
        </w:rPr>
      </w:pPr>
    </w:p>
    <w:p>
      <w:pPr>
        <w:ind w:left="660" w:right="14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service offerings by our competitors and market acceptance of such technologies or services;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phasing out of third-party cookies throughout the industry;</w:t>
      </w:r>
    </w:p>
    <w:p>
      <w:pPr>
        <w:spacing w:after="0" w:line="36" w:lineRule="exact"/>
        <w:rPr>
          <w:rFonts w:ascii="Times New Roman" w:cs="Times New Roman" w:eastAsia="Times New Roman" w:hAnsi="Times New Roman"/>
          <w:sz w:val="18"/>
          <w:szCs w:val="18"/>
          <w:color w:val="auto"/>
        </w:rPr>
      </w:pPr>
    </w:p>
    <w:p>
      <w:pPr>
        <w:ind w:left="660" w:right="40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stock price on valuation of stock-based compensation or other instruments that are marked to market;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financial and information technology infrastructure and controls;</w:t>
      </w:r>
    </w:p>
    <w:p>
      <w:pPr>
        <w:spacing w:after="0" w:line="36" w:lineRule="exact"/>
        <w:rPr>
          <w:rFonts w:ascii="Times New Roman" w:cs="Times New Roman" w:eastAsia="Times New Roman" w:hAnsi="Times New Roman"/>
          <w:sz w:val="18"/>
          <w:szCs w:val="18"/>
          <w:color w:val="auto"/>
        </w:rPr>
      </w:pPr>
    </w:p>
    <w:p>
      <w:pPr>
        <w:ind w:left="660" w:right="10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social factors, such as concerns regarding negative, unstable or changing economic conditions in the countries and regions where we operate, global and regional recessions, political instability, and trade disputes;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principles and the significant judgments and estimates made by management in the application of these policies and principles.</w:t>
      </w:r>
    </w:p>
    <w:p>
      <w:pPr>
        <w:spacing w:after="0" w:line="4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significant portions of our expenses are relatively fixed, variation in our quarterly revenue can cause significant variations in operating results and resulting stock price volatility from period to period.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Advertising Technology Industry, Market, and Competition</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are highly dependent on the overall demand for advertising. Factors that affect the amount of advertising spending, such as economic downturns, can make it difficult to predict our revenue and could adversely affect our business.</w:t>
      </w:r>
    </w:p>
    <w:p>
      <w:pPr>
        <w:spacing w:after="0" w:line="3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sellers and buyers. If advertisers reduce their overall advertising spending, our revenue and results of operations are directly affected. Various macro factors could cause advertisers to reduce their advertising budgets, including adverse economic conditions and general uncertainty about economic recovery or growth, particularly in North America and Europe, where we do most of our business, the occurrence of a pandemic or other health crisis, instability in political or market conditions generally,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imposition of digital service taxes, and any changes in favorable tax treatment of advertising expenses and the deductibility thereof. Reductions in inventory due to loss of sellers make our solution less robust and attractive to buyers.</w:t>
      </w:r>
    </w:p>
    <w:p>
      <w:pPr>
        <w:spacing w:after="0" w:line="2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digital advertising market is relatively new. If this market develops more slowly or differently than we expect, our business, growth prospects and financial condition would be adversely affected.</w:t>
      </w:r>
    </w:p>
    <w:p>
      <w:pPr>
        <w:spacing w:after="0" w:line="3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future growth will be constrained if we are not able to adapt successfully to market evolution. In addition, the success of our efforts to advance new solutions for increased advertising automation will depend upon adoption of our solution by personnel at buyers and sellers in lieu of their traditional methods of order placement. It is difficult to predict adoption rates, demand for our solution, the future growth rate and size of the digital advertising solutions market or the entry of competitive solutions. Any expansion of the market for digital advertising solutions depends on a number of factors, including social and regulatory acceptance, the growth of the overall digital advertising market and the growth of specific sectors including social, mobile, video, and out-of-home as well as the actual or perceived technological viability, quality, cost, performance and value associated with emerging digital advertising solutions. If digital marketing does not develop in the manner we expect, our business and financial condition would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market that includes companies that have greater financial, technical and marketing resources than we do.</w:t>
      </w:r>
    </w:p>
    <w:p>
      <w:pPr>
        <w:spacing w:after="0" w:line="9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existing and potential buyers have their own relationships with sellers or are seeking to establish such relationships, and many sellers are investing in capabilities that enable them to connect more effectively directly with buyers. Our business suffers to the extent that buyers and sellers purchase and sell advertising inventory directly from one another or through intermediaries other than us, reducing the amount of advertising spend on our platform. New or stronger competitors may emerge through acquisitions and industry consolidation or through development of disruptive technologies. If our offerings are not perceived as competitively differentiated, we could lose clients, market share or be compelled to reduce our prices, making it more difficult to grow our business profitably.</w:t>
      </w:r>
    </w:p>
    <w:p>
      <w:pPr>
        <w:spacing w:after="0" w:line="7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In addition, our competitors or potential competitors may adopt certain aspects of our business model, which could reduce our ability to differentiate our solutions.</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and future competitors.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Collection, Use and Disclosure of Data</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and use data to deliver advertisements, and to disclose data relating to the performance of advertisements. Any limitation imposed on our collection, use or disclosure of this data could significantly diminish the value of our solution and cause us to lose sellers, buyers, and revenue. Consumer tools, regulatory restrictions and technological limitations all threaten our ability to use and disclose data.</w:t>
      </w:r>
    </w:p>
    <w:p>
      <w:pPr>
        <w:spacing w:after="0" w:line="5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more informed advertising is about its audience, the more valuable it is. Programmatic advertising enables more precise audience targeting based on the identity and actions of the user. Targeted advertising is generally more effective and valuable for buyers than other types of advertising, resulting in more revenue for sellers. In order to target advertising, we and our clients must be permitted to use data in a variety of ways. Our ability to collect, use, and share data about advertising purchase and sale transactions and user behavior and interaction with content is critical to the value of our services, and any limitation on our data practices could impair our ability to deliver effective solutions to our clients. Any restriction on the types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data we collect could make placement of advertising through our solution less valuable, with commensurate reductions in revenue.</w:t>
      </w:r>
    </w:p>
    <w:p>
      <w:pPr>
        <w:spacing w:after="0" w:line="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Internet users can, with increasing ease, implement practices or technologies that may limit our ability, or that of our sellers, buyers and business partners, to collect data. For example, users may delete or block the use of the cookies used to collect data, including through their browser or mobile device settings. Internet users may also download "ad blocking" software that prevents certain cookies from being stored on a user’s computer or mobile device, including to prevent the display of targeted advertisements. In addition, most widely used web browsers allow users to send "Do Not Track" signals to indicate that they do not wish to have their web usage tracked, while many device manufacturers and operating systems are increasingly promoting features that allow users to disable the collection of data. Even if ad blockers do not ultimately have a material impact on our business, investor concerns about ad blockers could cause our stock price to decline.</w:t>
      </w:r>
    </w:p>
    <w:p>
      <w:pPr>
        <w:spacing w:after="0" w:line="6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new laws and regulations, such as the GDPR and CCPA, restrict the ability to collect and process certain types of user data, including, in the case of GDPR, requiring user consent or another legal basis in order to collect or process personal data and, in the case of CCPA, giving the user a right to opt out of the collection or processing of personal data. To the extent sellers are unable to obtain valid consent or otherwise provide a legal basis for collecting and processing personal data, it would impair the ability to deliver targeted advertisements on their inventory.</w:t>
      </w:r>
    </w:p>
    <w:p>
      <w:pPr>
        <w:spacing w:after="0" w:line="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 much of the data we collect and use belongs to our buyers or sellers, and we receive their permission to use it.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As consumers continue to increase their use of digital technology and to incorporate multiple devices into their lives, linking and using data across such devices will become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cookies are replaced by alternative tracking mechanisms, our performance may decline and we may lose buyers and revenue.</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Industry participants in the advertising technology ecosystem have taken or may take action to eliminate or restrict the use of cookies and other identifiers, and we expect the use of third-party cookies to be largely phased out by 2022. For instance, Google has announced plans to fully eliminate the use of third-party cookies, while Apple has further restricted the use of mobile identifiers on its devices. In the absence of third-party cookies, it is possible that these or other companies in our ecosystem may rely on proprietary algorithms or statistical methods to track web users without cookies, or may utilize log-in credentials entered by users, to track web usage, including usage across multiple devices, without cookies. Alternatively, such companies may build different and potentially proprietary user tracking methods into their widely-used web browsers. While these new identification solutions will likely provide some level of consistency and compatibility with our platform, they are unreleased and unproven, and will require substantial development and commercial changes for us to support. There is also further risk that the changes will disproportionately benefit the owners of these platforms or the large walled gardens that have access to large amounts of first party data. Even if cookies are effectively replaced by open industry-wide tracking standards rather than proprietary standards, we may still incur substantial re-engineering costs to replace cookies with these new technologies. This may also diminish the quality or value of our services to buyers if such new technologies do not provide us with the quality or timeliness of the data that we currently generate from cookies.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belief that the elimination of third-party cookies will lead to an increased use of first-party publisher segments may be incorrect.</w:t>
      </w:r>
    </w:p>
    <w:p>
      <w:pPr>
        <w:spacing w:after="0" w:line="9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elimination of third 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While we believe that our platform and scale position us well to provide the infrastructure and tools needed for a publisher-centric identity model to succeed, there is no guarantee that our efforts will lead to an increase of the use of first-party publisher segments in the ecosystem. It is also possible that the increased use of first-party publisher segments will disproportionately benefit sellers or the large walled gardens that have access to large amounts of first party data. Additionally, these changes could create some variability in our revenue across certain buyers or sellers, depending on the timing of changes and developed solutions, and even if there is an increase in the proliferation of first-party publisher segments, we may still incur substantial re-engineering costs to optimize our solution for use with such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9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directed at the digital advertising industry in particular, and we expect to see an increase in legislation and regulation related to the collection and use of data to target advertisements and communicate with consumers.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6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Various federal privacy bills have been introduced in the U.S. Congress recently and a number of states, including California, have passed or are considering privacy bills. These regulations may place significant restrictions on the collection and use of certain types of data used for behavioral advertising. The FTC has issued guidance on how companies should apply privacy principles to tracking and delivering targeted advertisements to consumers across multiple devices. The FTC has also adopted revisions to the Children's Online Privacy Protection Act that expand liability for the collection of information (including certain device information such as persistent identifiers) by operators of websites and other online services that are directed to children or that otherwise use (for certain purposes) information collected from or about children.</w:t>
      </w:r>
    </w:p>
    <w:p>
      <w:pPr>
        <w:spacing w:after="0" w:line="5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Recently, California passed two privacy laws broadly regulating business’ processing of personal information, the California Consumer Privacy Act of 2018 ("CCPA") and the California Privacy Rights Act ("CPRA"). The CCPA, which went into effect on January 1, 2020, is the most comprehensive data privacy regulation to date in the United States, and could be the precursor to other similar legislation in other states or at the federal level. The CCPA defines personal information in a way that captures the types of data that we collect, such as device identifiers and IP addresses. Under the CCPA, California residents have new privacy rights (including rights of access and deletion), which bear similarity to some of the data subject rights granted to EU residents under the GDPR. In addition, the CCPA gives California residents the right to opt-out of the sale of their personal information or to opt in to such sales, in the case of data relating to minors). The CCPA defines "sale" broadly, which could be interpreted to include typical advertising technology activities; this opt-out right may impact the ability of ad tech companies to provide services to their customers. The law establishes a new privacy framework for covered businesses, imposing additional compliance obligations on sellers and ad tech companies. Interpretation of the requirements remains unclear due to ambiguities in the regulations and a lack of enforcement actions to date. The California Attorney General issued final regulations implementing the CCPA that became enforceable in 2020. Additional modifications were subsequently proposed, though those modifications have yet to be finalized.</w:t>
      </w:r>
    </w:p>
    <w:p>
      <w:pPr>
        <w:spacing w:after="0" w:line="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recently-passed CPRA will take effect in January 2023 and will impose additional notice and opt out obligations on the digital advertising space, including an obligation to provide an opt-out for behavioral advertising. It will also give the Attorney General broad rule making authority to issue regulations that could have additional impacts on our business. The CPRA, like the CCPA, will cause us to incur additional compliance costs and may impose additional restrictions on us and on our industry partners.</w:t>
      </w:r>
    </w:p>
    <w:p>
      <w:pPr>
        <w:spacing w:after="0" w:line="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CCPA and CPRA may precipitate additional privacy regulation by federal, state and local governments, which may increase our compliance costs and strain our technical capabilities, and which may conflict with each other. If we are unable to comply with the CCPA, CPRA, or other related legislation in the future, we may be subject to regulatory or private investigations, and if we are unable to use information for behavioral advertising as we have in the past, our business could be materially affected.</w:t>
      </w:r>
    </w:p>
    <w:p>
      <w:pPr>
        <w:spacing w:after="0" w:line="4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the European Economic Area ("EEA") and the United Kingdom ("UK"), the General Data Protection Regulation, Regulation (EU) 2016/679 ("GDPR"), has now been in effect for more than two years. A key feature of the GDPR is that it treats much of the end-user information that is critical to programmatic digital advertising as "personal data" and therefore subject to significant conditions and restrictions on its collection and use. Without this end-user information, the value of programmatic advertising inventory diminishes, resulting in lower demand and prices, and potentially less advertising spend and revenue for us and other industry participants. If European sellers react by choosing to monetize their content through non-advertising-based methods (such as paid subscriptions), or reduce use of personal data subject to the GDPR in order to reduce compliance cost and risk, the volume and value of impressions available through our exchange would decrease, with potentially significant adverse consequences for our business.</w:t>
      </w:r>
    </w:p>
    <w:p>
      <w:pPr>
        <w:spacing w:after="0" w:line="6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GDPR also sets out higher potential liabilities for certain data protection violations and creates a greater compliance burden for us in the course of delivering our solution in Europe. Compliance stakes are high because penalties for violation of the law can reach up to the greater of 20 million Euros or 4% of total worldwide annual turnover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Moreover, the regulatory climate in Europe, in particular, has grown increasingly unfavorable and we anticipate increased regulatory scrutiny on the digital advertising industry as a whole.</w:t>
      </w:r>
    </w:p>
    <w:p>
      <w:pPr>
        <w:spacing w:after="0" w:line="27" w:lineRule="exact"/>
        <w:rPr>
          <w:sz w:val="20"/>
          <w:szCs w:val="20"/>
          <w:color w:val="auto"/>
        </w:rPr>
      </w:pPr>
    </w:p>
    <w:p>
      <w:pPr>
        <w:ind w:right="600" w:firstLine="648"/>
        <w:spacing w:after="0" w:line="289" w:lineRule="auto"/>
        <w:rPr>
          <w:sz w:val="20"/>
          <w:szCs w:val="20"/>
          <w:color w:val="auto"/>
        </w:rPr>
      </w:pPr>
      <w:r>
        <w:rPr>
          <w:rFonts w:ascii="Times New Roman" w:cs="Times New Roman" w:eastAsia="Times New Roman" w:hAnsi="Times New Roman"/>
          <w:sz w:val="17"/>
          <w:szCs w:val="17"/>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3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w:t>
      </w:r>
    </w:p>
    <w:p>
      <w:pPr>
        <w:spacing w:after="0" w:line="5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EEA and UK data practices and/or rely on an alternative legally sufficient compliance measure.</w:t>
      </w:r>
    </w:p>
    <w:p>
      <w:pPr>
        <w:spacing w:after="0" w:line="4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GDPR generally prohibits the transfer of personal data of EEA and UK subjects outside of the European Union and the UK to countries whose laws do not ensure an adequate level of protection,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 As a result, despite the fact that we have certified our compliance to the EU-U.S. Privacy Shield, this mechanism can no longer be used as a lawful means to transfer EEA and UK data to us in the U.S. For the time being, the Department of Commerce continues to operate the EU-U.S. Privacy Shield, however,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second mechanism, Standard Contractual Clauses ("SCCs"), an alternative transfer measure that we also offer to our EEA and UK customers for extra-EEA and UK data transfers, was upheld as a valid legal mechanism for transnational data transfer. However, the ruling requires that EEA and UK organizations seeking to rely on the SCCs to export data out of the EEA and UK to ensure the data is protected to a standard that is "essentially equivalent" to that under the GDPR including, where necessary, by taking "supplementary measures" to protect the data. It remains unclear what "supplementary measures" must be taken to allow the lawful transfer of personal data to the United States, and it is possible that EEA and UK data protection authorities may determine that there are no supplementary measures that can legitimize data transfers from the EEA and the UK to the U.S. For the time being, we will rely on SCCs for transfers of EEA and UK personal data to the U.S. and explore what "supplementary measures" can be implemented to protect such personal data that is transferred to us in the United States. We may also need to restructure our data export practices as a result of Brexit. At the end of 2020, European Union law ceased to apply to the UK, and the UK and EU are currently working under a temporary cooperation agreement to establish rules governing the data flow between the UK and EEA.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GDPR and changes in U.S. laws impose new requirements for end user consent or opt-out that are not yet well understood.</w:t>
      </w:r>
    </w:p>
    <w:p>
      <w:pPr>
        <w:spacing w:after="0" w:line="9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End-user consent to data collection through device access (including the placement of cookies) has been required for some time under the European Union Privacy and Electronic Communications Directive (Directive 2002/58/EC), commonly referred to as the "ePrivacy Directive," but the GDPR has added complexity and risk regarding the obligations to obtain valid consent.</w:t>
      </w:r>
    </w:p>
    <w:p>
      <w:pPr>
        <w:spacing w:after="0" w:line="5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End-user consent is difficult for ad tech intermediaries like us to obtain because we do not have direct relationships with such end users, so we have historically relied upon sellers to obtain consent for use of our technology. To the extent any seller does not adequately satisfy its consent obligations for our technology, we may face regulatory risk. Further, emerging regulatory guidance in the EU has challenged this method of obtaining consent. To the extent we (and/or our buyers) are required to obtain or confirm consent directly from end users, our ability to use cookies or access devices within applicable jurisdictions may become significantly restricted.</w:t>
      </w:r>
    </w:p>
    <w:p>
      <w:pPr>
        <w:spacing w:after="0" w:line="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2018, IAB Europe released a tool, the Transparency and Consent Framework (the "TCF"), in order to assist sellers, advertisers and advertising technology providers, with the process of obtaining consent from end users in accordance with the GDPR (and also to provide end users with greater transparency in the advertising chain). There is limited guidance regarding proper implementation of the tool and some sellers and ad tech providers may not be using the tool or interpreting consent signals correctly. The TCF continues to evolve and we will need to devote internal resources to support any additional requirements imposed by the TCF (and possibly other consent tools). It is not yet clear whether the TCF (or any other) consent tool will be accepted by regulators as appropriate consent mechanisms.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US, some government regulators and privacy advocates have suggested creating a "Do Not Track" standard that would allow Internet users to express a preference, independent of cookie settings in their browser, not to have their online browsing activities tracked. "Do Not Track" has garnered renewed interest in light of the CCPA. The CCPA regulations contemplate browser-based or similar "do not sell" signals. Further, the CPRA contemplates the use of technical opt-outs for the sale and sharing of personal information for advertising purposes as well as to opt out of the use of sensitive information for advertising purposes.</w:t>
      </w:r>
    </w:p>
    <w:p>
      <w:pPr>
        <w:spacing w:after="0" w:line="4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Legal standards and regulatory guidance will continue to evolve. National regulators in the UK and EU are evolving their guidance on the use of advertising technologies and compliance with the GDPR and ePrivacy Directive. This guidance may be burdensome or inconsistent across countries, and present challenges to the way we operate. Some regulators are undertaking enforcement investigations into advertising technology companies, and the outcome of these investigations may present risks to our business.</w:t>
      </w:r>
    </w:p>
    <w:p>
      <w:pPr>
        <w:spacing w:after="0" w:line="5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factors set forth above, our or our clients’ ability to serve target advertisements may become significantly impaired or complicated in certain jurisdictions.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Europe, it remains unclear whether certain legal bases for data processing are permitted for behavioral advertising.</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We generally rely upon legitimate interests. There is minimal guidance on the factors that would override any legitimate interest for processing. Some EU regulators or courts may conclude that the processing of personal data for the purposes of behavioral advertising does not satisfy the legitimate interests of the controller, or that such interests do not outweigh the privacy rights of end users, even with respect to ad tech parties that only collect pseudonymous personal data. Unavailability of this basis for processing end users’ personal data would require us to obtain end-user consent for processing under the GDPR, which may not be possible for us, or other ad tech intermediaries, without changes to the ad tech business that would be difficult, time-consuming, expensive, and perhaps unattainable. These complexities are compounded by the ability of different national and state governmental authorities within the EU to adopt differing interpretative and enforcement approaches to the law.</w:t>
      </w:r>
    </w:p>
    <w:p>
      <w:pPr>
        <w:spacing w:after="0" w:line="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uncertainty and industry unpreparedness may mean substantial disruption and inefficiency, demand constraints, and reduced inventory supply and value.</w:t>
      </w:r>
    </w:p>
    <w:p>
      <w:pPr>
        <w:spacing w:after="0" w:line="3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Some sellers may be unprepared to comply with evolving regulatory guidance under US and foreign privacy laws, and therefore may remove personal data from their inventory before passing it into the bid stream, which would reduce the value of the inventory to buyers. Even well-prepared sellers and buyers will be confronted with difficult choices and administrative and technical hurdles to implement their privacy compliance programs and integrate with multiple other parties in the ecosystem.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 The uncertain regulatory environment caused by changes to privacy laws discussed in the sections above may benefit large, integrated competitors like Google, Facebook, Comcast Verizon, AT&amp;T and Amazon, which have greater compliance resources and can take advantage of their direct relationships with end users to secure consents from, and offer necessary choices to, end users that we and other intermediaries without direct user relationships are less able to obtain under current industry conditions.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with respect to political advertising, which lacks clarity and uniformity.</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regulation with respect to political advertising activities, which are governed by various federal and state laws in the U.S., and national and provincial laws worldwide.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sellers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industry self-regulation could harm our brand, reputation, and our business.</w:t>
      </w:r>
    </w:p>
    <w:p>
      <w:pPr>
        <w:spacing w:after="0" w:line="9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addition to compliance with government regulations, we voluntarily participate in trade associations and industry self-regulatory groups that promulgate best practices or codes of conduct addressing privacy and the provision of digital advertising. If we encounter difficulties abiding by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practices, divert management's attention and our resources, and be damaging to our reputation and our business. In addition, we could be adversely affected by new or altered self-regulatory guidelines that are inconsistent with our practices.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Buyers and Sellers and Other Strategic Relationships</w:t>
      </w:r>
    </w:p>
    <w:p>
      <w:pPr>
        <w:spacing w:after="0" w:line="10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buyers and sellers to abide by contractual requirements and relevant laws, rules, and regulations when using our solution. The acts or omissions of buyers or sellers, or our own failure to meet advertising and inventory content standards and provide services that our buyers and sellers trust, could harm our brand and reputation and those of our partners, and negatively impact our business, financial condition and results of operations.</w:t>
      </w:r>
    </w:p>
    <w:p>
      <w:pPr>
        <w:spacing w:after="0" w:line="4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buyers and sellers engaging in transactions through our platform impose various requirements upon each other, and they and the underlying advertisers are subject to regulatory requirements by governments and standards bodies applicable to their activities. Though we contractually require buyers and sellers to abide by relevant laws, rules and regulations, as well as restrictions by their counterparties, when transacting on our platform, we do not provide or control the content of the advertisements that we serve or the content of the websites providing the inventory, and there are many circumstances in which it is difficult or impossible for us to monitor or evaluate the compliance of our buyers and sellers. If buyers or sellers fail to abide by relevant laws, rules and regulations, or contract requirements, we could potentially face liability for such misuse.</w:t>
      </w:r>
    </w:p>
    <w:p>
      <w:pPr>
        <w:spacing w:after="0" w:line="6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both advertisers and inventory suppliers are concerned about being associated with content they consider inappropriate, competitive or inconsistent with their brands, or illegal, and they are hesitant to spend money or make inventory available, respectively, without some guarantee of brand security. Buyers increasingly require us to accept liability for inventory quality and sellers increasingly require us to accept liability for ad content. Consequently, our reputation depends in part on providing services that our buyers and sellers trust, and we have contractual obligations to meet content and inventory standards. We contractually prohibit the misuse of our platform by our buyers and sellers and actively monitor inventory against our quality guidelines. Despite such efforts, we may provide access to inventory that is objectionable to our buyers or serve advertising that contains objectionable content, which could harm our or our clients’ brand and reputation, decrease their trust in our platform, and negatively impact our business, financial condition and results of operations. Furthermore, we may receive public pressure to discontinue working with certain sellers or buyers on our platform.</w:t>
      </w:r>
    </w:p>
    <w:p>
      <w:pPr>
        <w:spacing w:after="0" w:line="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buyers and sellers are generally not exclusive, may be terminated upon relatively short notice,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4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Generally, our buyers and sellers are not obligated to provide us with any minimum volumes of business, may do business with our competitors as well as with us, may reduce or cancel their business with us or terminate our contracts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limitations on data sharing, prohibitions on advertisements from specific advertisers or specific industries, and restrictions on the use of specified creative content or format. Finally, with the proliferation of header bidding, sellers' inventory is available for purchase through multiple exchanges simultaneously. Buyers, in turn, are free to direct their spend to us or one or more of our competitors, and increasingly are seeking price concessions, rebates, or other consideration to direct more spend towards us.</w:t>
      </w:r>
    </w:p>
    <w:p>
      <w:pPr>
        <w:spacing w:after="0" w:line="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serve many buyers and sellers, but certain large buyers and sellers have accounted for and will continue to account for a disproportionate share of business transacted through our solution. In 2020 there were two buyers of advertising inventory that indirectly contributed to approximately 40% of revenue through their buying activity from sellers on our platform. If a 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In addition, loss of substantial inventory or demand could degrade our marketplace. Loss of major DSP sources of demand could adversely affect bid density or pricing in our auctions, and reduction in fees if we are not able to redirect inventory to other demand sources. Loss of important unique inventory could reduce fees from demand that cannot be shifted to other sellers and make it harder to differentiate ourselves from our competitors. The number of large media buyers and sellers in the market is finite, and it could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 difficult for us to replace the losses from any buyers or sellers whose relationships with us diminish or terminate. Additionally, if we overestimate future usage, we may incur additional expenses in adding infrastructure without a commensurate increase in revenue, which would harm our profitability and other operating results.</w:t>
      </w:r>
    </w:p>
    <w:p>
      <w:pPr>
        <w:spacing w:after="0" w:line="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Because of these factors, we seek to expand and diversify our client relationships. In particular, as part of our strategy to increase the volume of advertising inventory on our exchange, we are continuing relationships with aggregators of inventory and with large sources of supply that have their own monetization capabilities but also allow third parties to connect to their exchanges and bid on their inventory. These relationships represent additional risks in terms of inventory quality, transaction discrepancies, and collections, and may be less profitable because we may be required to compensate these partners or share the fees available for intermediaries in these transactions, and may incur higher serving costs relative to revenue.</w:t>
      </w:r>
    </w:p>
    <w:p>
      <w:pPr>
        <w:spacing w:after="0" w:line="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3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the availability and use of more data to inform buying and selling decisions necessitates that we, as an intermediary, use data in a manner that complies with the expectations of both our seller and buyer clients. Furthermore, because new business models continue to emerge, we must constantly adapt our relationship with buyers and sellers and how we market ourselves to each. Consistent with our goal of connecting buyers and sellers, we seek to grow our connections to each, and we must take care that our deeper connections with buyers, on the one hand, or sellers, on the other hand, do not come at the expense of the other's interests. In addition, as our own capabilities evolve, we may be perceived by clients, particularly buyers, as competing with them. If we fail to balance our clients' interests appropriately, our ability to provide a full suite of services and our growth prospects may be compromised.</w:t>
      </w:r>
    </w:p>
    <w:p>
      <w:pPr>
        <w:spacing w:after="0" w:line="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technological intermediaries such as DSPs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5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 may control billing and collection for transactions we win through their platforms. Further, growth and increased competitive pressure in the digital advertising industry is causing advertisers and buyers to become more demanding, resulting in overall increased focus by all industry participants on pricing, transparency, and cash and collection cycles.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efforts with buyers and sellers may require significant time and expense and may not yield the results we seek.</w:t>
      </w:r>
    </w:p>
    <w:p>
      <w:pPr>
        <w:spacing w:after="0" w:line="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Attracting new buyers and sellers and increasing our business with existing buyers and sellers involves substantial time and expense, and we may not be successful in our efforts. We may spend substantial time and effort educating buyers and sellers about our offerings, including providing demonstrations and comparisons against other available solutions. This process can be costly and time-consuming, and is complicated by us having to spend time integrating our solution with software of buyers and sellers. Because our solution may be less familiar in some markets outside the United States, the time and expense involved with attracting, educating and integrating buyers and sellers in international markets may be even greater than in the United States.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6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Large indemnity obligations, or obligations to third parties not adequately covered by the indemnity obligations of our contract counterparties, could expose us to significant costs.</w:t>
      </w:r>
    </w:p>
    <w:p>
      <w:pPr>
        <w:spacing w:after="0" w:line="5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5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the operation of our solution could damage our reputation and impair our sales.</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further integrate Telaria's technologies with our own.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Such errors or failures could also result in negative publicity, disclosure of confidential information, damage to our reputation, loss of or delay in market acceptance of our solution, increased costs or loss of revenue, loss of competitive position, or claims by advertisers for losses sustained by them. 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risks could interrupt access to our network infrastructure or data, exposing us to significant costs and other liabilities.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We rely on multiple bandwidth providers, multiple internet service providers, as well as content delivery network, or CDN providers, and domain name systems, or DNS providers, and mobile networks to deliver video ads. In addition, our systems interact with systems of buyers and sellers and their contractors. Any damage to, or failure of, these systems could result in interruptions to the availability or functionality of our service. Moreover, the failure of our data center hosting facilities or any other third-party providers to meet our capacity requirements could result in interruptions in the availability or functionality of our solutions or impede our ability to scale our operations.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Further, because our Los Angeles headquarters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 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5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breach of our computer systems or confidential data in our possession could expose us to significant expense and liabilities and harm our reputation.</w:t>
      </w:r>
    </w:p>
    <w:p>
      <w:pPr>
        <w:spacing w:after="0" w:line="3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have access to our confidential and proprietary information. There is no guarantee that inadvertent or unauthorized use or disclosure will not occur or that third parties will not gain unauthorized access to this data despite our efforts to protect this data. Though we undertake robust security measures,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If personally identifiable information is compromised, we may be required to undertake notification and remediation procedures, provide indemnity, and undergo regulatory investigations and penalties, all of which can be extremely costly and result in adverse publicity.</w:t>
      </w:r>
    </w:p>
    <w:p>
      <w:pPr>
        <w:spacing w:after="0" w:line="66"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4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and third party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the brand security features of our solution could harm our reputation and expose us to liabilities.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evolving concept of viewability involves competitive uncertainty and may cause us to incur additional costs and liability risk.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Viewability of digital advertising inventory is relevant to marketers because it represents a way of assessing the value of particular inventory as a means to reach a target audience. However, there is no consensus definition of viewability. Some approaches focus on whether an advertisement can be seen at all, and others focus on whether an advertisement that can be seen is actually seen, in whole or part, or for how long. Low viewability can be caused by various factors, including technical issues (e.g. device screen size, browser functionality and settings, web site load times), media design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below-the-fold or sub-page placements), and user behavior (e.g. the decision whether to scroll down a website or click on an advertisement or how long to watch a video). Non-viewability is a separate issue and may result, for example, from stacking ads so the one in the back is obscured, or serving ads into a single pixel space too small to be seen.</w:t>
      </w:r>
    </w:p>
    <w:p>
      <w:pPr>
        <w:spacing w:after="0" w:line="5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If we do not handle viewability well, we could be competitively disadvantaged. In addition, inventory that is well differentiated on the basis of viewability will be differentiated on the basis of value, with less viewable inventory valued lower. In this context, if we are not positioned to transact the higher viewability inventory competitively, our revenue and profitability could be adversely affected.</w:t>
      </w:r>
    </w:p>
    <w:p>
      <w:pPr>
        <w:spacing w:after="0" w:line="5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As we have experienced in the past, buyers could attempt to hold us responsible, and not to pay us, for impressions that do not satisfy their viewability requirements or expectations, and depending upon how viewability evolves, market practice or emerging regulation may require us to incur compliance costs and assume some responsibility for viewability of advertisements transacted through our solution. Divergent views of how to measure viewability and imperfect measurement technology could lead to disagreement, increasing risk of disputes, demands for refunds, and reputational harm.</w:t>
      </w:r>
    </w:p>
    <w:p>
      <w:pPr>
        <w:spacing w:after="0" w:line="5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2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a technology-driven company and it is imperative that we have highly skilled computer scientists, data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Appropriately qualified personnel can be difficult to recruit and retain.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w:t>
      </w:r>
    </w:p>
    <w:p>
      <w:pPr>
        <w:spacing w:after="0" w:line="6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significantly upon our ability to recruit, train, motivate, and retain key technology, engineering, sales, and management personnel, and competition for employees with experience in our industry can be intense, particularly in California, New York, London and Sydney,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spacing w:after="0" w:line="6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with Telaria the Company entered into certain retention compensation packages. As such agreements expire, it may be more difficult to retain such individuals or we may need to enter into new retention arrangements.</w:t>
      </w:r>
    </w:p>
    <w:p>
      <w:pPr>
        <w:spacing w:after="0" w:line="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spacing w:after="0" w:line="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3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It may be possible for unauthorized third parties to copy or reverse engineer aspects of our technology or otherwise obtain and use information that we regard as proprietary, or to develop technologies similar or superior to our technology or design around our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proprietary rights, despite the steps we have taken to protect our proprietary rights. 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4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3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or we may decide to settle lawsuits and disputes on terms that are unfavorable to us. We may also have no way of remediating intellectual property violations, and failure to do so could cause our business, results of operations or financial condition to be materially and adversely affected.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Business Strategy.</w:t>
      </w:r>
    </w:p>
    <w:p>
      <w:pPr>
        <w:spacing w:after="0" w:line="10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3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operations outside of North America, in the UK, EU, Australia, New Zealand, Japan, Singapore,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5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7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 multiple countries requires us to comply with different legal and regulatory requirements.</w:t>
      </w:r>
    </w:p>
    <w:p>
      <w:pPr>
        <w:spacing w:after="0" w:line="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spacing w:after="0" w:line="5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 In addition, we have recently received numerous inquiries from foreign regulators asking for information about the advertising technology generally and our business specifically. These investigations are costly and time consuming to respond to and divert management attention.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Internal Controls and Finances</w:t>
      </w:r>
    </w:p>
    <w:p>
      <w:pPr>
        <w:spacing w:after="0" w:line="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or timely report our financial condition or results of operations. If our internal control over financial reporting is not effective, it may adversely affect investor confidence in us and the price of our common stock.</w:t>
      </w:r>
    </w:p>
    <w:p>
      <w:pPr>
        <w:spacing w:after="0" w:line="53" w:lineRule="exact"/>
        <w:rPr>
          <w:sz w:val="20"/>
          <w:szCs w:val="20"/>
          <w:color w:val="auto"/>
        </w:rPr>
      </w:pPr>
    </w:p>
    <w:p>
      <w:pPr>
        <w:jc w:val="both"/>
        <w:ind w:right="300" w:firstLine="504"/>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 over financial reporting.</w:t>
      </w:r>
    </w:p>
    <w:p>
      <w:pPr>
        <w:spacing w:after="0" w:line="54" w:lineRule="exact"/>
        <w:rPr>
          <w:sz w:val="20"/>
          <w:szCs w:val="20"/>
          <w:color w:val="auto"/>
        </w:rPr>
      </w:pPr>
    </w:p>
    <w:p>
      <w:pPr>
        <w:ind w:right="60" w:firstLine="504"/>
        <w:spacing w:after="0" w:line="255" w:lineRule="auto"/>
        <w:rPr>
          <w:sz w:val="20"/>
          <w:szCs w:val="20"/>
          <w:color w:val="auto"/>
        </w:rPr>
      </w:pPr>
      <w:r>
        <w:rPr>
          <w:rFonts w:ascii="Times New Roman" w:cs="Times New Roman" w:eastAsia="Times New Roman" w:hAnsi="Times New Roman"/>
          <w:sz w:val="18"/>
          <w:szCs w:val="18"/>
          <w:color w:val="auto"/>
        </w:rPr>
        <w:t>Our platform system applications are complex, multi-faceted and include applications that are highly customized in order to serve and support our clients, advertising inventory and data suppliers, as well as support our financial reporting obligations. We regularly make improvements to our platform to maintain and enhance our competitive position. In the future, we may implement new offerings and engage in business transactions, such as acquisitions, reorganizations or implementation of new information systems. These factors require us to develop and maintain our internal controls, processes and reporting systems, and we expect to incur ongoing costs in this effort. We may not be successful in developing and maintaining effective internal controls, and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54" w:lineRule="exact"/>
        <w:rPr>
          <w:sz w:val="20"/>
          <w:szCs w:val="20"/>
          <w:color w:val="auto"/>
        </w:rPr>
      </w:pPr>
    </w:p>
    <w:p>
      <w:pPr>
        <w:ind w:right="20" w:firstLine="504"/>
        <w:spacing w:after="0" w:line="255" w:lineRule="auto"/>
        <w:rPr>
          <w:sz w:val="20"/>
          <w:szCs w:val="20"/>
          <w:color w:val="auto"/>
        </w:rPr>
      </w:pPr>
      <w:r>
        <w:rPr>
          <w:rFonts w:ascii="Times New Roman" w:cs="Times New Roman" w:eastAsia="Times New Roman" w:hAnsi="Times New Roman"/>
          <w:sz w:val="18"/>
          <w:szCs w:val="18"/>
          <w:color w:val="auto"/>
        </w:rPr>
        <w:t>If we identify material weaknesses in our internal control over financial reporting, we will be unable to assert that our internal control over financial reporting is effective. If we are unable to assert that our internal control over financial reporting is effective, if our independent registered public accounting firm is unable to express an opinion as to the effectiveness of our internal control over financial reporting, or if we are unable to comply with the requirements of the Sarbanes-Oxley Act in a timely manner, then, we may be late with the filing of our periodic reports, investors may lose confidence in the accuracy and completeness of our financial reports and the market price of our common stock could be negatively affected. Such failures could also subject us to investigations by Nasdaq, the stock exchange on which our securities are listed, the SEC or other regulatory authorities, and to litigation from stockholders, which could harm our reputation, financial condition or divert financial and management resources from our core business.</w:t>
      </w:r>
    </w:p>
    <w:p>
      <w:pPr>
        <w:spacing w:after="0" w:line="6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fully utilize our net operating loss and tax credit carryforwards to offset future taxable income may be limited.</w:t>
      </w:r>
    </w:p>
    <w:p>
      <w:pPr>
        <w:spacing w:after="0" w:line="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December 31, 2020, we had U.S. federal net operating loss carryforwards, or NOLs, of approximately $453.2 million, state NOLs of approximately $280.0 million, foreign NOLs of approximately $25.0 million, and state research and development tax credit carryforwards of approximately $8.0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2016 subjecting the federal and state NOLs to annual limitations that have expired. Additionally, the Company had an ownership change in January 2008 resulting in not material limitation of federal and state NOLs under Section 382 of the Code and comparable state income tax laws. Moreover, not material federal and state NOLs were generated during the pre-acquisition period by corporations that we acquired, and thus those NOLs already are subject to limitation under Section 382 of the Code and comparable state income tax laws. Also, prior to the merger, Telaria acquired corporations with pre-acquisition NOLs that are subject to limitation under Section 382 of the Code and comparable state income tax laws.</w:t>
      </w:r>
    </w:p>
    <w:p>
      <w:pPr>
        <w:spacing w:after="0" w:line="5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and Telaria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changes will not impact the ability to utilize substantially all of our NOLs and state research and development tax credits to the extent we generate taxable income that can be offset by such losses. The Company reasonably expects its federal research and development tax credits will not be recovered prior to expiration.</w:t>
      </w:r>
    </w:p>
    <w:p>
      <w:pPr>
        <w:spacing w:after="0" w:line="6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Also, depending on the timing and level of our taxable income, a portion of our NOLs may expire unutilized, which could prevent us from offsetting future taxable income we may generate by the amount of our NOLs and credit carryforwards generated in tax years beginning before December 31, 2018. U.S. federal NOLs generated for tax years beginning before December 31, 2018 can offset 100% of taxable income, however, these NOLs can only be carried forward for 20 years. U.S. federal NOLs generated for tax years beginning after December 31, 2018 can offset 80% of taxable income, however, these NOLs can be carried forward indefinitely. We have recorded a full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 and the impact of Section 382.</w:t>
      </w:r>
    </w:p>
    <w:p>
      <w:pPr>
        <w:spacing w:after="0" w:line="6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purchase price allocation for any acquisition we complete, including our merger with Telaria, is generally not finalized until one year after the closing of the acquisition, and any final adjustment to the valuation could have a material change on what is reported as the fair value assigned to the assets and liabilities.</w:t>
      </w:r>
    </w:p>
    <w:p>
      <w:pPr>
        <w:spacing w:after="0" w:line="40"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18"/>
          <w:szCs w:val="18"/>
          <w:color w:val="auto"/>
        </w:rPr>
        <w:t>The final purchase price allocation for any acquisition we complete, including our merger with Telaria that was completed on April 1, 2020, depends upon the finalization of asset and liability valuations, among other things. The valuation studies necessary to estimate the fair values of acquired assets and assumed liabilities and the related allocation of purchase price generally are not finalized until one year after the closing of the acquisition. Initially, we allocate the total estimated purchase price to the acquired assets and assumed liabilities based on preliminary estimates of their fair values. The final determination of these fair values is subsequently determined based upon the actual net tangible and intangible assets that existed on the closing date of the acquisition. Any final adjustment could change the fair values assigned to the assets and liabilities, resulting in a change to our consolidated financial statements, including a change to goodwill. Such change could be material.</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such capital might not be available on terms acceptable to us, if at all. Inability to obtain financing could limit our ability to conduct necessary operating activities and make strategic investments.</w:t>
      </w:r>
    </w:p>
    <w:p>
      <w:pPr>
        <w:spacing w:after="0" w:line="3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4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our ability to continue to support our business growth and respond to business challenges could be significantly impaired, and our business may be adversely affected.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intend to finance the cash portion of the SpotX acquisition consideration in part through the Term Loan Facility contemplated by the Commitment Letter. If we fail to satisfy the closing conditions set forth in the Commitment Letter or Goldman Sachs Bank USA is unable to perform its obligations under the Commitment Letter for any reason, we will be required to find other sources of capital to fund the acquisition of SpotX, which would exacerbate the risks described above.</w:t>
      </w:r>
    </w:p>
    <w:p>
      <w:pPr>
        <w:spacing w:after="0" w:line="5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subjects us to operating restrictions and financial covenants that impose risk of default and may restrict our business and financing activities.</w:t>
      </w:r>
    </w:p>
    <w:p>
      <w:pPr>
        <w:spacing w:after="0" w:line="3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a $60.0 million credit facility with Silicon Valley Bank. Borrowings are secured by substantially all of our tangible personal property assets and all of our intangible assets are subject to a negative pledge in favor of Silicon Valley Bank. This credit facility is subject to certain covenants and borrowing conditions, including those related to financial ratios and liquidity. If we fail to perform in accordance with covenants or to satisfy conditions, we may not be able to make borrowings under the facility. The credit facility is, and any replacement credit facility that we may secure will be, also subject to restrictions that limit our ability, among other things, to:</w:t>
      </w:r>
    </w:p>
    <w:p>
      <w:pPr>
        <w:spacing w:after="0" w:line="4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our assets;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in our business or management;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consolidate or merge with other entities;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off or redeem subordinated indebtedness.</w:t>
      </w:r>
    </w:p>
    <w:p>
      <w:pPr>
        <w:spacing w:after="0" w:line="9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loan and security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ability to renew our existing credit facility, which matures in September 2022,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if credit is available, lenders may seek more restrictive covenants and higher interest rates that may reduce our borrowing capacity, increase our costs, and reduce our operating flexibility.</w:t>
      </w:r>
    </w:p>
    <w:p>
      <w:pPr>
        <w:spacing w:after="0" w:line="62" w:lineRule="exact"/>
        <w:rPr>
          <w:sz w:val="20"/>
          <w:szCs w:val="20"/>
          <w:color w:val="auto"/>
        </w:rPr>
      </w:pPr>
    </w:p>
    <w:p>
      <w:pPr>
        <w:ind w:right="300" w:firstLine="648"/>
        <w:spacing w:after="0" w:line="289" w:lineRule="auto"/>
        <w:rPr>
          <w:sz w:val="20"/>
          <w:szCs w:val="20"/>
          <w:color w:val="auto"/>
        </w:rPr>
      </w:pPr>
      <w:r>
        <w:rPr>
          <w:rFonts w:ascii="Times New Roman" w:cs="Times New Roman" w:eastAsia="Times New Roman" w:hAnsi="Times New Roman"/>
          <w:sz w:val="17"/>
          <w:szCs w:val="17"/>
          <w:color w:val="auto"/>
        </w:rPr>
        <w:t>If we make borrowings under the facility and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the value of an investment in our common stock could decline.</w:t>
      </w:r>
    </w:p>
    <w:p>
      <w:pPr>
        <w:spacing w:after="0" w:line="1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760" w:hanging="328"/>
        <w:spacing w:after="0" w:line="27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36" w:lineRule="exact"/>
        <w:rPr>
          <w:rFonts w:ascii="Times New Roman" w:cs="Times New Roman" w:eastAsia="Times New Roman" w:hAnsi="Times New Roman"/>
          <w:sz w:val="18"/>
          <w:szCs w:val="18"/>
          <w:color w:val="auto"/>
        </w:rPr>
      </w:pPr>
    </w:p>
    <w:p>
      <w:pPr>
        <w:ind w:left="660" w:right="540" w:hanging="328"/>
        <w:spacing w:after="0" w:line="27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technology companies in general and of companies in the digital advertising industry in particular;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expectations of investors or securities analysts, and whether our results of operations meet these expectations;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research reports by analysts or investors;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system outages;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officers or other key employees;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impact on the company resulting from other causes, including any of the other risks described in this report.</w:t>
      </w:r>
    </w:p>
    <w:p>
      <w:pPr>
        <w:spacing w:after="0" w:line="10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if the market for advertising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Declines in the price of our common stock, even following increases, may result in securities litigation against us, which would result in substantial costs and divert our management's attention and resources from our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investors could adversely affect the price of our stock.</w:t>
      </w:r>
    </w:p>
    <w:p>
      <w:pPr>
        <w:spacing w:after="0" w:line="9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There are many companies in the advertising technology or "ad tech" space, but we are one of a relatively small portion of those companies that is publicly traded. Some of the other publicly traded ad tech companies are substantially larger than we are and have more diversified offerings, or may be perceived by investors as having greater stability or growth potential. Others may be focused on parts of the business that investors may view as more appealing. Ad tech or related advertising companies that are not yet public may become public, and publicly traded companies may enter the ad tech business through acquisitions. Increase in the number of publicly traded companies available to investors wishing to invest in ad tech may result in a decrease in demand for our shares, either because overall demand for ad tech investment does not increase commensurately with the increase in public companies in the ad tech space, or because we are not perceived as competitively differentiated or offering superior value compared to other such companies. Decrease in demand for our shares would result in suppressed growth, or decrease, in the value of our stock.</w:t>
      </w:r>
    </w:p>
    <w:p>
      <w:pPr>
        <w:spacing w:after="0" w:line="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if they publish negative evaluations of our stock, or if we fail to meet the expectations of analysts, the price of our stock and trading volume could decline.</w:t>
      </w:r>
    </w:p>
    <w:p>
      <w:pPr>
        <w:spacing w:after="0" w:line="2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We do not have any control over these analysts, and their reports or analysts' consensus may not reflect our guidance, plans or expectations. If one or more of the analysts covering our business issues an adverse opinion of our company because we fail to meet their expectations or otherwise, the price of our stock could decline. If one or more of these analysts cease to cover our stock, we could lose visibility in the market for our stock, which in turn could cause our stock price to decline.</w:t>
      </w:r>
    </w:p>
    <w:p>
      <w:pPr>
        <w:spacing w:after="0" w:line="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3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41" w:lineRule="exact"/>
        <w:rPr>
          <w:sz w:val="20"/>
          <w:szCs w:val="20"/>
          <w:color w:val="auto"/>
        </w:rPr>
      </w:pPr>
    </w:p>
    <w:p>
      <w:pPr>
        <w:ind w:left="660" w:right="1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ind w:left="660" w:hanging="328"/>
        <w:spacing w:after="0" w:line="24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certificate of incorporation provides that our board of directors is classified, with only one of its three classes elected each year, and directors may be removed only for cause and only with the vote of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spacing w:after="0" w:line="10" w:lineRule="exact"/>
        <w:rPr>
          <w:rFonts w:ascii="Times New Roman" w:cs="Times New Roman" w:eastAsia="Times New Roman" w:hAnsi="Times New Roman"/>
          <w:sz w:val="18"/>
          <w:szCs w:val="18"/>
          <w:color w:val="auto"/>
        </w:rPr>
      </w:pPr>
    </w:p>
    <w:p>
      <w:pPr>
        <w:ind w:left="660" w:right="56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provide that until April 1, 2022, our board of directors shall be composed of four legacy Rubicon Project directors, four Telaria directors, and the Chief Executive Officer of the Company.</w:t>
      </w:r>
    </w:p>
    <w:p>
      <w:pPr>
        <w:spacing w:after="0" w:line="1"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spacing w:after="0" w:line="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stockholder action by written consent, so any action by stockholders may only be taken at an annual or special meeting.</w:t>
      </w:r>
    </w:p>
    <w:p>
      <w:pPr>
        <w:ind w:left="660" w:right="10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spacing w:after="0" w:line="1" w:lineRule="exact"/>
        <w:rPr>
          <w:rFonts w:ascii="Times New Roman" w:cs="Times New Roman" w:eastAsia="Times New Roman" w:hAnsi="Times New Roman"/>
          <w:sz w:val="18"/>
          <w:szCs w:val="18"/>
          <w:color w:val="auto"/>
        </w:rPr>
      </w:pPr>
    </w:p>
    <w:p>
      <w:pPr>
        <w:ind w:left="660" w:right="80" w:hanging="328"/>
        <w:spacing w:after="0" w:line="26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2" w:lineRule="exact"/>
        <w:rPr>
          <w:rFonts w:ascii="Times New Roman" w:cs="Times New Roman" w:eastAsia="Times New Roman" w:hAnsi="Times New Roman"/>
          <w:sz w:val="18"/>
          <w:szCs w:val="18"/>
          <w:color w:val="auto"/>
        </w:rPr>
      </w:pPr>
    </w:p>
    <w:p>
      <w:pPr>
        <w:ind w:left="660" w:right="100" w:hanging="328"/>
        <w:spacing w:after="0" w:line="24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our certificate of incorporation noted above may be amended only with the affirmative vote of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4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Los Angeles, California, where we occupy office space totaling approximately 47,000 square feet under a lease that expires on April 30, 2021. We use these facilities for our principal administration, sales and marketing, technology and development, and engineering activities.</w:t>
      </w:r>
    </w:p>
    <w:p>
      <w:pPr>
        <w:spacing w:after="0" w:line="5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November 20, 2020, we signed a new lease for our corporate headquarters in Los Angeles, California, where we will occupy office space totaling 38,754 square feet. Our lease begins in May 2021 and expires in April 2031.</w:t>
      </w:r>
    </w:p>
    <w:p>
      <w:pPr>
        <w:spacing w:after="0" w:line="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have two offices in New York under leases that expire in 2029 and 2030 that are approximately 26,664 square feet and 15,000 square feet, respectively, and lease additional offices and maintain data centers in other locations in North America,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South America, Europe, Australia, and Asia. We believe that our current facilities are adequate to meet our current needs, and that, if we require additional space, we will be able to obtain additional facilities on commercially reasonable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2020. However, based on our knowledge as of December 31, 2020, we believe that the final resolution of such matters pending at the time of this report, individually and in the aggregate, will not have a material adverse effect upon our consolidated financial position, results of operations or cash flows.</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17—"Commitments and Contingencies" for additional information related to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was listed on the New York Stock Exchange, or the NYSE, from April 1, 2014 through June 8, 2020, under the symbol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"RUBI."</w:t>
      </w:r>
    </w:p>
    <w:p>
      <w:pPr>
        <w:spacing w:after="0" w:line="7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June 8, 2020, the Company voluntarily delisted its common stock from the NYSE and commenced listing on The Nasdaq Global Select Market of The Nasdaq Stock Market LLC ("Nasdaq"). On June 30, 2020, the Company changed its name from "The Rubicon Project, Inc." to "Magnite, Inc." In connection with the name change, the Company changed its ticker symbol from "RUBI" to "MGNI."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08" w:lineRule="exact"/>
        <w:rPr>
          <w:sz w:val="20"/>
          <w:szCs w:val="20"/>
          <w:color w:val="auto"/>
        </w:rPr>
      </w:pPr>
    </w:p>
    <w:p>
      <w:pPr>
        <w:jc w:val="both"/>
        <w:ind w:right="300" w:firstLine="170"/>
        <w:spacing w:after="0" w:line="266" w:lineRule="auto"/>
        <w:rPr>
          <w:sz w:val="20"/>
          <w:szCs w:val="20"/>
          <w:color w:val="auto"/>
        </w:rPr>
      </w:pPr>
      <w:r>
        <w:rPr>
          <w:rFonts w:ascii="Times New Roman" w:cs="Times New Roman" w:eastAsia="Times New Roman" w:hAnsi="Times New Roman"/>
          <w:sz w:val="18"/>
          <w:szCs w:val="18"/>
          <w:color w:val="auto"/>
        </w:rPr>
        <w:t>As of February 19, 2021, there were approximately 62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08" w:lineRule="exact"/>
        <w:rPr>
          <w:sz w:val="20"/>
          <w:szCs w:val="20"/>
          <w:color w:val="auto"/>
        </w:rPr>
      </w:pPr>
    </w:p>
    <w:p>
      <w:pPr>
        <w:ind w:right="540" w:firstLine="177"/>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and we do not anticipate paying any cash dividends in the foreseeable future. In addition, our credit facility contains restrictions on our ability to pay dividends.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presently have no publicly announced repurchase plan or program.</w:t>
      </w:r>
    </w:p>
    <w:p>
      <w:pPr>
        <w:spacing w:after="0" w:line="90"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There were no repurchases during the quarter ended December 31, 2020.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4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an initial investment of $100 in our common stock between December 31, 2015 and December 31, 2020, with the comparative cumulative total returns of the S&amp;P 500 Index, Nasdaq,Internet Index, S&amp;P Internet Select Industry Index and Russell 2000 Index over the same period. As previously discussed, we have not paid any cash dividends and, therefore, the cumulative total return calculation for us is based solely upon stock price appreciation (depreciation) and not reinvestment of cash dividends, whereas the data for the comparative indexes assumes reinvestments of dividends. The graph assumes our closing sales price on December 31, 2015 of $16.45 per share as the initial value of our common stock. The returns shown are based on historical results and are not necessarily indicative of, nor intended to forecast,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69330" cy="383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Item 7 "Management's Discussion and Analysis of Financial Condition and Results of Operations" and our consolidated financial statements and the related notes appearing in Item 8 "Financial Statements and Supplementary Data" of this Annual Report on Form 10-K.</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selected consolidated historical financial and operating data for the periods indicated. The consolidated statements of operations data for the years ended December 31, 2020, 2019, and 2018 and the consolidated balance sheet data as of December 31, 2020 and 2019 have been derived from our audited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8"/>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278,221</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73,247</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83,328</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275,862</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312,521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303,118</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stockholders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to compute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stockholders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240" w:hanging="329"/>
        <w:spacing w:after="0" w:line="229" w:lineRule="auto"/>
        <w:tabs>
          <w:tab w:leader="none" w:pos="56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3 to our consolidated financial statements for a description of the method used to compute basic and diluted net income (loss) per share attributable to common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8"/>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149,423</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 and non-current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192,064</w:t>
            </w: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equipment and internal use software development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39,841</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39,720</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48,057</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60,127</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52,768</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519,775</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220,262</w:t>
            </w: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 equity (deficit)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60" w:firstLine="1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Trends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"Item 1. Business" for an overview of our business, the industry in which we operate, and important industry and business trends.</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Channel Trends</w:t>
      </w:r>
    </w:p>
    <w:p>
      <w:pPr>
        <w:spacing w:after="0" w:line="10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Sellers use our technology to monetize their content across all digital channels, including CTV, mobile and desktop, and each of these channels will continue to represent a meaningful portion of our revenue in future periods. We track the breakdown of revenue across channels to better understand how our clients are transacting on our platform, which informs decisions as to business strategy and the allocation of resources and capital. The following table presents revenue by channel and as a percentage of total revenue for the years ended December 31, 2020, 2019, and 2018.</w:t>
      </w:r>
    </w:p>
    <w:p>
      <w:pPr>
        <w:spacing w:after="0" w:line="81"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wp:posOffset>
            </wp:positionV>
            <wp:extent cx="5323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16"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wp:posOffset>
            </wp:positionV>
            <wp:extent cx="5323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16" w:lineRule="exact"/>
        <w:rPr>
          <w:sz w:val="20"/>
          <w:szCs w:val="20"/>
          <w:color w:val="auto"/>
        </w:rPr>
      </w:pPr>
    </w:p>
    <w:p>
      <w:pPr>
        <w:ind w:left="4240" w:right="740" w:hanging="831"/>
        <w:spacing w:after="0" w:line="279" w:lineRule="auto"/>
        <w:rPr>
          <w:sz w:val="20"/>
          <w:szCs w:val="20"/>
          <w:color w:val="auto"/>
        </w:rPr>
      </w:pPr>
      <w:r>
        <w:rPr>
          <w:rFonts w:ascii="Times New Roman" w:cs="Times New Roman" w:eastAsia="Times New Roman" w:hAnsi="Times New Roman"/>
          <w:sz w:val="18"/>
          <w:szCs w:val="18"/>
          <w:b w:val="1"/>
          <w:bCs w:val="1"/>
          <w:color w:val="auto"/>
        </w:rPr>
        <w:t>December 31, 2020</w:t>
      </w:r>
      <w:r>
        <w:rPr>
          <w:sz w:val="20"/>
          <w:szCs w:val="20"/>
          <w:color w:val="auto"/>
        </w:rPr>
        <w:t xml:space="preserve"> </w:t>
      </w:r>
      <w:r>
        <w:rPr>
          <w:rFonts w:ascii="Times New Roman" w:cs="Times New Roman" w:eastAsia="Times New Roman" w:hAnsi="Times New Roman"/>
          <w:sz w:val="18"/>
          <w:szCs w:val="18"/>
          <w:b w:val="1"/>
          <w:bCs w:val="1"/>
          <w:color w:val="auto"/>
        </w:rPr>
        <w:t>December 31, 2019 December 31, 2018 (in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-635</wp:posOffset>
            </wp:positionV>
            <wp:extent cx="53232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23205"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r>
      <w:tr>
        <w:trPr>
          <w:trHeight w:val="230"/>
        </w:trPr>
        <w:tc>
          <w:tcPr>
            <w:tcW w:w="2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right="180" w:firstLine="180"/>
        <w:spacing w:after="0" w:line="266" w:lineRule="auto"/>
        <w:rPr>
          <w:sz w:val="20"/>
          <w:szCs w:val="20"/>
          <w:color w:val="auto"/>
        </w:rPr>
      </w:pPr>
      <w:r>
        <w:rPr>
          <w:rFonts w:ascii="Times New Roman" w:cs="Times New Roman" w:eastAsia="Times New Roman" w:hAnsi="Times New Roman"/>
          <w:sz w:val="18"/>
          <w:szCs w:val="18"/>
          <w:color w:val="auto"/>
        </w:rPr>
        <w:t>Each of these digital channels has its own industry growth rate, with CTV and mobile projected to continue to grow steadily, while desktop growth flattens. MAGNA's October 2020 Programmatic Market forecast has estimated compound annual growth rates from 2020 to 2024 for mobile and desktop at 18% and down 1%, respectively, and over the same period, eMarketer projected CTV to grow at a 23% compound annual growth rate.</w:t>
      </w:r>
    </w:p>
    <w:p>
      <w:pPr>
        <w:spacing w:after="0" w:line="54"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believe that CTV will be our biggest growth driver in future periods, and following the SpotX Acquisition we expect CTV revenue to represent a significantly higher percentage of our overall revenue.</w:t>
      </w:r>
    </w:p>
    <w:p>
      <w:pPr>
        <w:spacing w:after="0" w:line="4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We expect our mobile business to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has been the growth driver behind our mobile business, and prior to the COVID-19 pandemic showed growth rates in excess of industry projections. We therefore expect our growth within mobile to come largely from our mobile applications business and, in particular, mobile video.</w:t>
      </w:r>
    </w:p>
    <w:p>
      <w:pPr>
        <w:spacing w:after="0" w:line="4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Lower industry growth rates in desktop will make growing desktop revenue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in the near term. Therefore, the mix of our desktop business will continue to have a negative effect on our overall growth rate.</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Telaria Merger</w:t>
      </w:r>
    </w:p>
    <w:p>
      <w:pPr>
        <w:spacing w:after="0" w:line="10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April 1, 2020, we completed the stock-for-stock merger with Telaria, Inc., a leading provider of CTV technology, which created a combined company offering a single partner for transacting CTV, desktop display, video, audio, and mobile inventory across all geographies and auction types. The combination of Magnite's programmatic scale and expertise with Telaria’s leadership in CTV technology and premium partnerships created what we believe to be the world’s largest independent sell-side advertising platform, with scale, capabilities, and solutions exceeding those offered by competitors. As CTV viewership is growing rapidly and the pace of adoption is accelerating the shift of advertising budgets from linear television to CTV, the Telaria merger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strategically positioned us to take advantage of this growth trend, and we believe that CTV will be our biggest growth driver in future periods.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Telaria Merger Costs Synergies and Other Expense Reduction Initiatives</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Merger, we restructured certain areas of our operations during 2020. As part of those efforts, we achieved annual run rate cost synergies of over $20.0 million, mainly related to duplicative public company costs, vendor rationalization, overlapping general and administrative costs, and other operational streamlining. Employees of the merged company were functionally aligned under a unified leadership team and we reduced our headcount by approximately 8% of our combined workforce during 2020.</w:t>
      </w:r>
    </w:p>
    <w:p>
      <w:pPr>
        <w:spacing w:after="0" w:line="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significant impact resulting from the COVID-19 pandemic, we instituted certain additional short-term actions during the second quarter, including compensation reductions, a hiring freeze, and deferment of certain capital expenditures. When we experienced a recovery in revenue in the third quarter, we reinstated compensation and removed certain of these temporary cost-cutting initiatives during the fourth quarter.</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SpotX Acquisition</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4, 2021, we entered into a Stock Purchase Agreement (the "SpotX Purchase Agreement") with RTL to acquire 100% of the issued and outstanding shares of capital stock of SpotX, Inc., a Delaware corporation ("SpotX"), for a purchase price equal to $560 million in cash plus 14 million shares of the Company’s common stock (the "SpotX Acquisition"). SpotX is one of the leading platforms shaping CTV and video advertising globally. We believe the acquisition will create the largest independent CTV advertising platform in the programmatic marketplace, making it easier for buyers to reach CTV audiences at scale from industry-leading streaming content providers, broadcasters, platforms and device manufacturers. Subject to receipt of regulatory approvals and satisfaction of customary closing conditions, the SpotX Acquisition is expected to close in the second quarter of 2021. The SpotX Acquisition will result in a significant increase in our revenue, in particular in CTV and other video. Following the transaction, we expect CTV to represent a higher percentage of our overall revenue, and because CTV is largely transacted through PMPs, we also expect to see an increase in the percentage of PMP transactions transacted on our platform. If the SpotX Acquisition successfully closes, the acquisition would result in a substantial increase in related operating expenses, primarily associated with costs for personnel, payments to sellers for revenue reported on a gross basis, and other ancillary costs to support the business. We expect some of those increases to be offset by cost saving activities we plan to undertake. We are targeting in excess of $35 million in run-rate operating cost synergies, with more than half of the synergies to be realized within the first year of combined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8" w:lineRule="exact"/>
        <w:rPr>
          <w:sz w:val="20"/>
          <w:szCs w:val="20"/>
          <w:color w:val="auto"/>
        </w:rPr>
      </w:pPr>
    </w:p>
    <w:p>
      <w:pPr>
        <w:ind w:right="120" w:firstLine="177"/>
        <w:spacing w:after="0" w:line="266" w:lineRule="auto"/>
        <w:rPr>
          <w:sz w:val="20"/>
          <w:szCs w:val="20"/>
          <w:color w:val="auto"/>
        </w:rPr>
      </w:pPr>
      <w:r>
        <w:rPr>
          <w:rFonts w:ascii="Times New Roman" w:cs="Times New Roman" w:eastAsia="Times New Roman" w:hAnsi="Times New Roman"/>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100" w:firstLine="177"/>
        <w:spacing w:after="0" w:line="254" w:lineRule="auto"/>
        <w:rPr>
          <w:sz w:val="20"/>
          <w:szCs w:val="20"/>
          <w:color w:val="auto"/>
        </w:rPr>
      </w:pPr>
      <w:r>
        <w:rPr>
          <w:rFonts w:ascii="Times New Roman" w:cs="Times New Roman" w:eastAsia="Times New Roman" w:hAnsi="Times New Roman"/>
          <w:sz w:val="18"/>
          <w:szCs w:val="18"/>
          <w:color w:val="auto"/>
        </w:rPr>
        <w:t>We generate revenue from the purchase and sale of digital advertising inventory through our platform. We also generate revenue from the fee we charge clients for use of our Demand Manager product, which generally is a percentage of the client's advertising spending on any advertising marketplace. We recognize revenue upon the fulfillment of our contractual obligations in connection with a completed transaction, subject to satisfying all other revenue recognition criteria. For substantially all transactions executed through our platform, we act as an agent on behalf of the publisher that is monetizing its inventory, and revenue is recognized net of any advertising inventory costs that we remit to sellers. With respect to certain revenue streams acquired in connection with the Merger with Telaria, we report revenue on a gross basis, based primarily on our determination that the Company acts as the primary obligor in the delivery of advertising campaigns for our buyer clients with respect to such transactions. The revenue that we recognized on a gross basis was less than 2% of total revenue in 2020. Our revenue recognition policies are discussed in more detail in Note 4 of the accompanying Notes to the Consolidated Financial Statements.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classify our expenses into the following categories:</w:t>
      </w:r>
    </w:p>
    <w:p>
      <w:pPr>
        <w:spacing w:after="0" w:line="88" w:lineRule="exact"/>
        <w:rPr>
          <w:sz w:val="20"/>
          <w:szCs w:val="20"/>
          <w:color w:val="auto"/>
        </w:rPr>
      </w:pPr>
    </w:p>
    <w:p>
      <w:pPr>
        <w:ind w:right="40" w:firstLine="180"/>
        <w:spacing w:after="0" w:line="256"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Our cost of revenue consists primarily of data center costs, bandwidth costs, ad protection costs, depreciation and maintenance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personnel costs, including salaries, bonuses,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48"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67"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consist primarily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62" w:lineRule="exact"/>
        <w:rPr>
          <w:sz w:val="20"/>
          <w:szCs w:val="20"/>
          <w:color w:val="auto"/>
        </w:rPr>
      </w:pPr>
    </w:p>
    <w:p>
      <w:pPr>
        <w:ind w:right="54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and Restructuring Costs. </w:t>
      </w:r>
      <w:r>
        <w:rPr>
          <w:rFonts w:ascii="Times New Roman" w:cs="Times New Roman" w:eastAsia="Times New Roman" w:hAnsi="Times New Roman"/>
          <w:sz w:val="18"/>
          <w:szCs w:val="18"/>
          <w:color w:val="auto"/>
        </w:rPr>
        <w:t>Our merger and restructuring costs consist primarily of professional service fees associated with the merger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activities, including cash-based employee termination costs, stock-based compensation charges associated with the Merger, and other restructuring activities, including facility closures, relocation costs, and contract termination costs.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6" w:lineRule="exact"/>
        <w:rPr>
          <w:sz w:val="20"/>
          <w:szCs w:val="20"/>
          <w:color w:val="auto"/>
        </w:rPr>
      </w:pPr>
    </w:p>
    <w:p>
      <w:pPr>
        <w:ind w:right="8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consists of interest earned on our cash equivalents and marketable securities. Interest expense is mainly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credit facility.</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consists primarily of rental income from commercial office space we hold under lease and have sublet to other tenants.</w:t>
      </w:r>
    </w:p>
    <w:p>
      <w:pPr>
        <w:spacing w:after="0" w:line="90" w:lineRule="exact"/>
        <w:rPr>
          <w:sz w:val="20"/>
          <w:szCs w:val="20"/>
          <w:color w:val="auto"/>
        </w:rPr>
      </w:pPr>
    </w:p>
    <w:p>
      <w:pPr>
        <w:ind w:right="6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Foreign Currency Exchange (Gain) Loss, Net</w:t>
      </w:r>
      <w:r>
        <w:rPr>
          <w:rFonts w:ascii="Times New Roman" w:cs="Times New Roman" w:eastAsia="Times New Roman" w:hAnsi="Times New Roman"/>
          <w:sz w:val="18"/>
          <w:szCs w:val="18"/>
          <w:color w:val="auto"/>
        </w:rPr>
        <w:t>. Foreign currency exchange (gain) loss, net consists primarily of gains and losses on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We have foreign currency exposure related to our accounts receivable and accounts payable that are denominated in currencies other than the U.S. Dollar, principally the British Pound, Australian Dollar, Canadian Dollar, and Euro.</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firstLine="177"/>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0"/>
        </w:trPr>
        <w:tc>
          <w:tcPr>
            <w:tcW w:w="80" w:type="dxa"/>
            <w:vAlign w:val="bottom"/>
          </w:tcPr>
          <w:p>
            <w:pPr>
              <w:spacing w:after="0"/>
              <w:rPr>
                <w:sz w:val="24"/>
                <w:szCs w:val="24"/>
                <w:color w:val="auto"/>
              </w:rPr>
            </w:pPr>
          </w:p>
        </w:tc>
        <w:tc>
          <w:tcPr>
            <w:tcW w:w="52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Favorable/(Unfavorable) %</w:t>
            </w:r>
          </w:p>
        </w:tc>
      </w:tr>
      <w:tr>
        <w:trPr>
          <w:trHeight w:val="453"/>
        </w:trPr>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Pr>
          <w:p>
            <w:pPr>
              <w:spacing w:after="0"/>
              <w:rPr>
                <w:sz w:val="24"/>
                <w:szCs w:val="24"/>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2020 vs 2019</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 vs 2018</w:t>
            </w:r>
          </w:p>
        </w:tc>
      </w:tr>
      <w:tr>
        <w:trPr>
          <w:trHeight w:val="223"/>
        </w:trPr>
        <w:tc>
          <w:tcPr>
            <w:tcW w:w="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0" w:type="dxa"/>
            <w:vAlign w:val="bottom"/>
          </w:tcPr>
          <w:p>
            <w:pPr>
              <w:spacing w:after="0"/>
              <w:rPr>
                <w:sz w:val="19"/>
                <w:szCs w:val="19"/>
                <w:color w:val="auto"/>
              </w:rPr>
            </w:pPr>
          </w:p>
        </w:tc>
        <w:tc>
          <w:tcPr>
            <w:tcW w:w="29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8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8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Merger and restructuring costs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80" w:type="dxa"/>
            <w:vAlign w:val="bottom"/>
          </w:tcPr>
          <w:p>
            <w:pPr>
              <w:spacing w:after="0"/>
              <w:rPr>
                <w:sz w:val="19"/>
                <w:szCs w:val="19"/>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275,862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188,293</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80" w:type="dxa"/>
            <w:vAlign w:val="bottom"/>
          </w:tcPr>
          <w:p>
            <w:pPr>
              <w:spacing w:after="0"/>
              <w:rPr>
                <w:sz w:val="19"/>
                <w:szCs w:val="19"/>
                <w:color w:val="auto"/>
              </w:rPr>
            </w:pPr>
          </w:p>
        </w:tc>
        <w:tc>
          <w:tcPr>
            <w:tcW w:w="2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80" w:type="dxa"/>
            <w:vAlign w:val="bottom"/>
          </w:tcPr>
          <w:p>
            <w:pPr>
              <w:spacing w:after="0"/>
              <w:rPr>
                <w:sz w:val="19"/>
                <w:szCs w:val="19"/>
                <w:color w:val="auto"/>
              </w:rPr>
            </w:pPr>
          </w:p>
        </w:tc>
        <w:tc>
          <w:tcPr>
            <w:tcW w:w="2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48"/>
        </w:trPr>
        <w:tc>
          <w:tcPr>
            <w:tcW w:w="8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8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80" w:hanging="254"/>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included in our expenses was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7" w:lineRule="exact"/>
        <w:rPr>
          <w:rFonts w:ascii="Times New Roman" w:cs="Times New Roman" w:eastAsia="Times New Roman" w:hAnsi="Times New Roman"/>
          <w:sz w:val="18"/>
          <w:szCs w:val="18"/>
          <w:color w:val="auto"/>
        </w:rPr>
      </w:pPr>
    </w:p>
    <w:p>
      <w:pPr>
        <w:ind w:left="260" w:right="364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Sales and marketing Technology and development General and administrative Merger and restructuring costs</w:t>
      </w:r>
    </w:p>
    <w:p>
      <w:pPr>
        <w:spacing w:after="0" w:line="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stock-based compensation expense</w:t>
      </w:r>
    </w:p>
    <w:p>
      <w:pPr>
        <w:spacing w:after="0" w:line="211" w:lineRule="exact"/>
        <w:rPr>
          <w:rFonts w:ascii="Times New Roman" w:cs="Times New Roman" w:eastAsia="Times New Roman" w:hAnsi="Times New Roman"/>
          <w:sz w:val="18"/>
          <w:szCs w:val="18"/>
          <w:color w:val="auto"/>
        </w:rPr>
      </w:pPr>
    </w:p>
    <w:p>
      <w:pPr>
        <w:ind w:left="300" w:hanging="247"/>
        <w:spacing w:after="0"/>
        <w:tabs>
          <w:tab w:leader="none" w:pos="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included in our expenses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1889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1100" w:right="60" w:hanging="1029"/>
        <w:spacing w:after="0" w:line="299" w:lineRule="auto"/>
        <w:rPr>
          <w:sz w:val="20"/>
          <w:szCs w:val="20"/>
          <w:color w:val="auto"/>
        </w:rPr>
      </w:pPr>
      <w:r>
        <w:rPr>
          <w:rFonts w:ascii="Times New Roman" w:cs="Times New Roman" w:eastAsia="Times New Roman" w:hAnsi="Times New Roman"/>
          <w:sz w:val="18"/>
          <w:szCs w:val="18"/>
          <w:b w:val="1"/>
          <w:bCs w:val="1"/>
          <w:u w:val="single" w:color="auto"/>
          <w:color w:val="auto"/>
        </w:rPr>
        <w:t>December 31, 2020</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 xml:space="preserve">December 31, 2019 December 31, 2018 </w:t>
      </w: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4"/>
        </w:trPr>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70"/>
        </w:trPr>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70"/>
        </w:trPr>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70"/>
        </w:trPr>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31" w:lineRule="exact"/>
        <w:rPr>
          <w:sz w:val="20"/>
          <w:szCs w:val="20"/>
          <w:color w:val="auto"/>
        </w:rPr>
      </w:pPr>
    </w:p>
    <w:p>
      <w:pPr>
        <w:sectPr>
          <w:pgSz w:w="11900" w:h="16838" w:orient="portrait"/>
          <w:cols w:equalWidth="0" w:num="2">
            <w:col w:w="6100" w:space="120"/>
            <w:col w:w="50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Total depreciation and amortization expense</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635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 w:lineRule="exact"/>
        <w:rPr>
          <w:sz w:val="20"/>
          <w:szCs w:val="20"/>
          <w:color w:val="auto"/>
        </w:rPr>
      </w:pPr>
    </w:p>
    <w:p>
      <w:pPr>
        <w:ind w:left="1100" w:right="100" w:hanging="1029"/>
        <w:spacing w:after="0" w:line="299" w:lineRule="auto"/>
        <w:rPr>
          <w:sz w:val="20"/>
          <w:szCs w:val="20"/>
          <w:color w:val="auto"/>
        </w:rPr>
      </w:pPr>
      <w:r>
        <w:rPr>
          <w:rFonts w:ascii="Times New Roman" w:cs="Times New Roman" w:eastAsia="Times New Roman" w:hAnsi="Times New Roman"/>
          <w:sz w:val="18"/>
          <w:szCs w:val="18"/>
          <w:b w:val="1"/>
          <w:bCs w:val="1"/>
          <w:u w:val="single" w:color="auto"/>
          <w:color w:val="auto"/>
        </w:rPr>
        <w:t>December 31, 2020</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 xml:space="preserve">December 31, 2019 December 31, 2018 </w:t>
      </w: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-20955</wp:posOffset>
            </wp:positionV>
            <wp:extent cx="709803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33,306</w:t>
            </w:r>
          </w:p>
        </w:tc>
      </w:tr>
      <w:tr>
        <w:trPr>
          <w:trHeight w:val="234"/>
        </w:trPr>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70"/>
        </w:trPr>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70"/>
        </w:trPr>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49,248</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35,338</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-530860</wp:posOffset>
            </wp:positionV>
            <wp:extent cx="709803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709803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000"/>
          </w:cols>
          <w:pgMar w:left="320" w:top="12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specified periods as a percentage of our revenue for those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80" w:type="dxa"/>
            <w:vAlign w:val="bottom"/>
          </w:tcPr>
          <w:p>
            <w:pPr>
              <w:spacing w:after="0"/>
              <w:rPr>
                <w:sz w:val="19"/>
                <w:szCs w:val="19"/>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3"/>
                <w:szCs w:val="23"/>
                <w:color w:val="auto"/>
              </w:rPr>
            </w:pPr>
          </w:p>
        </w:tc>
      </w:tr>
      <w:tr>
        <w:trPr>
          <w:trHeight w:val="27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3"/>
                <w:szCs w:val="23"/>
                <w:color w:val="auto"/>
              </w:rPr>
            </w:pPr>
          </w:p>
        </w:tc>
      </w:tr>
      <w:tr>
        <w:trPr>
          <w:trHeight w:val="27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3"/>
                <w:szCs w:val="23"/>
                <w:color w:val="auto"/>
              </w:rPr>
            </w:pPr>
          </w:p>
        </w:tc>
      </w:tr>
      <w:tr>
        <w:trPr>
          <w:trHeight w:val="27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3"/>
                <w:szCs w:val="23"/>
                <w:color w:val="auto"/>
              </w:rPr>
            </w:pPr>
          </w:p>
        </w:tc>
      </w:tr>
      <w:tr>
        <w:trPr>
          <w:trHeight w:val="270"/>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Merger and restructuring costs</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tcPr>
          <w:p>
            <w:pPr>
              <w:spacing w:after="0"/>
              <w:rPr>
                <w:sz w:val="23"/>
                <w:szCs w:val="23"/>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auto"/>
            </w:tcBorders>
          </w:tcPr>
          <w:p>
            <w:pPr>
              <w:spacing w:after="0"/>
              <w:rPr>
                <w:sz w:val="19"/>
                <w:szCs w:val="19"/>
                <w:color w:val="auto"/>
              </w:rPr>
            </w:pPr>
          </w:p>
        </w:tc>
      </w:tr>
      <w:tr>
        <w:trPr>
          <w:trHeight w:val="27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
        </w:trPr>
        <w:tc>
          <w:tcPr>
            <w:tcW w:w="5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2019, and 2018</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100" w:firstLine="180"/>
        <w:spacing w:after="0" w:line="256" w:lineRule="auto"/>
        <w:rPr>
          <w:sz w:val="20"/>
          <w:szCs w:val="20"/>
          <w:color w:val="auto"/>
        </w:rPr>
      </w:pPr>
      <w:r>
        <w:rPr>
          <w:rFonts w:ascii="Times New Roman" w:cs="Times New Roman" w:eastAsia="Times New Roman" w:hAnsi="Times New Roman"/>
          <w:sz w:val="18"/>
          <w:szCs w:val="18"/>
          <w:color w:val="auto"/>
        </w:rPr>
        <w:t>Revenue increased $65.2 million, or 42%, for the year ended December 31, 2020 compared to the prior year. Our revenue growth was driven primarily by the Merger, completed on April 1, 2020, which contributed $60.1 million in revenue during the year ended December 31, 2020. On a per channel basis, CTV revenue increased $34.3 million, compared to the prior year (all as a result of the Merger), while mobile revenue increased $20.2 million, or a 23%, compared to the prior year, and desktop revenue increased $10.7 million, or 16%, compared to the prior year. Excluding the impact of the Merger, our revenue increased 3% year-over-year. Despite some recovery in our revenue trends, beginning in the third quarter of 2020, our overall annual revenue growth was significantly negatively affected by the impact of the COVID-19 pandemic.</w:t>
      </w:r>
    </w:p>
    <w:p>
      <w:pPr>
        <w:spacing w:after="0" w:line="66"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Revenue increased $31.7 million, or 25%, for the year ended December 31, 2019 compared to the year ended December 31, 2018. Our revenue growth was driven primarily by ongoing increases in advertising spend transacted on our platform, particularly video and mobile advertising spend.</w:t>
      </w:r>
    </w:p>
    <w:p>
      <w:pPr>
        <w:spacing w:after="0" w:line="18" w:lineRule="exact"/>
        <w:rPr>
          <w:sz w:val="20"/>
          <w:szCs w:val="20"/>
          <w:color w:val="auto"/>
        </w:rPr>
      </w:pPr>
    </w:p>
    <w:p>
      <w:pPr>
        <w:ind w:right="60" w:firstLine="177"/>
        <w:spacing w:after="0" w:line="254" w:lineRule="auto"/>
        <w:rPr>
          <w:sz w:val="20"/>
          <w:szCs w:val="20"/>
          <w:color w:val="auto"/>
        </w:rPr>
      </w:pPr>
      <w:r>
        <w:rPr>
          <w:rFonts w:ascii="Times New Roman" w:cs="Times New Roman" w:eastAsia="Times New Roman" w:hAnsi="Times New Roman"/>
          <w:sz w:val="18"/>
          <w:szCs w:val="18"/>
          <w:color w:val="auto"/>
        </w:rPr>
        <w:t>We expect revenue to increase in 2021 compared to 2020, with CTV as our primary growth driver. Our revenue is largely a function of the number of advertising transactions and the price, or CPM, at which the inventory is sold, which results in total advertising spend on our platform, and the take rate we charge for our services. Because pricing and take rate vary across publisher, channel and transaction type, our revenue is impacted by shifts in the mix of advertising spend on our platform. For instance, an increase in PMP transactions as a percentage of the transactions on our platform could also result in reduced revenue, if not offset by increased advertising spend, because PMP transactions can carry lower take rates than OMP transactions. We believe that contributions to revenue from PMPs, in particular with respect to CTV which is largely transacted through PMPs, will continue to grow as a percentage of our total revenue. In general, we expect this shift will result in an overall increase in advertising spend through our platform due to both an increase in volume and average CPM which will be partially offset by a decrease in our average take rate.</w:t>
      </w:r>
    </w:p>
    <w:p>
      <w:pPr>
        <w:spacing w:after="0" w:line="5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revenue growth has been tempered, and may be negatively impacted in the future, by reductions in revenue resulting from the economic impact of the COVID-19 pandemic. Refer to Item 1A. "Risk Factors" for additional information related to this risk factor and the impact it may have on our business.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8" w:lineRule="exact"/>
        <w:rPr>
          <w:sz w:val="20"/>
          <w:szCs w:val="20"/>
          <w:color w:val="auto"/>
        </w:rPr>
      </w:pPr>
    </w:p>
    <w:p>
      <w:pPr>
        <w:ind w:right="80" w:firstLine="180"/>
        <w:spacing w:after="0" w:line="312" w:lineRule="auto"/>
        <w:rPr>
          <w:sz w:val="20"/>
          <w:szCs w:val="20"/>
          <w:color w:val="auto"/>
        </w:rPr>
      </w:pPr>
      <w:r>
        <w:rPr>
          <w:rFonts w:ascii="Times New Roman" w:cs="Times New Roman" w:eastAsia="Times New Roman" w:hAnsi="Times New Roman"/>
          <w:sz w:val="17"/>
          <w:szCs w:val="17"/>
          <w:color w:val="auto"/>
        </w:rPr>
        <w:t>Cost of revenue increased by $20.4 million, or 35%, for the year ended December 31, 2020 compared to the prior year primarily due to the Merger. Cost of revenue includes an increase of $11.8 million in data and bandwidth expenses, $4.5 million in depreciation and amortization, and $2.0 in media costs.</w:t>
      </w:r>
    </w:p>
    <w:p>
      <w:pPr>
        <w:spacing w:after="0" w:line="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Cost of revenue decreased $2.6 million, or 4%, for the year ended December 31, 2019 compared to the year ended December 31, 2018 mainly due to our continued focus on infrastructure serving efficiency, which resulted in a decrease of $3.0 million in depreciation and amortization and a decrease of $1.0 million in data and bandwidth expenses. These decreases were partially offset by an increase of $1.1 million in ad protection costs.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177"/>
        <w:spacing w:after="0" w:line="282" w:lineRule="auto"/>
        <w:rPr>
          <w:sz w:val="20"/>
          <w:szCs w:val="20"/>
          <w:color w:val="auto"/>
        </w:rPr>
      </w:pPr>
      <w:r>
        <w:rPr>
          <w:rFonts w:ascii="Times New Roman" w:cs="Times New Roman" w:eastAsia="Times New Roman" w:hAnsi="Times New Roman"/>
          <w:sz w:val="18"/>
          <w:szCs w:val="18"/>
          <w:color w:val="auto"/>
        </w:rPr>
        <w:t>We expect the cost of revenue to be higher in 2021 compared to 2020 in absolute dollars due primarily to the increased amortization of intangible assets resulting from the Merger and higher cloud service costs to support the growth of our business.</w:t>
      </w:r>
    </w:p>
    <w:p>
      <w:pPr>
        <w:spacing w:after="0" w:line="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$31.5 million, or 71%, for the year ended December 31, 2020 compared to the prior year primarily due to the Merger and associated increases in amortization related to acquired intangibles and other assets and increases in headcount. Sales and marketing expenses increased by $20.4 million related to personnel expenses and $12.8 million related to depreciation and amortization associated with the Merger. These increases were partially offset by a decrease in expenses of $2.4 million related to travel and industry events due to the impact of the COVID-19 pandemic.</w:t>
      </w:r>
    </w:p>
    <w:p>
      <w:pPr>
        <w:spacing w:after="0" w:line="4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stayed flat for the year ended December 31, 2019 compared to the year ended December 31, 2018 primarily due to the benefit of the prior year's cost control initiatives.</w:t>
      </w:r>
    </w:p>
    <w:p>
      <w:pPr>
        <w:spacing w:after="0" w:line="40" w:lineRule="exact"/>
        <w:rPr>
          <w:sz w:val="20"/>
          <w:szCs w:val="20"/>
          <w:color w:val="auto"/>
        </w:rPr>
      </w:pPr>
    </w:p>
    <w:p>
      <w:pPr>
        <w:ind w:right="280" w:firstLine="177"/>
        <w:spacing w:after="0" w:line="312" w:lineRule="auto"/>
        <w:rPr>
          <w:sz w:val="20"/>
          <w:szCs w:val="20"/>
          <w:color w:val="auto"/>
        </w:rPr>
      </w:pPr>
      <w:r>
        <w:rPr>
          <w:rFonts w:ascii="Times New Roman" w:cs="Times New Roman" w:eastAsia="Times New Roman" w:hAnsi="Times New Roman"/>
          <w:sz w:val="17"/>
          <w:szCs w:val="17"/>
          <w:color w:val="auto"/>
        </w:rPr>
        <w:t>We expect sales and marketing expenses to increase in 2021 compared to 2020 in absolute dollars primarily due to a full year of additional headcount costs and amortization of acquired intangible assets as a result of the Merger and increased Travel and Entertainment expenses post COVID-19.</w:t>
      </w:r>
    </w:p>
    <w:p>
      <w:pPr>
        <w:spacing w:after="0" w:line="1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08" w:lineRule="exact"/>
        <w:rPr>
          <w:sz w:val="20"/>
          <w:szCs w:val="20"/>
          <w:color w:val="auto"/>
        </w:rPr>
      </w:pPr>
    </w:p>
    <w:p>
      <w:pPr>
        <w:ind w:right="80" w:firstLine="177"/>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increased by $11.3 million, or 28%, for the year ended December 31, 2020 compared to the prior year, primarily due to an increase of $11.6 million in personnel costs as a result of the increased headcount associated with the Merger.</w:t>
      </w:r>
    </w:p>
    <w:p>
      <w:pPr>
        <w:spacing w:after="0" w:line="4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increased by $2.4 million, or 6%, for the year ended December 31, 2019 compared to the year ended December 31, 2018, primarily due to an increase of $3.0 million in personnel costs as a result of strategic headcount additions to focus on the engineering aspect of our new developments, including Demand Manager and other initiatives.</w:t>
      </w:r>
    </w:p>
    <w:p>
      <w:pPr>
        <w:spacing w:after="0" w:line="41"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We expect technology and development expenses to continue to increase in 2021 compared to 2020 in absolute dollars, primarily due to the additional headcount investment in our key growth opportunities.</w:t>
      </w:r>
    </w:p>
    <w:p>
      <w:pPr>
        <w:spacing w:after="0" w:line="4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94"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$13.2 million, or 33%, for the year ended December 31, 2020 compared to the prior year, primarily due to increases of $7.1 million in personnel expenses and $4.0 million in facilities related expenses, both primarily associated with the Merger. In addition, professional services increased by $3.0 million in professional services mainly attributed to the growth of the overall business as a result of the Merger. These increases were partially offset by a decrease in bad debt expense of $1.3 million.</w:t>
      </w:r>
    </w:p>
    <w:p>
      <w:pPr>
        <w:spacing w:after="0" w:line="5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or 2%, for the year ended December 31, 2019 compared to the year ended December 31, 2018, primarily due to a decrease of $1.2 million in personnel related expenses due to the benefit of prior year's cost control initiatives.</w:t>
      </w:r>
    </w:p>
    <w:p>
      <w:pPr>
        <w:spacing w:after="0" w:line="40" w:lineRule="exact"/>
        <w:rPr>
          <w:sz w:val="20"/>
          <w:szCs w:val="20"/>
          <w:color w:val="auto"/>
        </w:rPr>
      </w:pPr>
    </w:p>
    <w:p>
      <w:pPr>
        <w:ind w:right="200" w:firstLine="177"/>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2021 compared to 2020 in absolute dollars primarily due to the additional headcount and assuming a return to office work environment later in the year.</w:t>
      </w:r>
    </w:p>
    <w:p>
      <w:pPr>
        <w:spacing w:after="0" w:line="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Merger and Restructuring Costs</w:t>
      </w:r>
    </w:p>
    <w:p>
      <w:pPr>
        <w:spacing w:after="0" w:line="94" w:lineRule="exact"/>
        <w:rPr>
          <w:sz w:val="20"/>
          <w:szCs w:val="20"/>
          <w:color w:val="auto"/>
        </w:rPr>
      </w:pPr>
    </w:p>
    <w:p>
      <w:pPr>
        <w:ind w:right="20" w:firstLine="177"/>
        <w:spacing w:after="0" w:line="258" w:lineRule="auto"/>
        <w:rPr>
          <w:sz w:val="20"/>
          <w:szCs w:val="20"/>
          <w:color w:val="auto"/>
        </w:rPr>
      </w:pPr>
      <w:r>
        <w:rPr>
          <w:rFonts w:ascii="Times New Roman" w:cs="Times New Roman" w:eastAsia="Times New Roman" w:hAnsi="Times New Roman"/>
          <w:sz w:val="18"/>
          <w:szCs w:val="18"/>
          <w:color w:val="auto"/>
        </w:rPr>
        <w:t>We incurred merger and restructuring costs of $17.6 million and $2.0 million during the year ended December 31, 2020 and 2019, respectively, primarily related with the Merger. In 2020, these costs included professional fees of $9.9 million related to investment banking advisory, legal, and other professional service fees, one-time cash-based employee termination benefit costs of $5.7 million, and non-cash stock-based compensation expense associated with double-trigger accelerations and severance benefits of $1.9 million. In 2019, these costs consisted of professional services associated with the Merger, which were all incurred during the fourth quarter.</w:t>
      </w:r>
    </w:p>
    <w:p>
      <w:pPr>
        <w:spacing w:after="0" w:line="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Merger and restructuring costs increased by $15.5 million during the year ended December 31, 2020 compared to the prior year primarily due cash and non-cash acceleration and termination benefits, as referenced above, and increased professional services associated with the Merger and resulting restructuring activities.</w:t>
      </w:r>
    </w:p>
    <w:p>
      <w:pPr>
        <w:spacing w:after="0" w:line="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2018, we incurred restructuring costs of $3.4 million for severance and other one-time employee termination benefits related to headcount reductions that were made in 2018. These costs included one-time cash-based employee termination benefit costs of $3.0 million and non-cash stock-based compensation expenses associated with severance benefits of $0.4 million. These headcount reductions were as part of evaluation of efficiency and implementation of cost-control measures. As part of these measures, we reduced headcount by approximately 100 people, or 19% of our workforce, and reduced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merger and restructuring costs to increase in 2021 compared to 2020 in absolute dollars if the SpotX Acquisition successfully closes.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62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6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(789)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(285)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481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(593)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0"/>
        </w:trPr>
        <w:tc>
          <w:tcPr>
            <w:tcW w:w="6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300" w:firstLine="180"/>
        <w:spacing w:after="0" w:line="261" w:lineRule="auto"/>
        <w:rPr>
          <w:sz w:val="20"/>
          <w:szCs w:val="20"/>
          <w:color w:val="auto"/>
        </w:rPr>
      </w:pPr>
      <w:r>
        <w:rPr>
          <w:rFonts w:ascii="Times New Roman" w:cs="Times New Roman" w:eastAsia="Times New Roman" w:hAnsi="Times New Roman"/>
          <w:sz w:val="18"/>
          <w:szCs w:val="18"/>
          <w:color w:val="auto"/>
        </w:rPr>
        <w:t>Other income increased by $3.4 million during the year ended December 31, 2020 compared to the prior year due to rental income for two real estate leases for which we sublease the property to a third parties. We expect rental income for real estate leases subleased to third parties to be approximately $3.8 million in 2021, $3.2 million in 2022 and 2023, $3.0 million in 2024, and $0.3 million in 2025, based on the subleases in place as of December 31, 2020.</w:t>
      </w:r>
    </w:p>
    <w:p>
      <w:pPr>
        <w:spacing w:after="0" w:line="4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Foreign exchange (gain) loss, net is impacted by movements in exchange rates and the amount of foreign currency-denominated receivables and payables, which are impacted by our billings to buyers and payments to sellers. The foreign currency loss, net during the year ended December 31, 2020 was primarily attributable to the currency movements between the British Pound, Australian Dollar, Canadian Dollar, and Euro relative to the U.S. Dollar. The foreign currency loss, net during the years ended December 31, 2019 and 2018 was primarily attributable to the currency movements between the British Pound and the Euro relative to the U.S. Dollar.</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firstLine="177"/>
        <w:spacing w:after="0" w:line="256" w:lineRule="auto"/>
        <w:rPr>
          <w:sz w:val="20"/>
          <w:szCs w:val="20"/>
          <w:color w:val="auto"/>
        </w:rPr>
      </w:pPr>
      <w:r>
        <w:rPr>
          <w:rFonts w:ascii="Times New Roman" w:cs="Times New Roman" w:eastAsia="Times New Roman" w:hAnsi="Times New Roman"/>
          <w:sz w:val="18"/>
          <w:szCs w:val="18"/>
          <w:color w:val="auto"/>
        </w:rPr>
        <w:t>We recorded an income tax expense of $0.7 million for the year ended December 31, 2020 compared to an income benefit of $1.5 million and income tax expense of $0.4 million for the years ended December 31, 2019 and 2018, respectively. The tax expense for the years ended December 31, 2020 and December 31, 2018 was primarily the result of the domestic valuation allowance and the tax liability associated with the foreign subsidiaries. The net tax benefit for the year ended December 31, 2019 was the result of a deferred tax liability associated with the RTKio acquisition, the release of a foreign valuation allowance resulting from a change to a cost-plus arrangement for a foreign subsidiary, the domestic valuation allowance, and the tax liability associated with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color w:val="auto"/>
        </w:rPr>
        <w:t>In addition to our GAAP results, we review Adjusted EBITDA, a non-GAAP financial measure, to help us evaluate our business, measure our performance, identify trends affecting our business, establish budgets, measure the effectiveness of investments in our technology and development and sales and marketing, and assess our operational efficiencies. Adjusted EBITDA is discussed immediately following the table below. Revenue is discussed under the headings "Components of Our Results of Operations" and "Results of Operations."</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8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Measures and non-GAAP Financial Measures: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221,628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156,414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124,685</w:t>
            </w: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(61,822)</w:t>
            </w:r>
          </w:p>
        </w:tc>
      </w:tr>
      <w:tr>
        <w:trPr>
          <w:trHeight w:val="234"/>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43,065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25,694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(11,222)</w:t>
            </w:r>
          </w:p>
        </w:tc>
      </w:tr>
    </w:tbl>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02" w:lineRule="exact"/>
        <w:rPr>
          <w:sz w:val="20"/>
          <w:szCs w:val="20"/>
          <w:color w:val="auto"/>
        </w:rPr>
      </w:pPr>
    </w:p>
    <w:p>
      <w:pPr>
        <w:ind w:right="20" w:firstLine="17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45" w:lineRule="exact"/>
        <w:rPr>
          <w:sz w:val="20"/>
          <w:szCs w:val="20"/>
          <w:color w:val="auto"/>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ind w:left="660" w:right="140" w:hanging="328"/>
        <w:spacing w:after="0" w:line="281"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1" w:lineRule="exact"/>
        <w:rPr>
          <w:rFonts w:ascii="Times New Roman" w:cs="Times New Roman" w:eastAsia="Times New Roman" w:hAnsi="Times New Roman"/>
          <w:sz w:val="17"/>
          <w:szCs w:val="17"/>
          <w:color w:val="auto"/>
        </w:rPr>
      </w:pPr>
    </w:p>
    <w:p>
      <w:pPr>
        <w:ind w:left="660" w:right="2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4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4" w:lineRule="exact"/>
        <w:rPr>
          <w:sz w:val="20"/>
          <w:szCs w:val="20"/>
          <w:color w:val="auto"/>
        </w:rPr>
      </w:pPr>
    </w:p>
    <w:p>
      <w:pPr>
        <w:ind w:left="660" w:right="560" w:hanging="328"/>
        <w:spacing w:after="0" w:line="27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are non-cash charges related to goodwill, intangible assets and/or long-lived assets.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1"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and non-cash charges and changes in, or cash requirements for, acquisition and related items, such as certain transaction expenses and expenses associated with earn-out amounts.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working capital needs, capital expenditures, or contractual commitments.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income taxes and the cash impact of other income or expense.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90" w:lineRule="exact"/>
        <w:rPr>
          <w:sz w:val="20"/>
          <w:szCs w:val="20"/>
          <w:color w:val="auto"/>
        </w:rPr>
      </w:pPr>
    </w:p>
    <w:p>
      <w:pPr>
        <w:ind w:right="60" w:firstLine="180"/>
        <w:spacing w:after="0" w:line="266" w:lineRule="auto"/>
        <w:rPr>
          <w:sz w:val="20"/>
          <w:szCs w:val="20"/>
          <w:color w:val="auto"/>
        </w:rPr>
      </w:pPr>
      <w:r>
        <w:rPr>
          <w:rFonts w:ascii="Times New Roman" w:cs="Times New Roman" w:eastAsia="Times New Roman" w:hAnsi="Times New Roman"/>
          <w:sz w:val="18"/>
          <w:szCs w:val="18"/>
          <w:color w:val="auto"/>
        </w:rPr>
        <w:t>Our Adjusted EBITDA is influenced by fluctuations in our revenue and the timing and amounts of our investments in our operations. Adjusted EBITDA should not be considered as an alternative to net income (loss), income (loss) from operations, or any other measure of financial performance calculated and presented in accordance with GAAP.</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comparable GAAP measure, to Adjusted EBITDA for the years ended December 31, 2020 and 2019.</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and amortization expense, excluding amortization of</w:t>
            </w: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acquisition related items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Non-operational real estate expense (income),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43,065</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80" w:firstLine="180"/>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marketable securities, cash generated from operations, and our credit facility with Silicon Valley Bank ("SVB"). At December 31, 2020, we had cash and cash equivalents of $117.7 million, of which $23.5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54" w:lineRule="exact"/>
        <w:rPr>
          <w:sz w:val="20"/>
          <w:szCs w:val="20"/>
          <w:color w:val="auto"/>
        </w:rPr>
      </w:pPr>
    </w:p>
    <w:p>
      <w:pPr>
        <w:jc w:val="both"/>
        <w:ind w:right="100" w:firstLine="180"/>
        <w:spacing w:after="0" w:line="261" w:lineRule="auto"/>
        <w:rPr>
          <w:sz w:val="20"/>
          <w:szCs w:val="20"/>
          <w:color w:val="auto"/>
        </w:rPr>
      </w:pPr>
      <w:r>
        <w:rPr>
          <w:rFonts w:ascii="Times New Roman" w:cs="Times New Roman" w:eastAsia="Times New Roman" w:hAnsi="Times New Roman"/>
          <w:sz w:val="18"/>
          <w:szCs w:val="18"/>
          <w:color w:val="auto"/>
        </w:rPr>
        <w:t>On September 25, 2020, we amended and restated our loan and security agreement with SVB (the "Loan Agreement"). The Loan Agreement provides a senior secured revolving credit facility of up to $60.0 million with a maturity date of September 25, 2022. The Loan Agreement includes a letter of credit, foreign exchange and cash management facility with a sublimit up to $10.0 million, of which $6.3 million was utilized for letters of credit related to leases as of December 31, 2020. As of December 31, 2020, the amount available for borrowing was $53.7 million (net of letters of credit).</w:t>
      </w:r>
    </w:p>
    <w:p>
      <w:pPr>
        <w:spacing w:after="0" w:line="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Loan Agreement, we are required to comply with financial covenants, measured quarterly, with respect to a minimum liquidity ratio and maximum quarterly cash burn. We are required to maintain a minimum liquidity ratio of at least 1.25 on the last day of each quarter and not exceed, on an absolute basis, a maximum quarterly cash burn for specific periods, as defined in the Loan Agreement. The Liquidity Ratio is defined as Cash and Cash Equivalents, plus Accounts Receivable, less Accounts Payable - Seller, divided by all obligations due to SVB, including all debt balances, interest, service fees, and unused credit line fees, net of outstanding letters of credit as of the balance sheet date. Cash Burn is defined as Adjusted EBITDA less Capital Expenditures during the trailing periods as outlined in the Loan Agreement. The Loan Agreement defines Capital Expenditures as the current period unfinanced cash expenditures that are capitalized and amortized, including but not limited to property and equipment and capitalized labor costs as they relate to internal use software development costs. December 31, 2020, the Company was in compliance with its financial covenants. While we are currently in compliance with these covenants, this could change in the future depending on our operating results. At December 31, 2020, we had no amounts outstanding under our Loan Agreement other than with respect to letters of credit). Future availability under the credit facility is dependent on several factors, including the available borrowing base and compliance with future covenant requirements. See Note 18 of "Notes to Consolidated Financial Statements" for additional information regarding the Loan Agreement.</w:t>
      </w:r>
    </w:p>
    <w:p>
      <w:pPr>
        <w:spacing w:after="0" w:line="68" w:lineRule="exact"/>
        <w:rPr>
          <w:sz w:val="20"/>
          <w:szCs w:val="20"/>
          <w:color w:val="auto"/>
        </w:rPr>
      </w:pPr>
    </w:p>
    <w:p>
      <w:pPr>
        <w:ind w:right="100" w:firstLine="177"/>
        <w:spacing w:after="0" w:line="256" w:lineRule="auto"/>
        <w:rPr>
          <w:sz w:val="20"/>
          <w:szCs w:val="20"/>
          <w:color w:val="auto"/>
        </w:rPr>
      </w:pPr>
      <w:r>
        <w:rPr>
          <w:rFonts w:ascii="Times New Roman" w:cs="Times New Roman" w:eastAsia="Times New Roman" w:hAnsi="Times New Roman"/>
          <w:sz w:val="18"/>
          <w:szCs w:val="18"/>
          <w:color w:val="auto"/>
        </w:rPr>
        <w:t>We believe our existing cash and cash equivalents, investment balances, and available borrowings under our Loan Agreement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In addition, in the event a buyer defaults on payment, we may still be required to pay sellers for the inventory purchased even if we are unable to collect from buyers. These challenges have been exacerbated by the COVID-19 pandemic and resulting economic impact, as many of our buyers are experiencing financial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difficulties and liquidity constraints. In certain cases, buyers have been unable to timely make payments and we have agreed to revised payment schedules. To date, these actions have not had a material negative impact on our cash flow or liquidity. At December 31, 2020, two buyers accounted for 33% and 12%, respectively, of consolidated accounts receivable. The future capital requirements and the adequacy of available funds will depend on many factors, including the duration and severity of the COVID-19 pandemic and its impact on buyers and sellers and factors set forth in Part I, Item 1A: "Risk Factors" of this Annual Report on Form 10-K.</w:t>
      </w:r>
    </w:p>
    <w:p>
      <w:pPr>
        <w:spacing w:after="0" w:line="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intend to finance the cash portion of the SpotX Acquisition consideration in part from cash on our balance sheet and in part through borrowings under certain proposed new credit facilities. In connection with entering into the SpotX Purchase Agreement, we entered into the Commitment Letter, dated as of February 4, 2021, with Goldman Sachs Bank USA (the "Commitment Party"), pursuant to which, subject to the terms and conditions set forth therein, the Commitment Party has committed to provide the senior secured Term Loan Facility in an aggregate principal amount of up to</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$560 million. If we fail to satisfy the closing conditions set forth in the Commitment Letter or the Commitment Party is unable to perform its obligations under the Commitment Letter for any reason, we will be required to find other sources of capital to fund the acquisition of SpotX.</w:t>
      </w:r>
    </w:p>
    <w:p>
      <w:pPr>
        <w:spacing w:after="0" w:line="6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 Due to the economic uncertainty caused by the COVID-19 pandemic, the debt and equity markets have become less predictable and obtaining financing on favorable terms and at favorable rates has become more difficult.</w:t>
      </w:r>
    </w:p>
    <w:p>
      <w:pPr>
        <w:spacing w:after="0" w:line="67" w:lineRule="exact"/>
        <w:rPr>
          <w:sz w:val="20"/>
          <w:szCs w:val="20"/>
          <w:color w:val="auto"/>
        </w:rPr>
      </w:pPr>
    </w:p>
    <w:p>
      <w:pPr>
        <w:ind w:right="380" w:firstLine="170"/>
        <w:spacing w:after="0" w:line="282" w:lineRule="auto"/>
        <w:rPr>
          <w:sz w:val="20"/>
          <w:szCs w:val="20"/>
          <w:color w:val="auto"/>
        </w:rPr>
      </w:pPr>
      <w:r>
        <w:rPr>
          <w:rFonts w:ascii="Times New Roman" w:cs="Times New Roman" w:eastAsia="Times New Roman" w:hAnsi="Times New Roman"/>
          <w:sz w:val="18"/>
          <w:szCs w:val="18"/>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1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r>
      <w:tr>
        <w:trPr>
          <w:trHeight w:val="223"/>
        </w:trPr>
        <w:tc>
          <w:tcPr>
            <w:tcW w:w="6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27,947</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62"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net cash used in operating activities was $12.1 million, compared to net cash provided by operating activities of $32.0 million during the year ended December 31, 2019 and net cash used in operating activities of $22.7 million during the year ended December 31, 2018. Our operating activities included our net losses of $53.4 million, $25.5 million, and $61.8 million for the years ended December 31, 2020 and 2019, and 2018, respectively, which were offset by non-cash adjustments of $76.4 million, $51.5 million, and $51.3 million, respectively. In 2020, net changes in our working capital increased cash used in operating activities by $35.1 million, mainly driven by increased accounts receivable and accounts payable balances. In 2019, net changes in our working capital increased cash provided by operating activities by $5.9 million. In 2018, net changes in our working capital increased cash used in operating activities by $12.1 million. The net changes in working capital for all periods presented are primarily due to the timing of cash receipts from buyers and the timing of payments to sellers.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1160" w:hanging="2"/>
        <w:spacing w:after="0" w:line="352" w:lineRule="auto"/>
        <w:rPr>
          <w:sz w:val="20"/>
          <w:szCs w:val="20"/>
          <w:color w:val="auto"/>
        </w:rPr>
      </w:pPr>
      <w:r>
        <w:rPr>
          <w:rFonts w:ascii="Times New Roman" w:cs="Times New Roman" w:eastAsia="Times New Roman" w:hAnsi="Times New Roman"/>
          <w:sz w:val="18"/>
          <w:szCs w:val="18"/>
          <w:color w:val="auto"/>
        </w:rPr>
        <w:t xml:space="preserve">We believe that cash flows from operations will continue to be negatively impacted by our ongoing net losses and working capital needs. </w:t>
      </w:r>
      <w:r>
        <w:rPr>
          <w:rFonts w:ascii="Times New Roman" w:cs="Times New Roman" w:eastAsia="Times New Roman" w:hAnsi="Times New Roman"/>
          <w:sz w:val="18"/>
          <w:szCs w:val="18"/>
          <w:b w:val="1"/>
          <w:bCs w:val="1"/>
          <w:i w:val="1"/>
          <w:iCs w:val="1"/>
          <w:color w:val="auto"/>
        </w:rPr>
        <w:t>Investing Activities</w:t>
      </w:r>
    </w:p>
    <w:p>
      <w:pPr>
        <w:ind w:firstLine="180"/>
        <w:spacing w:after="0" w:line="253" w:lineRule="auto"/>
        <w:rPr>
          <w:sz w:val="20"/>
          <w:szCs w:val="20"/>
          <w:color w:val="auto"/>
        </w:rPr>
      </w:pPr>
      <w:r>
        <w:rPr>
          <w:rFonts w:ascii="Times New Roman" w:cs="Times New Roman" w:eastAsia="Times New Roman" w:hAnsi="Times New Roman"/>
          <w:sz w:val="18"/>
          <w:szCs w:val="18"/>
          <w:color w:val="auto"/>
        </w:rPr>
        <w:t>Our primary investing activities have consisted of acquisitions of businesses, purchases of property and equipment, capital expenditures to develop our internal use software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increase compared to past years' investment levels as we continue to innovate new solutions on our platform. As the business continues to grow, we expect our investment in property and equipment to slightly increase compared to 2020.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next year compared to the first half of the year. Investments in, and maturities of, available-for-sale securities and acquisitions of businesses vary from period-to-period.</w:t>
      </w:r>
    </w:p>
    <w:p>
      <w:pPr>
        <w:spacing w:after="0" w:line="7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net cash provided by investing activities was $32.6 million compared to net cash used by investing activities of $23.4 million during the year ended December 31, 2019 and net cash provided by investing activities of $27.9 million during the year ended December 31, 2018. During the year ended December 31, 2020, 2019, and 2018, we used cash for purchases of property and equipment of $14.3 million, $11.4 million, and $11.4 million, respectively, and used cash for investments in our internally developed software of $7.7 million, $8.5 million, and $8.5 million, respectively, The cash provided by investing activity for the year ended December 31, 2020 included $54.6 million of cash and restricted cash acquired as part of the Merger. Net cash used in our investing activities in 2019 included $11.0 million to acquire RTK.io. For the years ended December 31, 2019 and 2018 we had net maturities of investments in available-for-sale securities of $7.5 million and $38.7 million, respectively. In addition, we had cash inflows of $9.2 million during the year ended December 31, 2018 related to sales of available-for-sale securities.</w:t>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60" w:firstLine="180"/>
        <w:spacing w:after="0" w:line="256" w:lineRule="auto"/>
        <w:rPr>
          <w:sz w:val="20"/>
          <w:szCs w:val="20"/>
          <w:color w:val="auto"/>
        </w:rPr>
      </w:pPr>
      <w:r>
        <w:rPr>
          <w:rFonts w:ascii="Times New Roman" w:cs="Times New Roman" w:eastAsia="Times New Roman" w:hAnsi="Times New Roman"/>
          <w:sz w:val="18"/>
          <w:szCs w:val="18"/>
          <w:color w:val="auto"/>
        </w:rPr>
        <w:t>Our financing activities consisted of transactions related to the issuance of our common stock under our equity plans. For the years ended December 31, 2020, 2019, and 2018 we provided net cash of $7.4 million, and used net cash of $0.2 million, and $1.3 million, respectively, for financing activities. Cash outflows from financing activities for the years ended December 31, 2020, 2019, and 2018 included payments of $7.9 million, $1.8 million, and $1.6 million, respectively, for income tax deposits paid in respect of vesting of stock-based compensation awards that were reimbursed by the award recipients through surrender of shares. Offsetting these outflows were cash inflows of $15.2 million, $1.6 million, and $0.4 million, from the issuance of common stock under the employee stock purchase plan and exercise of stock options for the years ended December 31, 2020, 2019, and 2018,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right="120" w:firstLine="177"/>
        <w:spacing w:after="0" w:line="261" w:lineRule="auto"/>
        <w:rPr>
          <w:sz w:val="20"/>
          <w:szCs w:val="20"/>
          <w:color w:val="auto"/>
        </w:rPr>
      </w:pPr>
      <w:r>
        <w:rPr>
          <w:rFonts w:ascii="Times New Roman" w:cs="Times New Roman" w:eastAsia="Times New Roman" w:hAnsi="Times New Roman"/>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December 31, 2020 other than the short-term operating leases and the indemnification agreements described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Known Future Cash Requirements</w:t>
      </w:r>
    </w:p>
    <w:p>
      <w:pPr>
        <w:spacing w:after="0" w:line="94" w:lineRule="exact"/>
        <w:rPr>
          <w:sz w:val="20"/>
          <w:szCs w:val="20"/>
          <w:color w:val="auto"/>
        </w:rPr>
      </w:pPr>
    </w:p>
    <w:p>
      <w:pPr>
        <w:jc w:val="both"/>
        <w:ind w:right="40" w:firstLine="180"/>
        <w:spacing w:after="0" w:line="236" w:lineRule="auto"/>
        <w:rPr>
          <w:sz w:val="20"/>
          <w:szCs w:val="20"/>
          <w:color w:val="auto"/>
        </w:rPr>
      </w:pPr>
      <w:r>
        <w:rPr>
          <w:rFonts w:ascii="Times New Roman" w:cs="Times New Roman" w:eastAsia="Times New Roman" w:hAnsi="Times New Roman"/>
          <w:sz w:val="18"/>
          <w:szCs w:val="18"/>
          <w:color w:val="auto"/>
        </w:rPr>
        <w:t>Our principal commitments consist of leases for our various office facilities, including our corporate headquarters in Los Angeles, California and offices in New York, New York, and operating lease agreements, including data centers and cloud managed services that expire at various times through 2030. In certain cases, the terms of the lease agreements provide for rental payments on a graduated basis.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received rental income from subleases totaling $3.7 million for the year ended December 31, 2020.</w:t>
      </w:r>
    </w:p>
    <w:p>
      <w:pPr>
        <w:spacing w:after="0" w:line="10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lease obligations, related sublease income, and other future payments due under non-cancelable agreements at December 31, 2020.</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liabilities associated with leases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Right of Use Assets as of</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49,167</w:t>
            </w: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Obligations for leases not included in</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liabilities as of December 31,</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6"/>
              </w:rPr>
              <w:t>28,840</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sublease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28,272</w:t>
            </w:r>
          </w:p>
        </w:tc>
        <w:tc>
          <w:tcPr>
            <w:tcW w:w="0" w:type="dxa"/>
            <w:vAlign w:val="bottom"/>
          </w:tcPr>
          <w:p>
            <w:pPr>
              <w:spacing w:after="0"/>
              <w:rPr>
                <w:sz w:val="1"/>
                <w:szCs w:val="1"/>
                <w:color w:val="auto"/>
              </w:rPr>
            </w:pPr>
          </w:p>
        </w:tc>
      </w:tr>
      <w:tr>
        <w:trPr>
          <w:trHeight w:val="248"/>
        </w:trPr>
        <w:tc>
          <w:tcPr>
            <w:tcW w:w="2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92,731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Obligations for leases not included in the lease liabilities as of December 31, 2020 include commitments under agreements for an office lease for our new corporate headquarters in Los Angeles and a data center in Singapore which have not commenced as of December 31, 2020.</w:t>
      </w:r>
    </w:p>
    <w:p>
      <w:pPr>
        <w:spacing w:after="0" w:line="4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non-cancelable obligations include other agreements in the normal course of business, including an agreement for third-party cloud-managed services. As part of the agreement, we have a minimum commitment to pay $20.0 million over the course of five years, with no annual minimum commitment. As of December 31, 2020, the Company's commitment is $18.0 million.</w:t>
      </w:r>
    </w:p>
    <w:p>
      <w:pPr>
        <w:spacing w:after="0" w:line="4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on February 4, 2021, we entered into a Stock Purchase Agreement with RTL US Holding, Inc., to purchase all of the issued and outstanding shares of capital stock of SpotX, a Delaware corporation and wholly owned subsidiary of RTL, for a purchase price equal to $560 million in cash ("Cash Consideration") and 14 million shares of the Company's common stock. The Cash Consideration is subject to customary working capital and other adjustments. We intend to finance the Cash Consideration in part from cash on our balance sheet and in part through borrowings under the Term Loan Facility. The funding of the Term Loan Facility provided for in the Commitment Letter is contingent on the satisfaction of customary conditions, including the execution and delivery of definitive documentation with respect to credit facilities in accordance with the terms set forth in the Commitment Letter and the consummation of the SpotX acquisition in accordance with the Purchase Agreement.</w:t>
      </w:r>
    </w:p>
    <w:p>
      <w:pPr>
        <w:spacing w:after="0" w:line="67" w:lineRule="exact"/>
        <w:rPr>
          <w:sz w:val="20"/>
          <w:szCs w:val="20"/>
          <w:color w:val="auto"/>
        </w:rPr>
      </w:pPr>
    </w:p>
    <w:p>
      <w:pPr>
        <w:ind w:right="200" w:firstLine="180"/>
        <w:spacing w:after="0" w:line="261" w:lineRule="auto"/>
        <w:rPr>
          <w:sz w:val="20"/>
          <w:szCs w:val="20"/>
          <w:color w:val="auto"/>
        </w:rPr>
      </w:pPr>
      <w:r>
        <w:rPr>
          <w:rFonts w:ascii="Times New Roman" w:cs="Times New Roman" w:eastAsia="Times New Roman" w:hAnsi="Times New Roman"/>
          <w:sz w:val="18"/>
          <w:szCs w:val="18"/>
          <w:color w:val="auto"/>
        </w:rPr>
        <w:t>Our unrecognized tax benefits changes for the year ended December 31, 2020 resulted from a closed IRS audit and the Company's reasonable expectation that federal research and development credits will expire unutilized pursuant to Section 383 of the Code, which allowed us to decrease our unrecognized tax benefit. The Merger with Telaria resulted in an increase to our unrecognized tax benefit for prior year taxes in foreign jurisdictions. The increase to unrecognized tax benefit for the period is not material.</w:t>
      </w:r>
    </w:p>
    <w:p>
      <w:pPr>
        <w:spacing w:after="0" w:line="58"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2020.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40" w:firstLine="18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8" w:lineRule="exact"/>
        <w:rPr>
          <w:sz w:val="20"/>
          <w:szCs w:val="20"/>
          <w:color w:val="auto"/>
        </w:rPr>
      </w:pPr>
    </w:p>
    <w:p>
      <w:pPr>
        <w:ind w:right="300" w:firstLine="177"/>
        <w:spacing w:after="0" w:line="258" w:lineRule="auto"/>
        <w:rPr>
          <w:sz w:val="20"/>
          <w:szCs w:val="20"/>
          <w:color w:val="auto"/>
        </w:rPr>
      </w:pPr>
      <w:r>
        <w:rPr>
          <w:rFonts w:ascii="Times New Roman" w:cs="Times New Roman" w:eastAsia="Times New Roman" w:hAnsi="Times New Roman"/>
          <w:sz w:val="18"/>
          <w:szCs w:val="18"/>
          <w:color w:val="auto"/>
        </w:rPr>
        <w:t>We believe that the following assumptions and estimates have the greatest potential impact on our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and stock-based compensation expense, (v) the assumptions used in the valuation of acquired assets and liabilities in business combinations, and (vi) income taxes, including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realization of tax assets and estimates of tax liabilities. There have been no significant changes in our accounting policies or estimates from those disclosed in our audited consolidated financial statements and notes thereto for the years ended December 31, 2020 and 2019.</w:t>
      </w:r>
    </w:p>
    <w:p>
      <w:pPr>
        <w:spacing w:after="0" w:line="27" w:lineRule="exact"/>
        <w:rPr>
          <w:sz w:val="20"/>
          <w:szCs w:val="20"/>
          <w:color w:val="auto"/>
        </w:rPr>
      </w:pPr>
    </w:p>
    <w:p>
      <w:pPr>
        <w:ind w:firstLine="177"/>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right="40" w:firstLine="177"/>
        <w:spacing w:after="0" w:line="255" w:lineRule="auto"/>
        <w:rPr>
          <w:sz w:val="20"/>
          <w:szCs w:val="20"/>
          <w:color w:val="auto"/>
        </w:rPr>
      </w:pPr>
      <w:r>
        <w:rPr>
          <w:rFonts w:ascii="Times New Roman" w:cs="Times New Roman" w:eastAsia="Times New Roman" w:hAnsi="Times New Roman"/>
          <w:sz w:val="18"/>
          <w:szCs w:val="18"/>
          <w:color w:val="auto"/>
        </w:rPr>
        <w:t>We generate revenue from transactions where we provide a platform for the purchase and sale of digital advertising inventory. We also generate revenue from the fee we charge clients for use of our Demand Manager product, which generally is a percentage of the client's advertising spending on any advertising marketplace. Our platform dynamically connects sellers and 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6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spacing w:after="0" w:line="45" w:lineRule="exact"/>
        <w:rPr>
          <w:sz w:val="20"/>
          <w:szCs w:val="20"/>
          <w:color w:val="auto"/>
        </w:rPr>
      </w:pPr>
    </w:p>
    <w:p>
      <w:pPr>
        <w:ind w:right="40" w:firstLine="180"/>
        <w:spacing w:after="0" w:line="229" w:lineRule="auto"/>
        <w:rPr>
          <w:sz w:val="20"/>
          <w:szCs w:val="20"/>
          <w:color w:val="auto"/>
        </w:rPr>
      </w:pPr>
      <w:r>
        <w:rPr>
          <w:rFonts w:ascii="Times New Roman" w:cs="Times New Roman" w:eastAsia="Times New Roman" w:hAnsi="Times New Roman"/>
          <w:sz w:val="18"/>
          <w:szCs w:val="18"/>
          <w:color w:val="auto"/>
        </w:rPr>
        <w:t>For substantially all transactions on our platform, we have determined that we do not act as the principal in the purchase and sale of digital advertising inventory because we are not the primary obligor as we do not have control of the digital advertising inventory and do not set prices agreed upon within the auction marketplace, and therefore we report revenue on a net basis. However, for certain transactions related to revenue streams acquired in connection with the Merger with Telaria, we report revenue on a gross basis, based primarily on our determination that we act as the primary obligor in the delivery of advertising campaigns for buyers with respect to such transactions.</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w:t>
      </w:r>
    </w:p>
    <w:p>
      <w:pPr>
        <w:spacing w:after="0" w:line="27" w:lineRule="exact"/>
        <w:rPr>
          <w:sz w:val="20"/>
          <w:szCs w:val="20"/>
          <w:color w:val="auto"/>
        </w:rPr>
      </w:pPr>
    </w:p>
    <w:p>
      <w:pPr>
        <w:ind w:right="40" w:firstLine="8"/>
        <w:spacing w:after="0" w:line="252"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w:t>
      </w:r>
    </w:p>
    <w:p>
      <w:pPr>
        <w:spacing w:after="0" w:line="5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amortize internal use software development costs using a straight-line method over the estimated useful life, commencing when the software is ready for its intended use. The straight-line recognition method approximates the manner in which the expected benefit will be derived.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Intangibles</w:t>
      </w:r>
    </w:p>
    <w:p>
      <w:pPr>
        <w:spacing w:after="0" w:line="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spacing w:after="0" w:line="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Long-lived assets, including property and equipment, long-term prepayments, and intangible assets, excluding goodwill, are reviewed for impairment whenever events or changes in circumstances indicate that the carrying amount of an asset may not be recoverable. The evaluation is performed at the lowest level of identifiable cash flows independent of other assets. An impairment loss would be recognized when estimated undiscounted future cash flows generated from the assets are less than their carrying amount. Measurement of an impairment loss would be based on the excess of the carrying amount of the asset group over its fair value.</w:t>
      </w:r>
    </w:p>
    <w:p>
      <w:pPr>
        <w:spacing w:after="0" w:line="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evaluate goodwill annually or more frequently if events or changes in circumstances indicate that goodwill may be impaired. In accordance with guidance related to impairment testing, we have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Compensation expense related to employee stock-based awards is measured and recognized on the fair value of the awards granted. We have granted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7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Stock-based awards issued to non-employees are accounted for at fair value determined by using the Black-Scholes option-pricing model.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judgment. Our use of the Black-Scholes option-pricing model and Monte-Carlo lattice model requires the input of subjective assumptions such as the expected term of the option, the expected volatility of the price of our common stock, risk-free interest rates, the expected dividend yield of our common stock, and the fair value of our common stock. The assumptions used in our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94" w:lineRule="exact"/>
        <w:rPr>
          <w:sz w:val="20"/>
          <w:szCs w:val="20"/>
          <w:color w:val="auto"/>
        </w:rPr>
      </w:pPr>
    </w:p>
    <w:p>
      <w:pPr>
        <w:ind w:right="140" w:firstLine="177"/>
        <w:spacing w:after="0" w:line="256"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our consolidated financial statements from the date of acquisition. We allocate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52" w:lineRule="exact"/>
        <w:rPr>
          <w:sz w:val="20"/>
          <w:szCs w:val="20"/>
          <w:color w:val="auto"/>
        </w:rPr>
      </w:pPr>
    </w:p>
    <w:p>
      <w:pPr>
        <w:ind w:right="140" w:firstLine="177"/>
        <w:spacing w:after="0" w:line="261" w:lineRule="auto"/>
        <w:rPr>
          <w:sz w:val="20"/>
          <w:szCs w:val="20"/>
          <w:color w:val="auto"/>
        </w:rPr>
      </w:pPr>
      <w:r>
        <w:rPr>
          <w:rFonts w:ascii="Times New Roman" w:cs="Times New Roman" w:eastAsia="Times New Roman" w:hAnsi="Times New Roman"/>
          <w:sz w:val="18"/>
          <w:szCs w:val="18"/>
          <w:color w:val="auto"/>
        </w:rPr>
        <w:t>When we issue stock-based or cash awards to an acquired company’s stockholders, we evaluate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177"/>
        <w:spacing w:after="0" w:line="258" w:lineRule="auto"/>
        <w:rPr>
          <w:sz w:val="20"/>
          <w:szCs w:val="20"/>
          <w:color w:val="auto"/>
        </w:rPr>
      </w:pPr>
      <w:r>
        <w:rPr>
          <w:rFonts w:ascii="Times New Roman" w:cs="Times New Roman" w:eastAsia="Times New Roman" w:hAnsi="Times New Roman"/>
          <w:sz w:val="18"/>
          <w:szCs w:val="18"/>
          <w:color w:val="auto"/>
        </w:rPr>
        <w:t>We estimate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U.S. and foreign jurisdictions. Significant judgment is required in evaluating our uncertain tax positions and determining our provision for income taxes.</w:t>
      </w:r>
    </w:p>
    <w:p>
      <w:pPr>
        <w:spacing w:after="0" w:line="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we have adequately reserved for our uncertain tax positions, no assurance can be given that the final tax outcome of these matters will not be different. We adjust these reserves as facts and circumstances change, such as the closing of a tax audit or the refinement of an estimate. To the extent that the final tax outcome of these matters is different than the amounts recorded, such differences will affect the provision for income taxes and the effective tax rate in the period in which such determination is made.</w:t>
      </w:r>
    </w:p>
    <w:p>
      <w:pPr>
        <w:spacing w:after="0" w:line="45"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includes the effect of reserve provisions and changes to reserves that are considered appropriate as well as the related net interest and penalties. In addition, we are subject to the continuous examination of our income tax returns by the Internal Revenue Services ("IRS") and other tax authorities which may assert assessments against us. We regularly assess the likelihood of adverse outcomes resulting from these examinations and assessments to determine the adequacy of our provision for income taxes.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2 to our "Notes to Consolidated Financial Statements" under the caption "Organization and Summary of Significant Accounting Policies" is incorporated herein by 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02" w:lineRule="exact"/>
        <w:rPr>
          <w:sz w:val="20"/>
          <w:szCs w:val="20"/>
          <w:color w:val="auto"/>
        </w:rPr>
      </w:pPr>
    </w:p>
    <w:p>
      <w:pPr>
        <w:ind w:right="40" w:firstLine="177"/>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consist of cash, money market funds, and commercial paper, with original maturities of three months or less. Our investments consist of repurchase agreements, U.S. government agency debt, and U.S. treasury debt.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December 31, 2020.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foreign currency risks related to our revenue and expenses denominated in currencies other than the U.S. Dollar, principally the British Pounds,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December 31, 2020, including intercompany balances, would result in a foreign currency loss of approximately $3.1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MAGNITE,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340" w:type="dxa"/>
            <w:vAlign w:val="bottom"/>
            <w:shd w:val="clear" w:color="auto" w:fill="CCEEFF"/>
          </w:tcPr>
          <w:p>
            <w:pPr>
              <w:jc w:val="right"/>
              <w:ind w:right="25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34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340" w:type="dxa"/>
            <w:vAlign w:val="bottom"/>
            <w:shd w:val="clear" w:color="auto" w:fill="CCEEFF"/>
          </w:tcPr>
          <w:p>
            <w:pPr>
              <w:jc w:val="right"/>
              <w:ind w:right="25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67</w:t>
              </w:r>
            </w:hyperlink>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6340" w:type="dxa"/>
            <w:vAlign w:val="bottom"/>
          </w:tcPr>
          <w:p>
            <w:pPr>
              <w:jc w:val="right"/>
              <w:ind w:right="25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68</w:t>
              </w:r>
            </w:hyperlink>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6340" w:type="dxa"/>
            <w:vAlign w:val="bottom"/>
            <w:shd w:val="clear" w:color="auto" w:fill="CCEEFF"/>
          </w:tcPr>
          <w:p>
            <w:pPr>
              <w:jc w:val="right"/>
              <w:ind w:right="250"/>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69</w:t>
              </w:r>
            </w:hyperlink>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340" w:type="dxa"/>
            <w:vAlign w:val="bottom"/>
          </w:tcPr>
          <w:p>
            <w:pPr>
              <w:jc w:val="right"/>
              <w:ind w:right="25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70</w:t>
              </w:r>
            </w:hyperlink>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340" w:type="dxa"/>
            <w:vAlign w:val="bottom"/>
            <w:shd w:val="clear" w:color="auto" w:fill="CCEEFF"/>
          </w:tcPr>
          <w:p>
            <w:pPr>
              <w:jc w:val="right"/>
              <w:ind w:right="25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71</w:t>
              </w:r>
            </w:hyperlink>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340" w:type="dxa"/>
            <w:vAlign w:val="bottom"/>
          </w:tcPr>
          <w:p>
            <w:pPr>
              <w:jc w:val="right"/>
              <w:ind w:right="25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73</w:t>
              </w:r>
            </w:hyperlink>
          </w:p>
        </w:tc>
      </w:tr>
      <w:tr>
        <w:trPr>
          <w:trHeight w:val="832"/>
        </w:trPr>
        <w:tc>
          <w:tcPr>
            <w:tcW w:w="4900" w:type="dxa"/>
            <w:vAlign w:val="bottom"/>
          </w:tcPr>
          <w:p>
            <w:pPr>
              <w:spacing w:after="0"/>
              <w:rPr>
                <w:sz w:val="24"/>
                <w:szCs w:val="24"/>
                <w:color w:val="auto"/>
              </w:rPr>
            </w:pPr>
          </w:p>
        </w:tc>
        <w:tc>
          <w:tcPr>
            <w:tcW w:w="63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62</w:t>
            </w:r>
          </w:p>
        </w:tc>
      </w:tr>
      <w:tr>
        <w:trPr>
          <w:trHeight w:val="115"/>
        </w:trPr>
        <w:tc>
          <w:tcPr>
            <w:tcW w:w="490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252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Magnite,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Magnite, Inc. and subsidiaries (the "Company") as of December 31, 2020 and 2019, the related consolidated statements of operations, comprehensive loss, stockholders' equity, and cash flows for each of the three years in the period ended December 31, 2020 and the related notes (collectively referred to as the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of internal control over financial reporting certain elements related to Telaria, Inc., which was acquired on April 1, 2020. The excluded elements of the Telaria business represented 25% of the Company’s revenue and 25% of the Company’s total assets as of and for the year ended December 31, 2020. Accordingly, our audit did not include the internal control over financial reporting for certain elements related to Telaria,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 – Telaria, Inc. Merger – Technology, Customer Relationships, and In-process Research and Development Intangible Assets — Refer to Note 10 to the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00"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On April 1, 2020, the Company completed a stock for stock merger with Telaria, Inc. whereby each share of Telaria common stock issued and outstanding was converted into 1.082 shares of the Company’s common stock. This resulted in the issuance of 52,098,945 shares of the Company’s common stock. The Company accounted for the acquisition using the acquisition method of accounting for business combinations and the fair value of the purchase price of $287,417,460 was allocated to the assets acquired and liabilities assumed based on their respective fair values, including the technology, customer relationships, and in-process research and development intangible assets of $58,000,000, $36,300,000, and $8,030,000, respectively. Management estimated the fair value of technology, customer relationships, and in-process research and development intangible assets using a discounted cash flow approach, which included an analysis of future cash flows expected to be generated by each intangible asset. The fair value of the acquired technology and in-process research and development was valued using The Revenue Split Method. The Company used the Loss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Revenue and Income Method in its valuation of the existing Customer Relationships. The fair value determination of these intangible assets required management to make significant, subjective estimates and assumptions related to forecasted future cash flows and the selected discount rate.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identified the aforementioned intangible assets as a critical audit matter because of the significant estimates and assumptions management makes to determine the fair value of these intangible assets. This required a high degree of auditor judgment and an increased extent of effort when performing audit procedures, including the need to involve our fair value specialists.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forecasts of future cash flows and the selection of the discount rate for the technology, customer relationships, and in-process research and development intangible assets included the following, among others:</w:t>
      </w:r>
    </w:p>
    <w:p>
      <w:pPr>
        <w:spacing w:after="0" w:line="121" w:lineRule="exact"/>
        <w:rPr>
          <w:sz w:val="20"/>
          <w:szCs w:val="20"/>
          <w:color w:val="auto"/>
        </w:rPr>
      </w:pPr>
    </w:p>
    <w:p>
      <w:pPr>
        <w:ind w:left="660" w:hanging="328"/>
        <w:spacing w:after="0" w:line="27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intangible assets, including management’s controls over forecasts of future cash flows and the determination of the discount rate.</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management’s forecasts of future cash flows by comparing the revenue and disaggregated cost projections to historical results, certain peer companies, third-party industry forecasts, as well as performing inquiries with certain members of management.</w:t>
      </w:r>
    </w:p>
    <w:p>
      <w:pPr>
        <w:spacing w:after="0" w:line="1" w:lineRule="exact"/>
        <w:rPr>
          <w:rFonts w:ascii="Times New Roman" w:cs="Times New Roman" w:eastAsia="Times New Roman" w:hAnsi="Times New Roman"/>
          <w:sz w:val="17"/>
          <w:szCs w:val="17"/>
          <w:color w:val="auto"/>
        </w:rPr>
      </w:pPr>
    </w:p>
    <w:p>
      <w:pPr>
        <w:ind w:left="660" w:right="5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valuation methodology used to determined fair value along with the reasonableness of the discount rate, including independently estimating the discount rate using a process consistent with generally accepted valuation practices.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estimated future cash flows were consistent with evidence obtained in other areas of the audit.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Highly Automated Systems to Process and Record Revenue - Refer to Note 4 to the financial statements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revenue consists of transaction-based fees and is made up of a significant volume of low-dollar transactions, sourced from multiple systems, databases, and other tools. Due to the fact that revenue transactions do not consist of the transfer of physical goods, but are web- or app-based, the processing and recording of revenue is highly automated and is based on contractual terms with advertisers and publishers. Because of the nature of the Company’s transaction-based fees, the Company uses automated systems to process and record its revenue transactions.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identified revenue as a critical audit matter because the of the information technology (IT)-dependent nature of the Company’s revenue stream and the significant audit effort required in performing our audit procedures, including involvement of professionals with expertise in IT to identify, test, and evaluate the Company’s systems, software applications, and automated controls related to the revenue cycle.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systems to process revenue transactions included the following, among others:</w:t>
      </w:r>
    </w:p>
    <w:p>
      <w:pPr>
        <w:spacing w:after="0" w:line="18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w:t>
      </w:r>
    </w:p>
    <w:p>
      <w:pPr>
        <w:spacing w:after="0" w:line="49" w:lineRule="exact"/>
        <w:rPr>
          <w:rFonts w:ascii="Times New Roman" w:cs="Times New Roman" w:eastAsia="Times New Roman" w:hAnsi="Times New Roman"/>
          <w:sz w:val="18"/>
          <w:szCs w:val="18"/>
          <w:color w:val="auto"/>
        </w:rPr>
      </w:pPr>
    </w:p>
    <w:p>
      <w:pPr>
        <w:ind w:left="1300" w:right="540" w:hanging="320"/>
        <w:spacing w:after="0" w:line="266"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significant systems used to process revenue transactions and tested the effectiveness of general IT controls over the systems, including testing of user access controls, change management controls, and IT operations controls.</w:t>
      </w:r>
    </w:p>
    <w:p>
      <w:pPr>
        <w:ind w:left="1300" w:right="60" w:hanging="320"/>
        <w:spacing w:after="0" w:line="273"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system interface controls and automated controls within the revenue process, as well as controls designed to ensure the accuracy and completeness of revenue.</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within the relevant revenue business processes, including those in place to reconcile the various systems to the Company’s general ledger.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recorded revenue and revenue trends and used data analytics to analyze transactional revenue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revenue for completeness and accuracy by confirming related accounts receivable selections.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proof of cash reconciliation that reconciled cash to revenue and related revenue accounts.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February 24,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4"/>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88,888</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217,571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313,050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lease asset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259,439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liabilities - current portion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267,499</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 portion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283,184</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$0.00001 par value, 10,000 shares authorized at December 31, 2020 and December 31,</w:t>
            </w:r>
          </w:p>
        </w:tc>
        <w:tc>
          <w:tcPr>
            <w:tcW w:w="200" w:type="dxa"/>
            <w:vAlign w:val="bottom"/>
          </w:tcPr>
          <w:p>
            <w:pPr>
              <w:spacing w:after="0"/>
              <w:rPr>
                <w:sz w:val="15"/>
                <w:szCs w:val="15"/>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 0 shares issued and outstanding at December 31, 2020 and December 31, 2019</w:t>
            </w:r>
          </w:p>
        </w:tc>
        <w:tc>
          <w:tcPr>
            <w:tcW w:w="20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$0.00001 par value; 500,000 shares authorized at December 31, 2020 and</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December 31, 2019; 114,029 and 53,888 shares issued and outstanding at December 31, 2020 and</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2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453,064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(341,084)</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111,936</w:t>
            </w:r>
          </w:p>
        </w:tc>
        <w:tc>
          <w:tcPr>
            <w:tcW w:w="0" w:type="dxa"/>
            <w:vAlign w:val="bottom"/>
          </w:tcPr>
          <w:p>
            <w:pPr>
              <w:spacing w:after="0"/>
              <w:rPr>
                <w:sz w:val="1"/>
                <w:szCs w:val="1"/>
                <w:color w:val="auto"/>
              </w:rPr>
            </w:pPr>
          </w:p>
        </w:tc>
      </w:tr>
      <w:tr>
        <w:trPr>
          <w:trHeight w:val="223"/>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395,120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Pr>
          <w:p>
            <w:pPr>
              <w:spacing w:after="0"/>
              <w:rPr>
                <w:sz w:val="16"/>
                <w:szCs w:val="16"/>
                <w:color w:val="auto"/>
              </w:rPr>
            </w:pP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and 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(62,122)</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90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9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30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20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120" w:type="dxa"/>
            <w:vAlign w:val="bottom"/>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Balance at December 31, 2017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164,611</w:t>
            </w:r>
          </w:p>
        </w:tc>
        <w:tc>
          <w:tcPr>
            <w:tcW w:w="0" w:type="dxa"/>
            <w:vAlign w:val="bottom"/>
          </w:tcPr>
          <w:p>
            <w:pPr>
              <w:spacing w:after="0"/>
              <w:rPr>
                <w:sz w:val="1"/>
                <w:szCs w:val="1"/>
                <w:color w:val="auto"/>
              </w:rPr>
            </w:pPr>
          </w:p>
        </w:tc>
      </w:tr>
      <w:tr>
        <w:trPr>
          <w:trHeight w:val="240"/>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stock awards,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0"/>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16,802</w:t>
            </w:r>
          </w:p>
        </w:tc>
        <w:tc>
          <w:tcPr>
            <w:tcW w:w="0" w:type="dxa"/>
            <w:vAlign w:val="bottom"/>
          </w:tcPr>
          <w:p>
            <w:pPr>
              <w:spacing w:after="0"/>
              <w:rPr>
                <w:sz w:val="1"/>
                <w:szCs w:val="1"/>
                <w:color w:val="auto"/>
              </w:rPr>
            </w:pPr>
          </w:p>
        </w:tc>
      </w:tr>
      <w:tr>
        <w:trPr>
          <w:trHeight w:val="240"/>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(61,822)</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(61,822)</w:t>
            </w:r>
          </w:p>
        </w:tc>
        <w:tc>
          <w:tcPr>
            <w:tcW w:w="0" w:type="dxa"/>
            <w:vAlign w:val="bottom"/>
          </w:tcPr>
          <w:p>
            <w:pPr>
              <w:spacing w:after="0"/>
              <w:rPr>
                <w:sz w:val="1"/>
                <w:szCs w:val="1"/>
                <w:color w:val="auto"/>
              </w:rPr>
            </w:pPr>
          </w:p>
        </w:tc>
      </w:tr>
      <w:tr>
        <w:trPr>
          <w:trHeight w:val="220"/>
        </w:trPr>
        <w:tc>
          <w:tcPr>
            <w:tcW w:w="3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Balance at Balance at December 31, 2018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51,159</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433,877</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(315,606)</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118,013</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40"/>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stock awards, net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0" w:type="dxa"/>
            <w:vAlign w:val="bottom"/>
          </w:tcPr>
          <w:p>
            <w:pPr>
              <w:spacing w:after="0"/>
              <w:rPr>
                <w:sz w:val="1"/>
                <w:szCs w:val="1"/>
                <w:color w:val="auto"/>
              </w:rPr>
            </w:pPr>
          </w:p>
        </w:tc>
      </w:tr>
      <w:tr>
        <w:trPr>
          <w:trHeight w:val="240"/>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19,392</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40"/>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(25,478)</w:t>
            </w: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111,936</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associated with the Merger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Exchange of stock options and RSU related to Merger</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(53,432)</w:t>
            </w: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114,029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(394,516)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381,613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(61,822)</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35,338</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16,282</w:t>
            </w:r>
          </w:p>
        </w:tc>
        <w:tc>
          <w:tcPr>
            <w:tcW w:w="0" w:type="dxa"/>
            <w:vAlign w:val="bottom"/>
          </w:tcPr>
          <w:p>
            <w:pPr>
              <w:spacing w:after="0"/>
              <w:rPr>
                <w:sz w:val="1"/>
                <w:szCs w:val="1"/>
                <w:color w:val="auto"/>
              </w:rPr>
            </w:pP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available for sale securities</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foreign currency gains,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0" w:type="dxa"/>
            <w:vAlign w:val="bottom"/>
          </w:tcPr>
          <w:p>
            <w:pPr>
              <w:spacing w:after="0"/>
              <w:rPr>
                <w:sz w:val="1"/>
                <w:szCs w:val="1"/>
                <w:color w:val="auto"/>
              </w:rPr>
            </w:pPr>
          </w:p>
        </w:tc>
      </w:tr>
      <w:tr>
        <w:trPr>
          <w:trHeight w:val="213"/>
        </w:trPr>
        <w:tc>
          <w:tcPr>
            <w:tcW w:w="6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of business acquisitions: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(40,688)</w:t>
            </w:r>
          </w:p>
        </w:tc>
        <w:tc>
          <w:tcPr>
            <w:tcW w:w="0" w:type="dxa"/>
            <w:vAlign w:val="bottom"/>
          </w:tcPr>
          <w:p>
            <w:pPr>
              <w:spacing w:after="0"/>
              <w:rPr>
                <w:sz w:val="1"/>
                <w:szCs w:val="1"/>
                <w:color w:val="auto"/>
              </w:rPr>
            </w:pPr>
          </w:p>
        </w:tc>
      </w:tr>
      <w:tr>
        <w:trPr>
          <w:trHeight w:val="213"/>
        </w:trPr>
        <w:tc>
          <w:tcPr>
            <w:tcW w:w="6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26,612</w:t>
            </w:r>
          </w:p>
        </w:tc>
        <w:tc>
          <w:tcPr>
            <w:tcW w:w="0" w:type="dxa"/>
            <w:vAlign w:val="bottom"/>
          </w:tcPr>
          <w:p>
            <w:pPr>
              <w:spacing w:after="0"/>
              <w:rPr>
                <w:sz w:val="1"/>
                <w:szCs w:val="1"/>
                <w:color w:val="auto"/>
              </w:rPr>
            </w:pPr>
          </w:p>
        </w:tc>
      </w:tr>
      <w:tr>
        <w:trPr>
          <w:trHeight w:val="213"/>
        </w:trPr>
        <w:tc>
          <w:tcPr>
            <w:tcW w:w="6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0" w:type="dxa"/>
            <w:vAlign w:val="bottom"/>
          </w:tcPr>
          <w:p>
            <w:pPr>
              <w:spacing w:after="0"/>
              <w:rPr>
                <w:sz w:val="1"/>
                <w:szCs w:val="1"/>
                <w:color w:val="auto"/>
              </w:rPr>
            </w:pPr>
          </w:p>
        </w:tc>
      </w:tr>
      <w:tr>
        <w:trPr>
          <w:trHeight w:val="212"/>
        </w:trPr>
        <w:tc>
          <w:tcPr>
            <w:tcW w:w="6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(22,686)</w:t>
            </w:r>
          </w:p>
        </w:tc>
        <w:tc>
          <w:tcPr>
            <w:tcW w:w="0" w:type="dxa"/>
            <w:vAlign w:val="bottom"/>
          </w:tcPr>
          <w:p>
            <w:pPr>
              <w:spacing w:after="0"/>
              <w:rPr>
                <w:sz w:val="1"/>
                <w:szCs w:val="1"/>
                <w:color w:val="auto"/>
              </w:rPr>
            </w:pPr>
          </w:p>
        </w:tc>
      </w:tr>
      <w:tr>
        <w:trPr>
          <w:trHeight w:val="19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0" w:type="dxa"/>
            <w:vAlign w:val="bottom"/>
          </w:tcPr>
          <w:p>
            <w:pPr>
              <w:spacing w:after="0"/>
              <w:rPr>
                <w:sz w:val="1"/>
                <w:szCs w:val="1"/>
                <w:color w:val="auto"/>
              </w:rPr>
            </w:pP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internal use software development costs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available-for-sale securities</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of available-for-sale securities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62,650</w:t>
            </w:r>
          </w:p>
        </w:tc>
        <w:tc>
          <w:tcPr>
            <w:tcW w:w="0" w:type="dxa"/>
            <w:vAlign w:val="bottom"/>
          </w:tcPr>
          <w:p>
            <w:pPr>
              <w:spacing w:after="0"/>
              <w:rPr>
                <w:sz w:val="1"/>
                <w:szCs w:val="1"/>
                <w:color w:val="auto"/>
              </w:rPr>
            </w:pP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of available-for-sale securities</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0" w:type="dxa"/>
            <w:vAlign w:val="bottom"/>
          </w:tcPr>
          <w:p>
            <w:pPr>
              <w:spacing w:after="0"/>
              <w:rPr>
                <w:sz w:val="1"/>
                <w:szCs w:val="1"/>
                <w:color w:val="auto"/>
              </w:rPr>
            </w:pPr>
          </w:p>
        </w:tc>
      </w:tr>
      <w:tr>
        <w:trPr>
          <w:trHeight w:val="212"/>
        </w:trPr>
        <w:tc>
          <w:tcPr>
            <w:tcW w:w="65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27,947</w:t>
            </w:r>
          </w:p>
        </w:tc>
        <w:tc>
          <w:tcPr>
            <w:tcW w:w="0" w:type="dxa"/>
            <w:vAlign w:val="bottom"/>
          </w:tcPr>
          <w:p>
            <w:pPr>
              <w:spacing w:after="0"/>
              <w:rPr>
                <w:sz w:val="1"/>
                <w:szCs w:val="1"/>
                <w:color w:val="auto"/>
              </w:rPr>
            </w:pPr>
          </w:p>
        </w:tc>
      </w:tr>
      <w:tr>
        <w:trPr>
          <w:trHeight w:val="19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145"/>
        </w:trPr>
        <w:tc>
          <w:tcPr>
            <w:tcW w:w="6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76,642</w:t>
            </w:r>
          </w:p>
        </w:tc>
        <w:tc>
          <w:tcPr>
            <w:tcW w:w="0" w:type="dxa"/>
            <w:vAlign w:val="bottom"/>
          </w:tcPr>
          <w:p>
            <w:pPr>
              <w:spacing w:after="0"/>
              <w:rPr>
                <w:sz w:val="1"/>
                <w:szCs w:val="1"/>
                <w:color w:val="auto"/>
              </w:rPr>
            </w:pPr>
          </w:p>
        </w:tc>
      </w:tr>
      <w:tr>
        <w:trPr>
          <w:trHeight w:val="212"/>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88,888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80,452</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80,452</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 non-current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9"/>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17"/>
                <w:szCs w:val="17"/>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new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and options issued for Merger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02"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8"/>
          <w:szCs w:val="18"/>
          <w:color w:val="auto"/>
        </w:rPr>
        <w:t>Magnite, Inc. ("Magnite" or the "Company"), formerly known as The Rubicon Project, Inc., was formed in Delaware and began operations on April 20, 2007. On April 1, 2020, Magnite completed a stock-for-stock merger ("Merger") with Telaria, Inc., ("Telaria"), a leading provider of connected television ("CTV") technology. The Company operates a sell side advertising platform that offers buyers and sellers of digital advertising a single partner for transacting globally across all channels, formats, and auction types. The Company is headquartered in Los Angeles, California.</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8, 2020, the Company voluntarily delisted its common stock from the New York Stock Exchange ("NYSE") and commenced listing on The Nasdaq Global Select Market of The Nasdaq Stock Market LLC ("Nasdaq"). On June 30, 2020, the Company changed its name from "The Rubicon Project, Inc." to "Magnite, Inc." In connection with the name change, the Company also changed its ticker symbol from "RUBI" to "MGNI." Magnite has its principal offices in Los Angeles, New York City, London, and Sydney, and additional offices in Europe, Asia, North America, and South America.</w:t>
      </w:r>
    </w:p>
    <w:p>
      <w:pPr>
        <w:spacing w:after="0" w:line="139" w:lineRule="exact"/>
        <w:rPr>
          <w:sz w:val="20"/>
          <w:szCs w:val="20"/>
          <w:color w:val="auto"/>
        </w:rPr>
      </w:pPr>
    </w:p>
    <w:p>
      <w:pPr>
        <w:ind w:firstLine="177"/>
        <w:spacing w:after="0" w:line="256" w:lineRule="auto"/>
        <w:rPr>
          <w:sz w:val="20"/>
          <w:szCs w:val="20"/>
          <w:color w:val="auto"/>
        </w:rPr>
      </w:pPr>
      <w:r>
        <w:rPr>
          <w:rFonts w:ascii="Times New Roman" w:cs="Times New Roman" w:eastAsia="Times New Roman" w:hAnsi="Times New Roman"/>
          <w:sz w:val="18"/>
          <w:szCs w:val="18"/>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160"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Sellers monetize their inventory through the Company’s platform by seamlessly connecting to a global market of integrated buyers that transact through real-time bidding, which includes direct sale of premium inventory to a buyer, referred to as private marketplace, and open auction bidding, where buyers bid against each other in a real-time auction for the right to purchase a publisher’s inventory, referred to as open marketplace.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2—Organization and Summary of Significant Accounting Policies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02" w:lineRule="exact"/>
        <w:rPr>
          <w:sz w:val="20"/>
          <w:szCs w:val="20"/>
          <w:color w:val="auto"/>
        </w:rPr>
      </w:pPr>
    </w:p>
    <w:p>
      <w:pPr>
        <w:ind w:right="100" w:firstLine="177"/>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7"/>
          <w:szCs w:val="17"/>
          <w:color w:val="auto"/>
        </w:rPr>
        <w:t>Amounts for merger and restructuring costs incurred in the year ended December 31, 2019 have been reclassified to conform to the presentation for the year ended December 31, 2020 consolidated statements of operations. Reclassifications consist of $2.0 million from general and administrative expenses to merger and restructuring costs in the consolidated statement of operations for the year ended December 31, 2019. These expenses were related to professional services associated with the Merger with Telaria. The Merger with Telaria was announced during December 2019, during which period the Company was incurring such expenses; however, the Company did not separately present the expenses in the 2019 consolidated statement of operations.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02" w:lineRule="exact"/>
        <w:rPr>
          <w:sz w:val="20"/>
          <w:szCs w:val="20"/>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20" w:firstLine="177"/>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and disclosed financial statements and accompanying footnotes. Due to the economic</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uncertainty as a result of the COVID-19 pandemic, it has become more difficult to apply certain assumptions and judgments into these estimates. The extent of the impact of COVID-19 pandemic on the Company's operational and financial performance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As of the date of issuance of these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151"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the useful lives of intangible assets, internal use software development costs, and property and equipment, (iv) valuation of long-lived assets and their recoverability, including goodwill, (v) the realization of tax assets and estimates of tax liabilities, (vi) assumptions used in valuation models to determine the fair value of stock-based awards, (vii) fair value of financial instruments, (viii) the recognition and disclosure of contingent liabilities, and (ix) the assumptions used in valuing acquired assets and assumed liabilities in business combinations.</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estimated useful lives of internal-use software development costs, assumptions used in the valuation models to determine the fair value of stock options and stock-based compensation expense, business combinations, estimated useful lives of long-lived assets, recoverability of intangible assets and goodwill, the assumptions used in the valuation of acquired assets and liabilities in business combinations, and income taxes, including the realization of tax assets and estimates of tax liabilities. require the selection of appropriate valuation methodologies and models, and significant judgment in evaluating ranges of assumptions and financial inputs. Actual results may differ materially from those estimates under different assumptions or circumstances.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On January 1, 2018, the Company adopted Accounting Standards Update 2014-09—Revenue from Contracts with Customers (Topic 606) ("ASU 2014-09") using a modified retrospective approach applied to all contracts that generated revenue in the preceding year. The adoption of this guidance did not have an impact on the amount or timing of revenue recognized by the Company.</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generates revenue from transactions where it provides a platform for the purchase and sale of digital advertising inventory. The Company also generates revenue from the fee it charges clients for use of its Demand Manager product, which generally is a percentage of the client's advertising spending on any advertising marketplace.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The Company does not have arrangements with multiple performance obligations. The Company considers the following when determining if a contract exists</w:t>
      </w:r>
    </w:p>
    <w:p>
      <w:pPr>
        <w:spacing w:after="0" w:line="5"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approval by all parties, (ii) identification of each party’s rights regarding the goods or services to be transferred, (iii) specified payment terms,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substance of the contract, and (v) collectability of substantially all of the consideration is probable.</w:t>
      </w:r>
    </w:p>
    <w:p>
      <w:pPr>
        <w:spacing w:after="0" w:line="166" w:lineRule="exact"/>
        <w:rPr>
          <w:sz w:val="20"/>
          <w:szCs w:val="20"/>
          <w:color w:val="auto"/>
        </w:rPr>
      </w:pPr>
    </w:p>
    <w:p>
      <w:pPr>
        <w:ind w:right="280" w:firstLine="177"/>
        <w:spacing w:after="0" w:line="266"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and is based on an evaluation of the terms of each arrangement, none of which are considered presumptive or determinative.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classifies its expenses into the following categories:</w:t>
      </w:r>
    </w:p>
    <w:p>
      <w:pPr>
        <w:spacing w:after="0" w:line="183" w:lineRule="exact"/>
        <w:rPr>
          <w:sz w:val="20"/>
          <w:szCs w:val="20"/>
          <w:color w:val="auto"/>
        </w:rPr>
      </w:pPr>
    </w:p>
    <w:p>
      <w:pPr>
        <w:ind w:right="60" w:firstLine="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The Company's cost of revenue consists primarily of data center costs, bandwidth costs, ad protection costs,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 of hardware supporting the Company's revenue-producing platform, amortization of software costs for the development of the Company's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spacing w:after="0" w:line="142" w:lineRule="exact"/>
        <w:rPr>
          <w:sz w:val="20"/>
          <w:szCs w:val="20"/>
          <w:color w:val="auto"/>
        </w:rPr>
      </w:pPr>
    </w:p>
    <w:p>
      <w:pPr>
        <w:jc w:val="both"/>
        <w:ind w:right="180" w:firstLine="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The Company's sales and marketing expenses consist primarily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professional services, and amortization expense associated with client relationships and backlog from the Company's business acquisitions and, to a lesser extent, facilities-related costs and depreciation and amortization. The Company's sales organization focuses on increasing the adoption of the Company's solution by existing and new buyers and sellers. The Company amortizes acquired intangibles associated with client relationships and backlog from its business acquisitions over their estimated useful lives.</w:t>
      </w:r>
    </w:p>
    <w:p>
      <w:pPr>
        <w:spacing w:after="0" w:line="155"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The Company's technology and development expenses consist primarily of personnel costs, including salaries,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stock-based compensation, and professional services associated with the ongoing development and maintenance of the Company's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amortizes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spacing w:after="0" w:line="148" w:lineRule="exact"/>
        <w:rPr>
          <w:sz w:val="20"/>
          <w:szCs w:val="20"/>
          <w:color w:val="auto"/>
        </w:rPr>
      </w:pPr>
    </w:p>
    <w:p>
      <w:pPr>
        <w:jc w:val="both"/>
        <w:ind w:right="160" w:firstLine="1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The Company's general and administrative expenses consist primarily of personnel costs, including salaries, bonuses,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stock-based compensation, associated with the Company's executive, finance, legal, human resources, compliance, and other administrative personnel, as well as accounting and legal professional services fees, facilities-related costs and depreciation and amortization, and other corporate-related expenses.</w:t>
      </w:r>
    </w:p>
    <w:p>
      <w:pPr>
        <w:spacing w:after="0" w:line="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also include amortization of internal use software development costs and acquired intangible assets from the Company's business acquisitions over their estimated useful lives that relate to general and administrative functions.</w:t>
      </w:r>
    </w:p>
    <w:p>
      <w:pPr>
        <w:spacing w:after="0" w:line="139" w:lineRule="exact"/>
        <w:rPr>
          <w:sz w:val="20"/>
          <w:szCs w:val="20"/>
          <w:color w:val="auto"/>
        </w:rPr>
      </w:pPr>
    </w:p>
    <w:p>
      <w:pPr>
        <w:jc w:val="both"/>
        <w:ind w:right="26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and Restructuring Costs. </w:t>
      </w:r>
      <w:r>
        <w:rPr>
          <w:rFonts w:ascii="Times New Roman" w:cs="Times New Roman" w:eastAsia="Times New Roman" w:hAnsi="Times New Roman"/>
          <w:sz w:val="18"/>
          <w:szCs w:val="18"/>
          <w:color w:val="auto"/>
        </w:rPr>
        <w:t>The Company's merger and restructuring costs consist primarily of professional service fees associated with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acquisition activities, and of cash-based employee termination costs and stock-based compensation charges associated with Merger or restructuring activities, and of other restructuring activities, including facility closures and relocation costs.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Compensation expense related to employee stock-based awards is measured and recognized in the consolidated financial statements based on the fair value of the awards granted. The Company granted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Stock-based awards issued to non-employees are accounted for at fair value determined by using the Black-Scholes option-pricing model.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assumptions and estimates used in the Black-Scholes pricing model are as follows:</w:t>
      </w:r>
    </w:p>
    <w:p>
      <w:pPr>
        <w:spacing w:after="0" w:line="196" w:lineRule="exact"/>
        <w:rPr>
          <w:sz w:val="20"/>
          <w:szCs w:val="20"/>
          <w:color w:val="auto"/>
        </w:rPr>
      </w:pPr>
    </w:p>
    <w:p>
      <w:pPr>
        <w:ind w:right="2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common stock is based on the closing price of the Company's common stock as reported on the NYSE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w:t>
      </w:r>
    </w:p>
    <w:p>
      <w:pPr>
        <w:spacing w:after="0" w:line="118" w:lineRule="exact"/>
        <w:rPr>
          <w:sz w:val="20"/>
          <w:szCs w:val="20"/>
          <w:color w:val="auto"/>
        </w:rPr>
      </w:pPr>
    </w:p>
    <w:p>
      <w:pPr>
        <w:ind w:right="34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used in the Black-Scholes option-pricing model on the yields of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 maturities appropriate for the term of stock option awards.</w:t>
      </w:r>
    </w:p>
    <w:p>
      <w:pPr>
        <w:spacing w:after="0" w:line="118" w:lineRule="exact"/>
        <w:rPr>
          <w:sz w:val="20"/>
          <w:szCs w:val="20"/>
          <w:color w:val="auto"/>
        </w:rPr>
      </w:pPr>
    </w:p>
    <w:p>
      <w:pPr>
        <w:jc w:val="both"/>
        <w:ind w:right="28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employee options that contain service conditions, the Company applies the simplified approach, in which the expected term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presumed to be the mid-point between the vesting date and the expiration date of the award. The expected term of employee stock options that contain performance conditions represents the weighted-average period that the stock options are estimated to remain outstanding.</w:t>
      </w:r>
    </w:p>
    <w:p>
      <w:pPr>
        <w:spacing w:after="0" w:line="146"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For grants issued in periods in which the Company did not have significant trading history for the Company’s common stock,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the price volatility based on the historical volatilities of a publicly traded peer group based on daily price observations over a period equivalent to the expected term of the stock option grants. For those grants issued in periods in which the Company has sufficient history, the computation of the expected volatility assumption is based on the historical volatility of the Company’s common stock.</w:t>
      </w:r>
    </w:p>
    <w:p>
      <w:pPr>
        <w:spacing w:after="0" w:line="139" w:lineRule="exact"/>
        <w:rPr>
          <w:sz w:val="20"/>
          <w:szCs w:val="20"/>
          <w:color w:val="auto"/>
        </w:rPr>
      </w:pPr>
    </w:p>
    <w:p>
      <w:pPr>
        <w:jc w:val="both"/>
        <w:ind w:right="4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dividend yield assumption is based on the Company’s history and current expectations of dividend payouts.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any cash dividends on its common stock and does not anticipate paying any cash dividends in the foreseeable future, so the Company used an expected dividend yield of zero.</w:t>
      </w:r>
    </w:p>
    <w:p>
      <w:pPr>
        <w:spacing w:after="0" w:line="135"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Determining the fair value of stock-based awards using a pricing model requires judgment. The Company’s use of the Black-Scholes option-pricing model requires the input of subjective assumptions such as the expected term of the award, the expected volatility of the price of the Company’s common stock, risk-free interest rates, and the expected dividend yield of the Company’s common stock.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56" w:lineRule="exact"/>
        <w:rPr>
          <w:sz w:val="20"/>
          <w:szCs w:val="20"/>
          <w:color w:val="auto"/>
        </w:rPr>
      </w:pPr>
    </w:p>
    <w:p>
      <w:pPr>
        <w:ind w:right="400" w:firstLine="180"/>
        <w:spacing w:after="0" w:line="282" w:lineRule="auto"/>
        <w:rPr>
          <w:sz w:val="20"/>
          <w:szCs w:val="20"/>
          <w:color w:val="auto"/>
        </w:rPr>
      </w:pPr>
      <w:r>
        <w:rPr>
          <w:rFonts w:ascii="Times New Roman" w:cs="Times New Roman" w:eastAsia="Times New Roman" w:hAnsi="Times New Roman"/>
          <w:sz w:val="18"/>
          <w:szCs w:val="18"/>
          <w:color w:val="auto"/>
        </w:rPr>
        <w:t>Due to the full valuation allowance provided on its net deferred tax assets, the Company has not recorded any tax benefit attributable to stock-based awards for the years ended December 31, 2020, 2019, and 2018.</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right="60" w:firstLine="180"/>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49" w:lineRule="exact"/>
        <w:rPr>
          <w:sz w:val="20"/>
          <w:szCs w:val="20"/>
          <w:color w:val="auto"/>
        </w:rPr>
      </w:pPr>
    </w:p>
    <w:p>
      <w:pPr>
        <w:ind w:right="100" w:firstLine="170"/>
        <w:spacing w:after="0" w:line="266" w:lineRule="auto"/>
        <w:rPr>
          <w:sz w:val="20"/>
          <w:szCs w:val="20"/>
          <w:color w:val="auto"/>
        </w:rPr>
      </w:pPr>
      <w:r>
        <w:rPr>
          <w:rFonts w:ascii="Times New Roman" w:cs="Times New Roman" w:eastAsia="Times New Roman" w:hAnsi="Times New Roman"/>
          <w:sz w:val="18"/>
          <w:szCs w:val="18"/>
          <w:color w:val="auto"/>
        </w:rPr>
        <w:t>A valuation allowance is used to reduce some or all of the deferred tax assets if, based upon the weight of available evidence, it is more likely than not that those deferred tax assets will not be realized. The Company has established a full valuation allowance to offset its domestic net deferred tax assets due to the uncertainty of realizing future tax benefits from the net operating loss carryforwards and other deferred tax assets.</w:t>
      </w:r>
    </w:p>
    <w:p>
      <w:pPr>
        <w:spacing w:after="0" w:line="135" w:lineRule="exact"/>
        <w:rPr>
          <w:sz w:val="20"/>
          <w:szCs w:val="20"/>
          <w:color w:val="auto"/>
        </w:rPr>
      </w:pPr>
    </w:p>
    <w:p>
      <w:pPr>
        <w:ind w:right="320" w:firstLine="177"/>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189" w:lineRule="exact"/>
        <w:rPr>
          <w:sz w:val="20"/>
          <w:szCs w:val="20"/>
          <w:color w:val="auto"/>
        </w:rPr>
      </w:pPr>
    </w:p>
    <w:p>
      <w:pPr>
        <w:ind w:firstLine="177"/>
        <w:spacing w:after="0" w:line="266" w:lineRule="auto"/>
        <w:rPr>
          <w:sz w:val="20"/>
          <w:szCs w:val="20"/>
          <w:color w:val="auto"/>
        </w:rPr>
      </w:pPr>
      <w:r>
        <w:rPr>
          <w:rFonts w:ascii="Times New Roman" w:cs="Times New Roman" w:eastAsia="Times New Roman" w:hAnsi="Times New Roman"/>
          <w:sz w:val="18"/>
          <w:szCs w:val="18"/>
          <w:color w:val="auto"/>
        </w:rPr>
        <w:t>The Company has authorized capital stock of 500,000,000 shares of common stock and 10,000,000 shares of preferred stock. The Company has issued common stock, which is included in outstanding common stock on the Company's Consolidated Balance Sheets. The Company has not issued any shares of its preferred stock subsequent to the Company's IPO and does not have any preferred stock outstanding.</w:t>
      </w:r>
    </w:p>
    <w:p>
      <w:pPr>
        <w:spacing w:after="0" w:line="149" w:lineRule="exact"/>
        <w:rPr>
          <w:sz w:val="20"/>
          <w:szCs w:val="20"/>
          <w:color w:val="auto"/>
        </w:rPr>
      </w:pPr>
    </w:p>
    <w:p>
      <w:pPr>
        <w:jc w:val="both"/>
        <w:ind w:right="240" w:firstLine="177"/>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such number of shares sufficient to affect the conversion of all shares granted and available for grant under the Company’s stock award plans. The number of shares of the Company's stock reserved for these purposes at December 31, 2020 was 27,882,222.</w:t>
      </w:r>
    </w:p>
    <w:p>
      <w:pPr>
        <w:spacing w:after="0" w:line="135" w:lineRule="exact"/>
        <w:rPr>
          <w:sz w:val="20"/>
          <w:szCs w:val="20"/>
          <w:color w:val="auto"/>
        </w:rPr>
      </w:pPr>
    </w:p>
    <w:p>
      <w:pPr>
        <w:jc w:val="both"/>
        <w:ind w:right="200" w:firstLine="177"/>
        <w:spacing w:after="0" w:line="266" w:lineRule="auto"/>
        <w:rPr>
          <w:sz w:val="20"/>
          <w:szCs w:val="20"/>
          <w:color w:val="auto"/>
        </w:rPr>
      </w:pPr>
      <w:r>
        <w:rPr>
          <w:rFonts w:ascii="Times New Roman" w:cs="Times New Roman" w:eastAsia="Times New Roman" w:hAnsi="Times New Roman"/>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02" w:lineRule="exact"/>
        <w:rPr>
          <w:sz w:val="20"/>
          <w:szCs w:val="20"/>
          <w:color w:val="auto"/>
        </w:rPr>
      </w:pPr>
    </w:p>
    <w:p>
      <w:pPr>
        <w:ind w:right="20" w:firstLine="180"/>
        <w:spacing w:after="0" w:line="256" w:lineRule="auto"/>
        <w:rPr>
          <w:sz w:val="20"/>
          <w:szCs w:val="20"/>
          <w:color w:val="auto"/>
        </w:rPr>
      </w:pPr>
      <w:r>
        <w:rPr>
          <w:rFonts w:ascii="Times New Roman" w:cs="Times New Roman" w:eastAsia="Times New Roman" w:hAnsi="Times New Roman"/>
          <w:sz w:val="18"/>
          <w:szCs w:val="18"/>
          <w:color w:val="auto"/>
        </w:rPr>
        <w:t>Basic net income (loss) per share of common stock is calculated by dividing the net income (loss) by the weighted-average number of shares of common stock outstanding. Diluted income (loss) per share attributable to common stockholders adjusts the basic weighted-average number of shares of common stock outstanding for the effect of potentially dilutive securities during the period. Potentially dilutive securities consist of stock options, restricted stock awards, restricted stock units, potential shares issued under the Company's Employee Stock Purchase Plan ("ESPP"), shares held in escrow and potential shares issuable as part of contingent consideration as a result of business combinations. For purposes of this calculation, potentially dilutive securities are excluded from the calculation of diluted net income (loss) per share if their effect is anti-dilutive.</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9" w:lineRule="exact"/>
        <w:rPr>
          <w:sz w:val="20"/>
          <w:szCs w:val="20"/>
          <w:color w:val="auto"/>
        </w:rPr>
      </w:pPr>
    </w:p>
    <w:p>
      <w:pPr>
        <w:ind w:right="20" w:firstLine="180"/>
        <w:spacing w:after="0" w:line="282" w:lineRule="auto"/>
        <w:rPr>
          <w:sz w:val="20"/>
          <w:szCs w:val="20"/>
          <w:color w:val="auto"/>
        </w:rPr>
      </w:pPr>
      <w:r>
        <w:rPr>
          <w:rFonts w:ascii="Times New Roman" w:cs="Times New Roman" w:eastAsia="Times New Roman" w:hAnsi="Times New Roman"/>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89" w:lineRule="exact"/>
        <w:rPr>
          <w:sz w:val="20"/>
          <w:szCs w:val="20"/>
          <w:color w:val="auto"/>
        </w:rPr>
      </w:pPr>
    </w:p>
    <w:p>
      <w:pPr>
        <w:ind w:firstLine="177"/>
        <w:spacing w:after="0" w:line="255" w:lineRule="auto"/>
        <w:rPr>
          <w:sz w:val="20"/>
          <w:szCs w:val="20"/>
          <w:color w:val="auto"/>
        </w:rPr>
      </w:pPr>
      <w:r>
        <w:rPr>
          <w:rFonts w:ascii="Times New Roman" w:cs="Times New Roman" w:eastAsia="Times New Roman" w:hAnsi="Times New Roman"/>
          <w:sz w:val="18"/>
          <w:szCs w:val="18"/>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Investments held in U.S. government and agency bonds and corporate debt securities with stated maturities of less than one year are classified as short-term investments included in marketable securities and prepaid expenses and other current assets. Investments held in U.S. government and agency bonds and corporate debt securities with stated maturities of over a year are classified as long-term investments included in other assets, non-current on the Company’s consolidated balance sheets, as the Company does not expect to redeem or sell these securities within one year from the balance sheet date.</w:t>
      </w:r>
    </w:p>
    <w:p>
      <w:pPr>
        <w:spacing w:after="0" w:line="148"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The Company determines the appropriate classification of investments in marketable securities at the time of purchase and reevaluates such designation at each balance sheet date. The Company classifies and accounts for the Company’s marketable securities as available-for-sale, and as a result carries the securities at fair value and reports the unrealized gains and losses in the consolidated statements of comprehensive income (loss) and as a component of stockholders’ equity. The Company determines any realized gains or losses on the sale of marketable securities on a specific identification method, and the Company records such gains and losses as a component of other income, net on the Company’s consolidated statements of operations.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ind w:right="120" w:firstLine="177"/>
        <w:spacing w:after="0" w:line="266" w:lineRule="auto"/>
        <w:rPr>
          <w:sz w:val="20"/>
          <w:szCs w:val="20"/>
          <w:color w:val="auto"/>
        </w:rPr>
      </w:pPr>
      <w:r>
        <w:rPr>
          <w:rFonts w:ascii="Times New Roman" w:cs="Times New Roman" w:eastAsia="Times New Roman" w:hAnsi="Times New Roman"/>
          <w:sz w:val="18"/>
          <w:szCs w:val="18"/>
          <w:color w:val="auto"/>
        </w:rPr>
        <w:t>The Company classifies certain restricted cash balances within prepaid expenses and other current assets on the consolidated balance sheets based upon the term of the remaining restrictions. At December 31, 2020, the Company had restricted cash of $0.1 million, and at December 31, 2019, the Company had no restricted cash.</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 for Doubtful Accounts</w:t>
      </w:r>
    </w:p>
    <w:p>
      <w:pPr>
        <w:spacing w:after="0" w:line="202" w:lineRule="exact"/>
        <w:rPr>
          <w:sz w:val="20"/>
          <w:szCs w:val="20"/>
          <w:color w:val="auto"/>
        </w:rPr>
      </w:pPr>
    </w:p>
    <w:p>
      <w:pPr>
        <w:ind w:right="40" w:firstLine="170"/>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other relevant data. The Company reviews the allowance for doubtful accounts on a quarterly basis. Account balances are charged off against the allowance when the Company believes it is probable the receivable will not be recovered.</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02" w:lineRule="exact"/>
        <w:rPr>
          <w:sz w:val="20"/>
          <w:szCs w:val="20"/>
          <w:color w:val="auto"/>
        </w:rPr>
      </w:pPr>
    </w:p>
    <w:p>
      <w:pPr>
        <w:ind w:right="100" w:firstLine="18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to 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life of lease</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under right-of-use finance arrangements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life of lease</w:t>
            </w:r>
          </w:p>
        </w:tc>
      </w:tr>
    </w:tbl>
    <w:p>
      <w:pPr>
        <w:spacing w:after="0" w:line="85" w:lineRule="exact"/>
        <w:rPr>
          <w:sz w:val="20"/>
          <w:szCs w:val="20"/>
          <w:color w:val="auto"/>
        </w:rPr>
      </w:pPr>
    </w:p>
    <w:p>
      <w:pPr>
        <w:ind w:right="40" w:firstLine="180"/>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202"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Software development costs that do not meet the qualification for capitalization, as further discussed below, are expensed as incurred and recorded in technology and development expenses in the results of operations.</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w:t>
      </w:r>
    </w:p>
    <w:p>
      <w:pPr>
        <w:spacing w:after="0" w:line="27" w:lineRule="exact"/>
        <w:rPr>
          <w:sz w:val="20"/>
          <w:szCs w:val="20"/>
          <w:color w:val="auto"/>
        </w:rPr>
      </w:pPr>
    </w:p>
    <w:p>
      <w:pPr>
        <w:ind w:right="40" w:firstLine="8"/>
        <w:spacing w:after="0" w:line="251"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three years, commencing when the software is ready for its intended use. The straight-line recognition method approximates the manner in which the expected benefit will be derived.</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does not transfer ownership of its software, or lease its software, to third parties.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Costs Incurred in Cloud Computing Arrangements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Cloud computing arrangements, such as software as a service and other hosting arrangements, are evaluated for capitalized implementation costs in a similar manner as capitalized software development costs. If a cloud computing arrangement includes a software license, the software license element of the arrangement is accounted for in a manner consistent with the acquisition of other software licenses. If a cloud computing arrangement does not include a software license, the service element of the arrangement is accounted for as a service contract. The Company capitalized certain implementation costs for its cloud computing arrangements that are service contracts, which are included within prepaid expenses and other current assets and other assets, non-current within the consolidated balance sheet. The Company amortizes capitalized implementation costs in a cloud computing arrangement over the life of the service contract.</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02"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color w:val="auto"/>
        </w:rPr>
        <w:t>Intangible assets primarily consist of acquired developed technology, client relationships, and non-compete agreements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intangible assets are being amortized over their estimated useful lives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to 3</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0.75</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0.25 to 1.5</w:t>
            </w:r>
          </w:p>
        </w:tc>
      </w:tr>
    </w:tbl>
    <w:p>
      <w:pPr>
        <w:spacing w:after="0" w:line="85" w:lineRule="exact"/>
        <w:rPr>
          <w:sz w:val="20"/>
          <w:szCs w:val="20"/>
          <w:color w:val="auto"/>
        </w:rPr>
      </w:pPr>
    </w:p>
    <w:p>
      <w:pPr>
        <w:ind w:right="100" w:firstLine="180"/>
        <w:spacing w:after="0" w:line="256" w:lineRule="auto"/>
        <w:rPr>
          <w:sz w:val="20"/>
          <w:szCs w:val="20"/>
          <w:color w:val="auto"/>
        </w:rPr>
      </w:pPr>
      <w:r>
        <w:rPr>
          <w:rFonts w:ascii="Times New Roman" w:cs="Times New Roman" w:eastAsia="Times New Roman" w:hAnsi="Times New Roman"/>
          <w:sz w:val="18"/>
          <w:szCs w:val="18"/>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The Company measures the impairment loss based on the difference between the carrying amount and estimated fair value.</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including Internal Use Capitalized Software Costs</w:t>
      </w:r>
    </w:p>
    <w:p>
      <w:pPr>
        <w:spacing w:after="0" w:line="189" w:lineRule="exact"/>
        <w:rPr>
          <w:sz w:val="20"/>
          <w:szCs w:val="20"/>
          <w:color w:val="auto"/>
        </w:rPr>
      </w:pPr>
    </w:p>
    <w:p>
      <w:pPr>
        <w:ind w:right="20" w:firstLine="177"/>
        <w:spacing w:after="0" w:line="253"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02" w:lineRule="exact"/>
        <w:rPr>
          <w:sz w:val="20"/>
          <w:szCs w:val="20"/>
          <w:color w:val="auto"/>
        </w:rPr>
      </w:pPr>
    </w:p>
    <w:p>
      <w:pPr>
        <w:ind w:right="100" w:firstLine="177"/>
        <w:spacing w:after="0" w:line="256"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47" w:lineRule="exact"/>
        <w:rPr>
          <w:sz w:val="20"/>
          <w:szCs w:val="20"/>
          <w:color w:val="auto"/>
        </w:rPr>
      </w:pPr>
    </w:p>
    <w:p>
      <w:pPr>
        <w:ind w:firstLine="177"/>
        <w:spacing w:after="0" w:line="261" w:lineRule="auto"/>
        <w:rPr>
          <w:sz w:val="20"/>
          <w:szCs w:val="20"/>
          <w:color w:val="auto"/>
        </w:rPr>
      </w:pPr>
      <w:r>
        <w:rPr>
          <w:rFonts w:ascii="Times New Roman" w:cs="Times New Roman" w:eastAsia="Times New Roman" w:hAnsi="Times New Roman"/>
          <w:sz w:val="18"/>
          <w:szCs w:val="18"/>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9" w:lineRule="exact"/>
        <w:rPr>
          <w:sz w:val="20"/>
          <w:szCs w:val="20"/>
          <w:color w:val="auto"/>
        </w:rPr>
      </w:pPr>
    </w:p>
    <w:p>
      <w:pPr>
        <w:ind w:right="20" w:firstLine="177"/>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156" w:lineRule="exact"/>
        <w:rPr>
          <w:sz w:val="20"/>
          <w:szCs w:val="20"/>
          <w:color w:val="auto"/>
        </w:rPr>
      </w:pPr>
    </w:p>
    <w:p>
      <w:pPr>
        <w:ind w:right="240" w:firstLine="170"/>
        <w:spacing w:after="0" w:line="282" w:lineRule="auto"/>
        <w:rPr>
          <w:sz w:val="20"/>
          <w:szCs w:val="20"/>
          <w:color w:val="auto"/>
        </w:rPr>
      </w:pPr>
      <w:r>
        <w:rPr>
          <w:rFonts w:ascii="Times New Roman" w:cs="Times New Roman" w:eastAsia="Times New Roman" w:hAnsi="Times New Roman"/>
          <w:sz w:val="18"/>
          <w:szCs w:val="18"/>
          <w:color w:val="auto"/>
        </w:rPr>
        <w:t>Acquisition-related transaction costs are not included as a component of consideration transferred, but are accounted for as an expense in the period in which the costs are incurred.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260" w:firstLine="1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149" w:lineRule="exact"/>
        <w:rPr>
          <w:sz w:val="20"/>
          <w:szCs w:val="20"/>
          <w:color w:val="auto"/>
        </w:rPr>
      </w:pPr>
    </w:p>
    <w:p>
      <w:pPr>
        <w:ind w:right="40" w:firstLine="180"/>
        <w:spacing w:after="0" w:line="256" w:lineRule="auto"/>
        <w:rPr>
          <w:sz w:val="20"/>
          <w:szCs w:val="20"/>
          <w:color w:val="auto"/>
        </w:rPr>
      </w:pPr>
      <w:r>
        <w:rPr>
          <w:rFonts w:ascii="Times New Roman" w:cs="Times New Roman" w:eastAsia="Times New Roman" w:hAnsi="Times New Roman"/>
          <w:sz w:val="18"/>
          <w:szCs w:val="18"/>
          <w:color w:val="auto"/>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operates as a single operating segment and has identified a single reporting unit.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200" w:lineRule="exact"/>
        <w:rPr>
          <w:sz w:val="20"/>
          <w:szCs w:val="20"/>
          <w:color w:val="auto"/>
        </w:rPr>
      </w:pPr>
    </w:p>
    <w:p>
      <w:pPr>
        <w:ind w:right="20" w:firstLine="180"/>
        <w:spacing w:after="0" w:line="254" w:lineRule="auto"/>
        <w:rPr>
          <w:sz w:val="20"/>
          <w:szCs w:val="20"/>
          <w:color w:val="auto"/>
        </w:rPr>
      </w:pPr>
      <w:r>
        <w:rPr>
          <w:rFonts w:ascii="Times New Roman" w:cs="Times New Roman" w:eastAsia="Times New Roman" w:hAnsi="Times New Roman"/>
          <w:sz w:val="18"/>
          <w:szCs w:val="18"/>
          <w:color w:val="auto"/>
        </w:rPr>
        <w:t>On January 1, 2019, the Company adopted ASU 2016-02—</w:t>
      </w:r>
      <w:r>
        <w:rPr>
          <w:rFonts w:ascii="Times New Roman" w:cs="Times New Roman" w:eastAsia="Times New Roman" w:hAnsi="Times New Roman"/>
          <w:sz w:val="18"/>
          <w:szCs w:val="18"/>
          <w:i w:val="1"/>
          <w:iCs w:val="1"/>
          <w:color w:val="auto"/>
        </w:rPr>
        <w:t>Leases (Topic 842), (</w:t>
      </w:r>
      <w:r>
        <w:rPr>
          <w:rFonts w:ascii="Times New Roman" w:cs="Times New Roman" w:eastAsia="Times New Roman" w:hAnsi="Times New Roman"/>
          <w:sz w:val="18"/>
          <w:szCs w:val="18"/>
          <w:color w:val="auto"/>
        </w:rPr>
        <w:t>"ASC 842"), which requires the recognition of the right-of-use assets, or ROU assets, and related lease liabilities on the balance sheet using a modified retrospective approach. The consolidated financial statements related to periods prior to January 1, 2019 were not restated, and continue to be reported under ASC Topic 840—</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which did not require the recognition of operating lease liabilities on the balance sheet. As a result, the consolidated financial statements related to periods prior to January 1, 2019 are not entirely comparative with current and future periods. As permitted under ASC 842, the Company elected several practical expedients that permit the Company to not reassess (1) whether existing contracts are or contain a lease, (2) the classification of existing leases, and (3) whether previously capitalized costs continue to qualify as initial indirect costs. In addition, the Company has elected not to recognize short-term leases on the balance sheet, nor separate lease and non-lease components for data center leases. In addition, the Company utilized the portfolio approach to group leases with similar characteristics and did not use hindsight to determine lease term. The finance lease classification under ASC 842 includes leases previously classified as capital leases under ASC 840.</w:t>
      </w:r>
    </w:p>
    <w:p>
      <w:pPr>
        <w:spacing w:after="0" w:line="14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leases previously reported under ASC 840, the Company also reviewed its data center agreements to identify non-lease components that should not be included in the lease liability and lease expense under ASC 842. Certain fixed non-lease components of data center leases, primarily fixed minimum power commitments, have been included in the lease liability and ROU asset as the Company has elected the practical expedient for its data centers to not separate the lease and non-lease components; however, variable components have not been included. For identified leases, the Company used its incremental borrowing rate to discount the related future payment obligations as of January 1, 2019 to determine its lease liability as of adoption. As of the adoption date, the Company recognized a lease liability of $15.6 million and a corresponding ROU asset of $14.3 million; there was no equity impact from the adoption. The difference between the lease liability and the ROU asset primarily represents the existing deferred rent liabilities balances before adoption, resulting from historical straight-lining of operating leases, which was effectively reclassified upon adoption to reduce the measurement of the ROU asset.</w:t>
      </w:r>
    </w:p>
    <w:p>
      <w:pPr>
        <w:spacing w:after="0" w:line="148" w:lineRule="exact"/>
        <w:rPr>
          <w:sz w:val="20"/>
          <w:szCs w:val="20"/>
          <w:color w:val="auto"/>
        </w:rPr>
      </w:pPr>
    </w:p>
    <w:p>
      <w:pPr>
        <w:ind w:firstLine="177"/>
        <w:spacing w:after="0" w:line="256" w:lineRule="auto"/>
        <w:rPr>
          <w:sz w:val="20"/>
          <w:szCs w:val="20"/>
          <w:color w:val="auto"/>
        </w:rPr>
      </w:pPr>
      <w:r>
        <w:rPr>
          <w:rFonts w:ascii="Times New Roman" w:cs="Times New Roman" w:eastAsia="Times New Roman" w:hAnsi="Times New Roman"/>
          <w:sz w:val="18"/>
          <w:szCs w:val="18"/>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lease liability is included in lease liabilities, current and lease liabilities, non-current within the consolidated balance sheet, which are reduced as lease related payments are made. The ROU asset is amortized on a periodic basis over the expected term of the lease (see Note 16).</w:t>
      </w:r>
    </w:p>
    <w:p>
      <w:pPr>
        <w:spacing w:after="0" w:line="160" w:lineRule="exact"/>
        <w:rPr>
          <w:sz w:val="20"/>
          <w:szCs w:val="20"/>
          <w:color w:val="auto"/>
        </w:rPr>
      </w:pPr>
    </w:p>
    <w:p>
      <w:pPr>
        <w:ind w:right="440" w:firstLine="180"/>
        <w:spacing w:after="0" w:line="266" w:lineRule="auto"/>
        <w:rPr>
          <w:sz w:val="20"/>
          <w:szCs w:val="20"/>
          <w:color w:val="auto"/>
        </w:rPr>
      </w:pPr>
      <w:r>
        <w:rPr>
          <w:rFonts w:ascii="Times New Roman" w:cs="Times New Roman" w:eastAsia="Times New Roman" w:hAnsi="Times New Roman"/>
          <w:sz w:val="18"/>
          <w:szCs w:val="18"/>
          <w:color w:val="auto"/>
        </w:rPr>
        <w:t>Prior to January 1, 2019, assets and liabilities under capital lease were recorded at the lesser of present value of aggregate future minimum lease payments, including estimated bargain purchase options, or the fair value of the asset under lease. Assets under capital lease were amortized using the straight-line method over the estimated useful lives of the assets.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right="80" w:firstLine="177"/>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89" w:lineRule="exact"/>
        <w:rPr>
          <w:sz w:val="20"/>
          <w:szCs w:val="20"/>
          <w:color w:val="auto"/>
        </w:rPr>
      </w:pPr>
    </w:p>
    <w:p>
      <w:pPr>
        <w:ind w:right="260" w:firstLine="18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cash equivalents, restricted cash and accounts receivable. Cash and cash equivalents maintained with financial institutions exceed applicable federally insured limits.</w:t>
      </w:r>
    </w:p>
    <w:p>
      <w:pPr>
        <w:spacing w:after="0" w:line="135" w:lineRule="exact"/>
        <w:rPr>
          <w:sz w:val="20"/>
          <w:szCs w:val="20"/>
          <w:color w:val="auto"/>
        </w:rPr>
      </w:pPr>
    </w:p>
    <w:p>
      <w:pPr>
        <w:ind w:right="180" w:firstLine="170"/>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due from buyers with principal operations primarily in the United States. The Company performs ongoing credit evaluations of its buyers.</w:t>
      </w:r>
    </w:p>
    <w:p>
      <w:pPr>
        <w:spacing w:after="0" w:line="121" w:lineRule="exact"/>
        <w:rPr>
          <w:sz w:val="20"/>
          <w:szCs w:val="20"/>
          <w:color w:val="auto"/>
        </w:rPr>
      </w:pPr>
    </w:p>
    <w:p>
      <w:pPr>
        <w:ind w:right="240" w:firstLine="180"/>
        <w:spacing w:after="0" w:line="282" w:lineRule="auto"/>
        <w:rPr>
          <w:sz w:val="20"/>
          <w:szCs w:val="20"/>
          <w:color w:val="auto"/>
        </w:rPr>
      </w:pPr>
      <w:r>
        <w:rPr>
          <w:rFonts w:ascii="Times New Roman" w:cs="Times New Roman" w:eastAsia="Times New Roman" w:hAnsi="Times New Roman"/>
          <w:sz w:val="18"/>
          <w:szCs w:val="18"/>
          <w:color w:val="auto"/>
        </w:rPr>
        <w:t>At December 31, 2020, two buyers accounted for 33% and 12% respectively, of consolidated accounts receivable. At December 31, 2019, two buyers accounted for 23% and 17%, respectively, of accounts receivable.</w:t>
      </w:r>
    </w:p>
    <w:p>
      <w:pPr>
        <w:spacing w:after="0" w:line="121" w:lineRule="exact"/>
        <w:rPr>
          <w:sz w:val="20"/>
          <w:szCs w:val="20"/>
          <w:color w:val="auto"/>
        </w:rPr>
      </w:pPr>
    </w:p>
    <w:p>
      <w:pPr>
        <w:ind w:right="260" w:firstLine="177"/>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its contracts with sellers. No seller of advertising inventory accounted for 10% or more of revenue during the years ended December 31, 2020, 2019, and 2018.</w:t>
      </w:r>
    </w:p>
    <w:p>
      <w:pPr>
        <w:spacing w:after="0" w:line="135" w:lineRule="exact"/>
        <w:rPr>
          <w:sz w:val="20"/>
          <w:szCs w:val="20"/>
          <w:color w:val="auto"/>
        </w:rPr>
      </w:pPr>
    </w:p>
    <w:p>
      <w:pPr>
        <w:ind w:right="380" w:firstLine="180"/>
        <w:spacing w:after="0" w:line="282" w:lineRule="auto"/>
        <w:rPr>
          <w:sz w:val="20"/>
          <w:szCs w:val="20"/>
          <w:color w:val="auto"/>
        </w:rPr>
      </w:pPr>
      <w:r>
        <w:rPr>
          <w:rFonts w:ascii="Times New Roman" w:cs="Times New Roman" w:eastAsia="Times New Roman" w:hAnsi="Times New Roman"/>
          <w:sz w:val="18"/>
          <w:szCs w:val="18"/>
          <w:color w:val="auto"/>
        </w:rPr>
        <w:t>At December 31, 2020 one seller of adverting inventory accounted for 18% of accounts payable, and at December 31, 2019, no seller of advertising inventory comprised 10.0% or more of accounts payable.</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 and Translation</w:t>
      </w:r>
    </w:p>
    <w:p>
      <w:pPr>
        <w:spacing w:after="0" w:line="189" w:lineRule="exact"/>
        <w:rPr>
          <w:sz w:val="20"/>
          <w:szCs w:val="20"/>
          <w:color w:val="auto"/>
        </w:rPr>
      </w:pPr>
    </w:p>
    <w:p>
      <w:pPr>
        <w:ind w:right="120" w:firstLine="177"/>
        <w:spacing w:after="0" w:line="258"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of the applicable entity at the rates of exchange in effect at the date of the transaction. Foreign exchange gains or losses were included in foreign exchange (gain) loss, net in the accompanying consolidated statements of operations. To the extent that the functional currency is different from the U.S. Dollar, the financial statements have then been translated into U.S. Dollars using period-end exchange rates for assets and liabilities and average exchange rates for the results of operations. Foreign currency translation gains and losses are included as a component of accumulated other comprehensive income (loss) on the consolidated balance sheet.</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87" w:lineRule="exact"/>
        <w:rPr>
          <w:sz w:val="20"/>
          <w:szCs w:val="20"/>
          <w:color w:val="auto"/>
        </w:rPr>
      </w:pPr>
    </w:p>
    <w:p>
      <w:pPr>
        <w:ind w:right="220" w:firstLine="180"/>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w:t>
      </w:r>
      <w:r>
        <w:rPr>
          <w:rFonts w:ascii="Times New Roman" w:cs="Times New Roman" w:eastAsia="Times New Roman" w:hAnsi="Times New Roman"/>
          <w:sz w:val="18"/>
          <w:szCs w:val="18"/>
          <w:color w:val="auto"/>
        </w:rPr>
        <w:t>ASU 2016-13"). This guidance requires entities to use a current expected credit loss methodology to measure impairments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to recognize an allowance for its estimate of lifetime expected credit losses. The main objective of this update is to provide financial statement users with more decision-useful information about the expected credit losses on financial instruments and other commitments to extend credit held by a reporting entity at each reporting date. The guidance is effective for fiscal years beginning after December 15, 2019, including interim periods within those fiscal years. The Company adopted ASU 2016-13 as of January 1, 2020. The standard did not have a material impact on its consolidated financial statements.</w:t>
      </w:r>
    </w:p>
    <w:p>
      <w:pPr>
        <w:spacing w:after="0" w:line="142"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2018-13—</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("ASU 2018-13"), to streamline the disclosure requirements of ASC Topic 820—Fair Value Measurement.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removes certain disclosure requirements, including the valuation process for Level 3 fair 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 the range and weighted average of significant unobservable inputs used to develop Level 3 measurements, which can be adopted prospectively. The Company adopted ASU 2018-13 as of January 1, 2020. The standard did not have a material impact on its consolidated financial statements and related disclosures.</w:t>
      </w:r>
    </w:p>
    <w:p>
      <w:pPr>
        <w:spacing w:after="0" w:line="158" w:lineRule="exact"/>
        <w:rPr>
          <w:sz w:val="20"/>
          <w:szCs w:val="20"/>
          <w:color w:val="auto"/>
        </w:rPr>
      </w:pPr>
    </w:p>
    <w:p>
      <w:pPr>
        <w:ind w:firstLine="180"/>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2018-15—</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Implementation Costs Incurred in a Cloud Computing Arrangement That Is a Service Contract </w:t>
      </w:r>
      <w:r>
        <w:rPr>
          <w:rFonts w:ascii="Times New Roman" w:cs="Times New Roman" w:eastAsia="Times New Roman" w:hAnsi="Times New Roman"/>
          <w:sz w:val="18"/>
          <w:szCs w:val="18"/>
          <w:color w:val="auto"/>
        </w:rPr>
        <w:t>("ASU 2018-15"). ASU 2018-15 was issued to clarify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requirements of ASC 350-40—</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("ASC 350-40"). The ASU clarifies that implementation, setup and other upfront costs related to cloud computing agreements ("CCA") should be accounted for under ASC 350-40. ASC 2018-15 will require companies to capitalize certain costs incurred when purchasing a CCA that is a service. Under the new guidance, companies will apply the same criteria for capitalizing implementation costs in a CCA service as they would for internal-use software. The capitalized implementation costs will generally be expensed over the term of the service arrangement and the related assets will be assessed for impairment using the same model applied to long-lived assets.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adopted ASU 2018-15 as of January 1, 2020 on a prospective basis. The standard did not have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7" w:lineRule="exact"/>
        <w:rPr>
          <w:sz w:val="20"/>
          <w:szCs w:val="20"/>
          <w:color w:val="auto"/>
        </w:rPr>
      </w:pPr>
    </w:p>
    <w:p>
      <w:pPr>
        <w:ind w:right="20" w:firstLine="18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 ASU 2019-12 simplifies the accounting for income taxes by removing certain exceptions to general principles in Topic 740 and clarifies and amends existing guidance for clarity and consistent application. This guidance is effective for fiscal years and interim periods within those fiscal years, beginning after December 15, 2020 including interim reporting periods within those fiscal years. Early adoption is permitted. The Company is evaluating the impact of adopting this new accounting guidance on its consolidated financial statements and related disclosures but the impact is not expected to be material.</w:t>
      </w:r>
    </w:p>
    <w:p>
      <w:pPr>
        <w:spacing w:after="0" w:line="14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2020, the FASB issued ASU 2020-01, </w:t>
      </w:r>
      <w:r>
        <w:rPr>
          <w:rFonts w:ascii="Times New Roman" w:cs="Times New Roman" w:eastAsia="Times New Roman" w:hAnsi="Times New Roman"/>
          <w:sz w:val="18"/>
          <w:szCs w:val="18"/>
          <w:i w:val="1"/>
          <w:iCs w:val="1"/>
          <w:color w:val="auto"/>
        </w:rPr>
        <w:t>Investments—Equity Securities (Topic 321), Investments—Equity Method and Joint Ventures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323), and Derivatives and Hedging (Topic 815) </w:t>
      </w:r>
      <w:r>
        <w:rPr>
          <w:rFonts w:ascii="Times New Roman" w:cs="Times New Roman" w:eastAsia="Times New Roman" w:hAnsi="Times New Roman"/>
          <w:sz w:val="18"/>
          <w:szCs w:val="18"/>
          <w:color w:val="auto"/>
        </w:rPr>
        <w:t>("ASU 2020-01"), which clarifies the interaction of the accounting for equity securities under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321, the accounting for equity method investments in Topic 323, and the accounting for certain forward contracts and purchased options in Topic 815. This guidance is effective for fiscal years beginning after December 15, 2020, including interim reporting periods within those fiscal years. Early adoption is permitted, including early adoption in an interim period, The Company does not expect the adoption of this guidance to have a material impact on the Company's consolidated financial statements.</w:t>
      </w:r>
    </w:p>
    <w:p>
      <w:pPr>
        <w:spacing w:after="0" w:line="15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is effective for fiscal years beginning after December 15, 2021, including interim reporting periods within those fiscal years. Early adoption is permitted, but no earlier than fiscal years beginning after December 15, 2020, including interim periods within those fiscal years. The Company does not expect the adoption of this guidance to have a material impact on the Company's consolidated financial statements.</w:t>
      </w:r>
    </w:p>
    <w:p>
      <w:pPr>
        <w:spacing w:after="0" w:line="5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SEC did not or are not expected to have a material impact on our present or future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(Loss) Per Share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basic and diluted net loss per share:</w:t>
      </w:r>
    </w:p>
    <w:p>
      <w:pPr>
        <w:spacing w:after="0" w:line="22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EPS: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96,700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52,634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50,602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unvested restricted shares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used to compute net loss per share</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6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80" w:type="dxa"/>
            <w:vAlign w:val="bottom"/>
            <w:tcBorders>
              <w:top w:val="single" w:sz="8" w:color="auto"/>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8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performance awards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excluded from net loss per share</w:t>
            </w:r>
          </w:p>
        </w:tc>
        <w:tc>
          <w:tcPr>
            <w:tcW w:w="18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81</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4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4—Revenues</w:t>
      </w:r>
    </w:p>
    <w:p>
      <w:pPr>
        <w:spacing w:after="0" w:line="202" w:lineRule="exact"/>
        <w:rPr>
          <w:sz w:val="20"/>
          <w:szCs w:val="20"/>
          <w:color w:val="auto"/>
        </w:rPr>
      </w:pPr>
    </w:p>
    <w:p>
      <w:pPr>
        <w:ind w:right="80" w:firstLine="180"/>
        <w:spacing w:after="0" w:line="256" w:lineRule="auto"/>
        <w:rPr>
          <w:sz w:val="20"/>
          <w:szCs w:val="20"/>
          <w:color w:val="auto"/>
        </w:rPr>
      </w:pPr>
      <w:r>
        <w:rPr>
          <w:rFonts w:ascii="Times New Roman" w:cs="Times New Roman" w:eastAsia="Times New Roman" w:hAnsi="Times New Roman"/>
          <w:sz w:val="18"/>
          <w:szCs w:val="18"/>
          <w:color w:val="auto"/>
        </w:rPr>
        <w:t>For substantially all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However, for certain transactions related to revenue streams acquired in connection with the Merger with Telaria, the Company reports revenue on a gross basis, based primarily on its determination that the Company acts as the primary obligor in the delivery of advertising campaigns for buyers with respect to such transactions. For the year ended December 31, 2020, revenue reported on a gross basis was less than 2% of total revenue.</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our revenue by channel for the years ended December 31, 2020 and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2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r>
      <w:tr>
        <w:trPr>
          <w:trHeight w:val="229"/>
        </w:trPr>
        <w:tc>
          <w:tcPr>
            <w:tcW w:w="2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r>
      <w:tr>
        <w:trPr>
          <w:trHeight w:val="248"/>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location, based on the location of the Company's sellers: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gridSpan w:val="4"/>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83,020</w:t>
            </w:r>
          </w:p>
        </w:tc>
        <w:tc>
          <w:tcPr>
            <w:tcW w:w="100" w:type="dxa"/>
            <w:vAlign w:val="bottom"/>
            <w:shd w:val="clear" w:color="auto" w:fill="CCEEFF"/>
          </w:tcPr>
          <w:p>
            <w:pPr>
              <w:spacing w:after="0"/>
              <w:rPr>
                <w:sz w:val="19"/>
                <w:szCs w:val="19"/>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41,665</w:t>
            </w:r>
          </w:p>
        </w:tc>
        <w:tc>
          <w:tcPr>
            <w:tcW w:w="100" w:type="dxa"/>
            <w:vAlign w:val="bottom"/>
            <w:tcBorders>
              <w:bottom w:val="single" w:sz="8" w:color="CCEEFF"/>
            </w:tcBorders>
          </w:tcPr>
          <w:p>
            <w:pPr>
              <w:spacing w:after="0"/>
              <w:rPr>
                <w:sz w:val="19"/>
                <w:szCs w:val="19"/>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11). Accordingly, both accounts receivable and accounts payable appear large in relation to revenue reported on a net basis.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$2.4 million at December 31, 2020, and $3.4 million at December 31, 2019. Accounts receivable are written off against the allowance for doubtful accounts when the Company determines amounts are no longer collectible.</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$1.5 million and $0.9 million as of December 31, 2020 and December 31, 2019, respectively.</w:t>
      </w:r>
    </w:p>
    <w:p>
      <w:pPr>
        <w:spacing w:after="0" w:line="203"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in the allowance for doubtful accounts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7400" w:type="dxa"/>
            <w:vAlign w:val="bottom"/>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83"/>
        </w:trPr>
        <w:tc>
          <w:tcPr>
            <w:tcW w:w="7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Balance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Merger-assumed</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expected credit losses</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December 31</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1"/>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2019 and 2018, the provision for expected credit losses associated with accounts receivable and the offset by increases of contra seller payables related to recoveries of uncollected buyer receivables resulted in a net amount of bad debt each year. During the year ended December 31, 2020, the provision for expected credit losses associated with accounts receivable of $0.9 million was offset by increases of contra seller payables related to recoveries of uncollected buyer receivables of $1.0 million, which resulted in $0.1 million of bad debt recoveries. During the year ended December 31, 2019, the provision for expected credit losses associated with accounts receivable of $5.3 million was offset by increases of contra seller payables related to recoveries of uncollected buyer receivables of $4.1 million, which resulted in bad debt expense of $1.2 million. During the year ended December 31, 2018, the provision for expected credit losses associated with accounts receivable of $1.3 million was offset by increases of contra seller payables related to recoveries of uncollected buyer receivables of $0.5 million, which resulted in bad debt expense of $0.8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Measurements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ind w:right="120" w:firstLine="180"/>
        <w:spacing w:after="0" w:line="258" w:lineRule="auto"/>
        <w:rPr>
          <w:sz w:val="20"/>
          <w:szCs w:val="20"/>
          <w:color w:val="auto"/>
        </w:rPr>
      </w:pPr>
      <w:r>
        <w:rPr>
          <w:rFonts w:ascii="Times New Roman" w:cs="Times New Roman" w:eastAsia="Times New Roman" w:hAnsi="Times New Roman"/>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56" w:lineRule="exact"/>
        <w:rPr>
          <w:sz w:val="20"/>
          <w:szCs w:val="20"/>
          <w:color w:val="auto"/>
        </w:rPr>
      </w:pPr>
    </w:p>
    <w:p>
      <w:pPr>
        <w:ind w:left="1140" w:right="360" w:hanging="484"/>
        <w:spacing w:after="0" w:line="282"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2020:</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4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40" w:type="dxa"/>
            <w:vAlign w:val="bottom"/>
          </w:tcPr>
          <w:p>
            <w:pPr>
              <w:jc w:val="center"/>
              <w:ind w:right="164"/>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7,868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7,868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23"/>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3"/>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2020" w:type="dxa"/>
            <w:vAlign w:val="bottom"/>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100" w:type="dxa"/>
            <w:vAlign w:val="bottom"/>
            <w:tcBorders>
              <w:top w:val="single" w:sz="8" w:color="auto"/>
            </w:tcBorders>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13,501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13,501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ind w:right="1323"/>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December 31, 2020 and 2019, cash equivalents of $7.9 million and $13.5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fair value measurements during the years ended December 31, 2020 and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6—Investments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investments in marketable securities at December 31, 2020 and December 31, 2019.</w:t>
      </w:r>
    </w:p>
    <w:p>
      <w:pPr>
        <w:spacing w:after="0" w:line="6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$7.5 million of available-for-sale investments matured, on which the realized gains were de minimis and there were no unrealized holding gains (losses) reclassified out of accumulated other comprehensive loss into the consolidated statements of operations. The Company had no sales of available-for-sale investments in 2019.</w:t>
      </w:r>
    </w:p>
    <w:p>
      <w:pPr>
        <w:spacing w:after="0" w:line="13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sold $9.2 million of available-for-sale investments, on which the realized gains were de minimis and there were no unrealized holding gains (losses) reclassified out of accumulated other comprehensive loss into the consolidated statements of operations. In addition, during the year ended December 31, 2018, the Company had net maturities of investments in available-for-sale securities of $38.7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7—Property and Equipment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Major classes of property and equipment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7"/>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105,491</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110,230</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(86,563)</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180"/>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totaled $16.0 million, $21.3 million, and $25.0 million for the years ended December 31, 2020, 2019, and 2018, respectively. There were no impairment charges to property and equipment for the years ended December 31, 2020, 2019, and 2018.</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December 31, 2020 and 2019, the Company had $39.6 million and $21.5 million of ROU assets and no property and equipment under finance leases.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property and equipment, net by geographical region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7"/>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8—Internal Use Software Development Costs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Internal use software development costs were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 development costs, gross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6"/>
              </w:rPr>
              <w:t>51,277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6"/>
              </w:rPr>
              <w:t>45,156</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957"/>
              <w:spacing w:after="0"/>
              <w:rPr>
                <w:sz w:val="20"/>
                <w:szCs w:val="20"/>
                <w:color w:val="auto"/>
              </w:rPr>
            </w:pPr>
            <w:r>
              <w:rPr>
                <w:rFonts w:ascii="Times New Roman" w:cs="Times New Roman" w:eastAsia="Times New Roman" w:hAnsi="Times New Roman"/>
                <w:sz w:val="18"/>
                <w:szCs w:val="18"/>
                <w:color w:val="auto"/>
              </w:rPr>
              <w:t>(35,117)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35"/>
              <w:spacing w:after="0"/>
              <w:rPr>
                <w:sz w:val="20"/>
                <w:szCs w:val="20"/>
                <w:color w:val="auto"/>
              </w:rPr>
            </w:pPr>
            <w:r>
              <w:rPr>
                <w:rFonts w:ascii="Times New Roman" w:cs="Times New Roman" w:eastAsia="Times New Roman" w:hAnsi="Times New Roman"/>
                <w:sz w:val="18"/>
                <w:szCs w:val="18"/>
                <w:color w:val="auto"/>
              </w:rPr>
              <w:t>(29,103)</w:t>
            </w:r>
          </w:p>
        </w:tc>
      </w:tr>
      <w:tr>
        <w:trPr>
          <w:trHeight w:val="248"/>
        </w:trPr>
        <w:tc>
          <w:tcPr>
            <w:tcW w:w="7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6"/>
              </w:rPr>
              <w:t>16,160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6"/>
              </w:rPr>
              <w:t>16,053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firstLine="18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capitalized $9.2 million, $9.0 million, and $9.0 million, respectively, of internal use software development costs. Amortization expense was $8.3 million, $7.5 million, and $7.2 million for the years ended December 31, 2020, 2019, and 2018, respectively. In the years ended December 31, 2020, 2019, and 2018, amortization expense included the write-off of software development costs of $0.1 million, $0.5 million, and $0.5 million, in the respective periods, related to the abandonment of the associated projects. Based on the Company’s internal use software development costs at December 31, 2020, excluding projects that are not yet complete and not yet ready for their intended use with a value of $0.4 million, estimated amortization expense of $7.8 million, $5.6 million, $2.2 million, and $0.1 million is expected to be recognized in 2021, 2022, 2023, and 2024 respectively.</w:t>
      </w:r>
    </w:p>
    <w:p>
      <w:pPr>
        <w:spacing w:after="0" w:line="162" w:lineRule="exact"/>
        <w:rPr>
          <w:sz w:val="20"/>
          <w:szCs w:val="20"/>
          <w:color w:val="auto"/>
        </w:rPr>
      </w:pPr>
    </w:p>
    <w:p>
      <w:pPr>
        <w:ind w:right="100" w:firstLine="177"/>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to internal use software development costs for the year ended December 31, 2020, 2019 and 2018 with the exception of the write-offs mentioned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9—Goodwill, Intangible Assets, and Capitalized Costs Incurred in Cloud Computing Arrangements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Details of the Company’s goodwill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2018</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Additions from the acquisition of RTKio (Note 10)</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2019</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Merger with Telaria (Note 10)</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150,755</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2020</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The Company’s intangible assets as of December 31, 2020 and 2019 included the following:</w:t>
            </w: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9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2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77,658</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0" w:type="dxa"/>
            <w:vAlign w:val="bottom"/>
          </w:tcPr>
          <w:p>
            <w:pPr>
              <w:spacing w:after="0"/>
              <w:rPr>
                <w:sz w:val="1"/>
                <w:szCs w:val="1"/>
                <w:color w:val="auto"/>
              </w:rPr>
            </w:pPr>
          </w:p>
        </w:tc>
      </w:tr>
      <w:tr>
        <w:trPr>
          <w:trHeight w:val="230"/>
        </w:trPr>
        <w:tc>
          <w:tcPr>
            <w:tcW w:w="7920" w:type="dxa"/>
            <w:vAlign w:val="bottom"/>
            <w:gridSpan w:val="2"/>
          </w:tcPr>
          <w:p>
            <w:pPr>
              <w:ind w:left="77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gross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amortization—intangible 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identifiable intangible assets, net</w:t>
            </w: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89,884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0" w:type="dxa"/>
            <w:vAlign w:val="bottom"/>
          </w:tcPr>
          <w:p>
            <w:pPr>
              <w:spacing w:after="0"/>
              <w:rPr>
                <w:sz w:val="1"/>
                <w:szCs w:val="1"/>
                <w:color w:val="auto"/>
              </w:rPr>
            </w:pPr>
          </w:p>
        </w:tc>
      </w:tr>
      <w:tr>
        <w:trPr>
          <w:trHeight w:val="203"/>
        </w:trPr>
        <w:tc>
          <w:tcPr>
            <w:tcW w:w="7920" w:type="dxa"/>
            <w:vAlign w:val="bottom"/>
            <w:gridSpan w:val="2"/>
          </w:tcPr>
          <w:p>
            <w:pPr>
              <w:ind w:left="77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17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years ended December 31, 2020, 2019, and 2018 was $24.9 million, $3.3 million, and $3.2 million, respectively. During the year ended December 31, 2020 and 2019, the Company wrote off fully amortized intangible assets with a historical cost of $1.1 million and $0.7 million, respectively. During the year ended December 31, 2018, the Company had no write-offs of fully amortized intangible assets.</w:t>
      </w:r>
    </w:p>
    <w:p>
      <w:pPr>
        <w:sectPr>
          <w:pgSz w:w="11900" w:h="16838" w:orient="portrait"/>
          <w:cols w:equalWidth="0" w:num="1">
            <w:col w:w="11240"/>
          </w:cols>
          <w:pgMar w:left="320" w:top="121" w:right="339" w:bottom="7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58"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estimated remaining amortization expense associated with the Company's intangible assets was as follows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8"/>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31,048</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177"/>
        <w:spacing w:after="0" w:line="256" w:lineRule="auto"/>
        <w:rPr>
          <w:sz w:val="20"/>
          <w:szCs w:val="20"/>
          <w:color w:val="auto"/>
        </w:rPr>
      </w:pPr>
      <w:r>
        <w:rPr>
          <w:rFonts w:ascii="Times New Roman" w:cs="Times New Roman" w:eastAsia="Times New Roman" w:hAnsi="Times New Roman"/>
          <w:sz w:val="18"/>
          <w:szCs w:val="18"/>
          <w:color w:val="auto"/>
        </w:rPr>
        <w:t>The Company adopted ASU 2018-15 as of January 1, 2020 on a prospective basis and as a result, the Company capitalized certain costs associated with cloud computing arrangements and will recognize the costs over the length of the service arrangements, which generally are three years. During the year ended December 31, 2020, the Company capitalized $0.9 million related to cloud computing arrangements. These costs are related to arrangements for infrastructure as a service, platform as a service, and software as a service. Capitalized costs associated with these arrangements as of December 31, 2020 are included within prepaid expenses and other current assets and other assets, non-current within the consolidated balance sheet in the amounts of $0.7 million and $0.2 million, respectively. The amortization of these agreements were insignificant for the year ended December 31, 2020.</w:t>
      </w:r>
    </w:p>
    <w:p>
      <w:pPr>
        <w:spacing w:after="0" w:line="14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Company's qualitative assessment in the fourth quarter of 2020 did not indicate that it is more likely than not that the fair value of its goodwill, intangible assets, and other long-lived assets is less than the aggregate carrying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10—Business Combinations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Acquisition—RTK.io</w:t>
      </w:r>
    </w:p>
    <w:p>
      <w:pPr>
        <w:spacing w:after="0" w:line="189" w:lineRule="exact"/>
        <w:rPr>
          <w:sz w:val="20"/>
          <w:szCs w:val="20"/>
          <w:color w:val="auto"/>
        </w:rPr>
      </w:pPr>
    </w:p>
    <w:p>
      <w:pPr>
        <w:ind w:right="160" w:firstLine="180"/>
        <w:spacing w:after="0" w:line="256" w:lineRule="auto"/>
        <w:rPr>
          <w:sz w:val="20"/>
          <w:szCs w:val="20"/>
          <w:color w:val="auto"/>
        </w:rPr>
      </w:pPr>
      <w:r>
        <w:rPr>
          <w:rFonts w:ascii="Times New Roman" w:cs="Times New Roman" w:eastAsia="Times New Roman" w:hAnsi="Times New Roman"/>
          <w:sz w:val="18"/>
          <w:szCs w:val="18"/>
          <w:color w:val="auto"/>
        </w:rPr>
        <w:t xml:space="preserve">On October 21, 2019, the Company completed the acquisition of RTK.io for total purchase consideration of $11.4 million, which includes cash paid of $11.0 million, cash acquired of $0.6 million, and a working capital adjustment of $0.2 million. </w:t>
      </w:r>
      <w:r>
        <w:rPr>
          <w:rFonts w:ascii="Times New Roman" w:cs="Times New Roman" w:eastAsia="Times New Roman" w:hAnsi="Times New Roman"/>
          <w:sz w:val="18"/>
          <w:szCs w:val="18"/>
          <w:color w:val="222222"/>
        </w:rPr>
        <w:t>RTK.io is a</w:t>
      </w:r>
      <w:r>
        <w:rPr>
          <w:rFonts w:ascii="Times New Roman" w:cs="Times New Roman" w:eastAsia="Times New Roman" w:hAnsi="Times New Roman"/>
          <w:sz w:val="18"/>
          <w:szCs w:val="18"/>
          <w:color w:val="auto"/>
        </w:rPr>
        <w:t xml:space="preserve"> leading provider of tools and services that bring simplicity and control to header bidding for sellers. RTK’s solution is built on Prebid, the same open source framework as Demand Manager, the header bidding solution the Company launched in May 2019. </w:t>
      </w:r>
      <w:r>
        <w:rPr>
          <w:rFonts w:ascii="Times New Roman" w:cs="Times New Roman" w:eastAsia="Times New Roman" w:hAnsi="Times New Roman"/>
          <w:sz w:val="18"/>
          <w:szCs w:val="18"/>
          <w:color w:val="222222"/>
        </w:rPr>
        <w:t>The primary reason for the acquisition was to acquire technology, know-how, and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that will </w:t>
      </w:r>
      <w:r>
        <w:rPr>
          <w:rFonts w:ascii="Times New Roman" w:cs="Times New Roman" w:eastAsia="Times New Roman" w:hAnsi="Times New Roman"/>
          <w:sz w:val="18"/>
          <w:szCs w:val="18"/>
          <w:color w:val="000000"/>
        </w:rPr>
        <w:t>enable the Company to extend its Demand Manager product portfolio and client base. The financial results of RTK.io have been included in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Company's consolidated financial statements since the date of the acquisition.</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major classes of assets and liabilities to which the Company allocated the purchase price were as follows as of the acquisition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7"/>
        </w:trPr>
        <w:tc>
          <w:tcPr>
            <w:tcW w:w="9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23"/>
        </w:trPr>
        <w:tc>
          <w:tcPr>
            <w:tcW w:w="9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14,934</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r>
      <w:tr>
        <w:trPr>
          <w:trHeight w:val="223"/>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11,395</w:t>
            </w:r>
          </w:p>
        </w:tc>
      </w:tr>
      <w:tr>
        <w:trPr>
          <w:trHeight w:val="20"/>
        </w:trPr>
        <w:tc>
          <w:tcPr>
            <w:tcW w:w="9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4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acquired intangible assets and estimated useful lives (in thousands, except for estimated useful life)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 &amp; trade name</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&lt; 0.5 years</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right="100" w:firstLine="177"/>
        <w:spacing w:after="0" w:line="261" w:lineRule="auto"/>
        <w:rPr>
          <w:sz w:val="20"/>
          <w:szCs w:val="20"/>
          <w:color w:val="auto"/>
        </w:rPr>
      </w:pPr>
      <w:r>
        <w:rPr>
          <w:rFonts w:ascii="Times New Roman" w:cs="Times New Roman" w:eastAsia="Times New Roman" w:hAnsi="Times New Roman"/>
          <w:sz w:val="18"/>
          <w:szCs w:val="18"/>
          <w:color w:val="auto"/>
        </w:rPr>
        <w:t>The intangible assets are amortized on a straight-line basis, which approximates the pattern in which the economic benefits are consumed, over their estimated useful lives. Amortization of developed technology is included in cost of revenue, amortization related to customer relationships is included in sales and marketing, amortization related to non-compete agreements is included in sales and marketing or technology and development, depending on the nature of the employee's job function, and amortization related to trademark and trade name is included in general and administrative.</w:t>
      </w:r>
    </w:p>
    <w:p>
      <w:pPr>
        <w:spacing w:after="0" w:line="139"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Goodwill resulting from the acquisition was primarily attributable to acquired workforce, an increase in development capabilities, increased offerings to clients, and enhanced opportunities for growth and innovation. The acquired intangibles and goodwill resulting from the RTK.io acquisition are not amortizable for tax purposes. Pro forma results of operations were not significant to the consolidated results of operations.</w:t>
      </w:r>
    </w:p>
    <w:p>
      <w:pPr>
        <w:spacing w:after="0" w:line="149" w:lineRule="exact"/>
        <w:rPr>
          <w:sz w:val="20"/>
          <w:szCs w:val="20"/>
          <w:color w:val="auto"/>
        </w:rPr>
      </w:pPr>
    </w:p>
    <w:p>
      <w:pPr>
        <w:jc w:val="both"/>
        <w:ind w:right="80" w:firstLine="177"/>
        <w:spacing w:after="0" w:line="266" w:lineRule="auto"/>
        <w:rPr>
          <w:sz w:val="20"/>
          <w:szCs w:val="20"/>
          <w:color w:val="auto"/>
        </w:rPr>
      </w:pPr>
      <w:r>
        <w:rPr>
          <w:rFonts w:ascii="Times New Roman" w:cs="Times New Roman" w:eastAsia="Times New Roman" w:hAnsi="Times New Roman"/>
          <w:sz w:val="18"/>
          <w:szCs w:val="18"/>
          <w:color w:val="auto"/>
        </w:rPr>
        <w:t>The Company does not track RTK.io's expenses on a stand-alone basis, and as a result, the determination of RTK.io post-acquisition operating results on a stand-alone basis was impracticable. The post-acquisition revenue, expenses, and pro forma results of operations were not significant to the consolidated results of operations for the years ended December 31, 2020 and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Merger—Telaria</w:t>
      </w:r>
    </w:p>
    <w:p>
      <w:pPr>
        <w:spacing w:after="0" w:line="189" w:lineRule="exact"/>
        <w:rPr>
          <w:sz w:val="20"/>
          <w:szCs w:val="20"/>
          <w:color w:val="auto"/>
        </w:rPr>
      </w:pPr>
    </w:p>
    <w:p>
      <w:pPr>
        <w:ind w:right="260" w:firstLine="180"/>
        <w:spacing w:after="0" w:line="261" w:lineRule="auto"/>
        <w:rPr>
          <w:sz w:val="20"/>
          <w:szCs w:val="20"/>
          <w:color w:val="auto"/>
        </w:rPr>
      </w:pPr>
      <w:r>
        <w:rPr>
          <w:rFonts w:ascii="Times New Roman" w:cs="Times New Roman" w:eastAsia="Times New Roman" w:hAnsi="Times New Roman"/>
          <w:sz w:val="18"/>
          <w:szCs w:val="18"/>
          <w:color w:val="auto"/>
        </w:rPr>
        <w:t>On April 1, 2020, (the "Acquisition Date"), the Company completed the Merger with Telaria. Upon completion of the Merger, each share of Telaria common stock issued and outstanding was converted into 1.082 shares of Magnite common stock. As a result, the Company issued 52,098,945 shares of Magnite common stock. In connection with the Merger, Magnite also assumed Telaria’s 2013 Equity Incentive Plan, as amended; 2008 Stock Plan, as amended; and the ScanScout, Inc. 2009 Equity Incentive Plan, as amended.</w:t>
      </w:r>
    </w:p>
    <w:p>
      <w:pPr>
        <w:spacing w:after="0" w:line="15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Acquisition Date, former holders of Telaria common stock owned approximately 48% and pre-merger holders of Magnite common stock owned approximately 52% of the common stock of the combined company on a fully diluted basis.</w:t>
      </w:r>
    </w:p>
    <w:p>
      <w:pPr>
        <w:spacing w:after="0" w:line="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Merger was accounted for using the acquisition method of accounting in accordance with Accounting Standards Codification, referred to as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Magnite management determined that Magnite was the acquiror for financial accounting purposes. In identifying Magnite as the accounting acquiror, management considered the structure of the transaction and other actions contemplated by the merger agreement, relative outstanding share ownership and market values, the composition of the combined company’s board of directors, the relative size of Magnite and Telaria, and the designation of certain senior management positions of the combined company.</w:t>
      </w:r>
    </w:p>
    <w:p>
      <w:pPr>
        <w:spacing w:after="0" w:line="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or more frequently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6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Management's purchase price allocation is preliminary and subject to change pending finalization of tax attributes and tax related liabilities. Under the acquisition method of accounting for business 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2020, the Company adjusted the preliminary purchase price allocation for Telaria based on updated fair values associated with the acquired intangibles. Changes in projected revenues and costs increased the technology and customer relationships intangible while lengthened timeline for software development reduced in process research and development projects value. Except for the valuation related changes in intangible assets and adjustments to acquisition related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tax accruals and deferred tax liabilities, adjustments to the fair value of opening balance sheet acquired assets and assumed liabilities resulted in minimal changes and refinements by management as of, and for the year-ended, December 31, 2020.</w:t>
      </w:r>
    </w:p>
    <w:p>
      <w:pPr>
        <w:spacing w:after="0" w:line="4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measuring the estimated fair value, where applicable, of the assets acquired and the liabilities assumed, the Company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4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part of the Merger, existing outstanding restricted stock units of Telaria common stock and stock options to purchase common stock of Telaria were exchanged for 1.082 restricted stock units of the Company and options to purchase the Company's common stock, respectively. The fair value of stock options exchanged on the date of the Merger attributable to pre-acquisition services was recorded as purchase consideration. The fair value of the restricted stock units and stock options exchanged on the date of the Merger attributable to post-acquisition services will be recorded as additional stock-based compensation expense in the Company's consolidated statements of operations over their remaining requisite service (vesting) periods.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purchase consideration (in thousands):</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22"/>
        </w:trPr>
        <w:tc>
          <w:tcPr>
            <w:tcW w:w="8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Magnite common stock</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274,604</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stock-based awards exchanged</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 of single trigger equity awards, converted</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287,418</w:t>
            </w:r>
          </w:p>
        </w:tc>
      </w:tr>
      <w:tr>
        <w:trPr>
          <w:trHeight w:val="21"/>
        </w:trPr>
        <w:tc>
          <w:tcPr>
            <w:tcW w:w="8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purchase consideration for the acquisition included 52,008,316 shares of the Company's common stock with a fair value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$274.6 million, based on the Company's stock price as reported on the NYSE on the Acquisition Date. The fair value of stock options and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exchanged on the Acquisition Date attributable to pre-acquisition services of approximately $10.4 million and $1.2 million, respectively,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as purchase consideration. In addition, the Company recorded additional purchase consideration associated with acceleration of 90,629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associated with single-trigger equity awards in the amount of $1.2 million.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stock options and restricted stock units exchanged on the Acquisition Date attributable to post-acquisition services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$4.7 million and $12.2 million, respectively, will be recorded as additional stock-based compensation expense on the Company's consolidated statement of operations over their remaining requisite service (vesting) periods.</w:t>
      </w:r>
    </w:p>
    <w:p>
      <w:pPr>
        <w:spacing w:after="0" w:line="15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purchase price was allocated to the identifiable assets acquired and liabilities assumed based upon their estimated fair values as of the date of the acquisition as set forth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561"/>
        </w:trPr>
        <w:tc>
          <w:tcPr>
            <w:tcW w:w="1280" w:type="dxa"/>
            <w:vAlign w:val="bottom"/>
            <w:tcBorders>
              <w:top w:val="single" w:sz="8" w:color="0000FF"/>
            </w:tcBorders>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51,848</w:t>
            </w: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150,924</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150,755</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491,651</w:t>
            </w: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172,751</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 current portion</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 portion</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23,323</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8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204,233</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287,418</w:t>
            </w:r>
          </w:p>
        </w:tc>
      </w:tr>
      <w:tr>
        <w:trPr>
          <w:trHeight w:val="21"/>
        </w:trPr>
        <w:tc>
          <w:tcPr>
            <w:tcW w:w="12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amount of goodwill resulting from the purchase price allocation is primarily attributable to expected synergies from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Merger are not amortizable for tax purposes.</w:t>
      </w:r>
    </w:p>
    <w:p>
      <w:pPr>
        <w:spacing w:after="0" w:line="156"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intangible assets and estimated useful lives as of the Acquisition Date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 years*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years</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0.75 years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0.25 years</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wp:posOffset>
            </wp:positionV>
            <wp:extent cx="10629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20" w:right="1220" w:firstLine="6"/>
        <w:spacing w:after="0" w:line="237" w:lineRule="auto"/>
        <w:tabs>
          <w:tab w:leader="none" w:pos="1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In-process research and development consists of two projects with a weighted-average useful life of 4.7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-247015</wp:posOffset>
            </wp:positionV>
            <wp:extent cx="10629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5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acquired technology and in-process research and development was valued using The Revenue Split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139" w:lineRule="exact"/>
        <w:rPr>
          <w:sz w:val="20"/>
          <w:szCs w:val="20"/>
          <w:color w:val="auto"/>
        </w:rPr>
      </w:pPr>
    </w:p>
    <w:p>
      <w:pPr>
        <w:ind w:right="320" w:firstLine="648"/>
        <w:spacing w:after="0" w:line="219" w:lineRule="exact"/>
        <w:rPr>
          <w:sz w:val="20"/>
          <w:szCs w:val="20"/>
          <w:color w:val="auto"/>
        </w:rPr>
      </w:pPr>
      <w:r>
        <w:rPr>
          <w:rFonts w:ascii="Times New Roman" w:cs="Times New Roman" w:eastAsia="Times New Roman" w:hAnsi="Times New Roman"/>
          <w:sz w:val="18"/>
          <w:szCs w:val="18"/>
          <w:color w:val="auto"/>
        </w:rPr>
        <w:t>At the Acquisition Date, Telaria had existing Customer Relationships. To the extent that future cash flows of the business would be negatively affected in the absence of these relationships, they would be deemed to have economic value. The Company used the Loss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Revenue and Income Method in its valuation of the existing Customer Relationships.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backlog was based on the Excess Earnings Model, taking into consideration the existing contracts as of the Acquisition Date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39"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and trademarks is included in sales and marketing expenses in the consolidated statement of operations. Once the projects associated with acquired in-process research and development are completed, amortization will be included in cost of revenues in the consolidated statement of operations. The intangible assets generated in the Merger are not tax deductible.</w:t>
      </w:r>
    </w:p>
    <w:p>
      <w:pPr>
        <w:spacing w:after="0" w:line="14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such, as part of the Merger, deferred tax liabilities of $24.0 million were established related to the acquired intangible assets, which were fully offset by the estimated income tax effect of the partial release of Telaria's valuation allowance. The deferred tax liability was calculated based on an estimated combined tax rate of 23.3%.</w:t>
      </w:r>
    </w:p>
    <w:p>
      <w:pPr>
        <w:spacing w:after="0" w:line="14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$17.6 million of acquisition related costs during the year ended December 31, 2020 (see Note 14). In addition, as part of the Merger, the Company acquired Telaria's U.S. federal NOLs of approximately $126.1 million and state NOLs of approximately $87.6 million. Pursuant to Section 382 of the Internal Revenue Code, Telaria, Inc. underwent an ownership change for tax purposes. As a result, the use of the NOLs will be subject to annual Section 382 use limitations. The Company believes the ownership change will not impact the Company's ability to utilize substantially all of the NOLs to the extent it generates taxable income that can be offset by such losses.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adjustments for alignment of accounting policies, and transaction expenses as if the Merger occurred on January 1, 2019. The pro forma results do not include any anticipated cost synergies or other effects of the integration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40" w:type="dxa"/>
            <w:vAlign w:val="bottom"/>
            <w:tcBorders>
              <w:bottom w:val="single" w:sz="8" w:color="auto"/>
            </w:tcBorders>
          </w:tcPr>
          <w:p>
            <w:pPr>
              <w:spacing w:after="0"/>
              <w:rPr>
                <w:sz w:val="16"/>
                <w:szCs w:val="16"/>
                <w:color w:val="auto"/>
              </w:rPr>
            </w:pPr>
          </w:p>
        </w:tc>
      </w:tr>
      <w:tr>
        <w:trPr>
          <w:trHeight w:val="188"/>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4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236,666</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224,452</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(64,030)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(78,585)</w:t>
            </w: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2020, post-Merger revenue on a stand-alone basis for Telaria was $60.1 million.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due to the process of integrating the operations of Telaria into the operations of the Company, the determination of Telaria's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operating results on a standalone basis was impracticable.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11—Accounts Payable and Accrued Expenses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payable—seller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247,891</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payable—trade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employee-related payables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259,439</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12—Accumulated Other Comprehensive Income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were as follows (in thousands):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120" w:type="dxa"/>
            <w:vAlign w:val="bottom"/>
          </w:tcPr>
          <w:p>
            <w:pPr>
              <w:spacing w:after="0"/>
              <w:rPr>
                <w:sz w:val="13"/>
                <w:szCs w:val="13"/>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20" w:type="dxa"/>
            <w:vAlign w:val="bottom"/>
          </w:tcPr>
          <w:p>
            <w:pPr>
              <w:spacing w:after="0"/>
              <w:rPr>
                <w:sz w:val="13"/>
                <w:szCs w:val="13"/>
                <w:color w:val="auto"/>
              </w:rPr>
            </w:pPr>
          </w:p>
        </w:tc>
        <w:tc>
          <w:tcPr>
            <w:tcW w:w="20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 net of tax</w:t>
            </w:r>
          </w:p>
        </w:tc>
        <w:tc>
          <w:tcPr>
            <w:tcW w:w="12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13—Stock-Based Compensation</w:t>
      </w:r>
    </w:p>
    <w:p>
      <w:pPr>
        <w:spacing w:after="0" w:line="202" w:lineRule="exact"/>
        <w:rPr>
          <w:sz w:val="20"/>
          <w:szCs w:val="20"/>
          <w:color w:val="auto"/>
        </w:rPr>
      </w:pPr>
    </w:p>
    <w:p>
      <w:pPr>
        <w:ind w:right="40" w:firstLine="180"/>
        <w:spacing w:after="0" w:line="253" w:lineRule="auto"/>
        <w:rPr>
          <w:sz w:val="20"/>
          <w:szCs w:val="20"/>
          <w:color w:val="auto"/>
        </w:rPr>
      </w:pPr>
      <w:r>
        <w:rPr>
          <w:rFonts w:ascii="Times New Roman" w:cs="Times New Roman" w:eastAsia="Times New Roman" w:hAnsi="Times New Roman"/>
          <w:sz w:val="18"/>
          <w:szCs w:val="18"/>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2008 Stock Plan, as amended (the "2008 Stock Plan"); and the ScanScout, Inc. 2009 Equity Incentive Plan, as amended (the "ScanScout Plan"). All compensatory equity awards outstanding at December 31, 2020 were issued pursuant to the 2014 Equity Incentive Plan, the iSocket Plan, the Chango Plan, the nToggle Plan, the Telaria Plan, the 2008 Stock Plan, the ScanScout Plan, the Inducement Plan, or the Company's 2007 Stock Incentive Plan.</w:t>
      </w:r>
    </w:p>
    <w:p>
      <w:pPr>
        <w:spacing w:after="0" w:line="151" w:lineRule="exact"/>
        <w:rPr>
          <w:sz w:val="20"/>
          <w:szCs w:val="20"/>
          <w:color w:val="auto"/>
        </w:rPr>
      </w:pPr>
    </w:p>
    <w:p>
      <w:pPr>
        <w:ind w:firstLine="177"/>
        <w:spacing w:after="0" w:line="243" w:lineRule="auto"/>
        <w:rPr>
          <w:sz w:val="20"/>
          <w:szCs w:val="20"/>
          <w:color w:val="auto"/>
        </w:rPr>
      </w:pPr>
      <w:r>
        <w:rPr>
          <w:rFonts w:ascii="Times New Roman" w:cs="Times New Roman" w:eastAsia="Times New Roman" w:hAnsi="Times New Roman"/>
          <w:sz w:val="18"/>
          <w:szCs w:val="18"/>
          <w:color w:val="auto"/>
        </w:rPr>
        <w:t>The Company’s equity incentive plans provide for the grant of equity awards, including non-statutory or incentive stock options, restricted stock awards, and restricted stock units,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Restricted stock awards and restricted stock units vest at varying rates, typically approximately 25% vesting after approximately one year of service and the remainder vesting annually, semi-annually, or quarterly thereafter. The restricted stock units granted in 2020, 2019, and 2018, included 0.7 million, 1.8 million, and 2.8 million, respectively, restricted stock units that vest 50% on each of the first and second anniversaries of the grant date. Options, restricted stock awards, and restricted stock units granted under the plans accelerate under certain circumstances for certain participants upon a change in control, as defined in the governing plan. No further awards were made under the iSocket Plan, the Chango Plan, or the nToggle Plan from the date of acquisition and no further awards were made under the 2007 Stock Incentive Plan since the IPO. Available shares under the iSocket Plan, the Chango Plan, and the nToggle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9,705,530 shares remained available for future issuance at December 31, 2020 under the plans. The 2014 Equity Incentive Plan has an evergreen provision pursuant to which the share reserve will automatically increase on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in an amount equal to 5% of the total number of shares of capital stock outstanding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preceding calendar year, although the Company’s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3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6"/>
                <w:szCs w:val="16"/>
                <w:color w:val="auto"/>
              </w:rPr>
            </w:pPr>
          </w:p>
        </w:tc>
        <w:tc>
          <w:tcPr>
            <w:tcW w:w="13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4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assumed in Merger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6.4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168,025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5.1 years</w:t>
            </w:r>
          </w:p>
        </w:tc>
        <w:tc>
          <w:tcPr>
            <w:tcW w:w="2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99,803</w:t>
            </w:r>
          </w:p>
        </w:tc>
        <w:tc>
          <w:tcPr>
            <w:tcW w:w="0" w:type="dxa"/>
            <w:vAlign w:val="bottom"/>
          </w:tcPr>
          <w:p>
            <w:pPr>
              <w:spacing w:after="0" w:line="20" w:lineRule="exact"/>
              <w:rPr>
                <w:sz w:val="1"/>
                <w:szCs w:val="1"/>
                <w:color w:val="auto"/>
              </w:rPr>
            </w:pPr>
          </w:p>
        </w:tc>
      </w:tr>
      <w:tr>
        <w:trPr>
          <w:trHeight w:val="208"/>
        </w:trPr>
        <w:tc>
          <w:tcPr>
            <w:tcW w:w="492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40" w:firstLine="180"/>
        <w:spacing w:after="0" w:line="25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2020 was $21.5 million. At December 31, 2020, the Company had unrecognized employee stock-based compensation expense relating to nonvested stock options of approximately $7.0 million, which is expected to be recognized over a weighted-average period of 2.4 years. The grant date fair value of options granted and assumed during the year ended December 31, 2020 was $3.17 per share. The weighted-average grant date fair value per share of stock options granted during the year ended December 31, 2020 was $3.22 per share and the fair value of options assumed in the Merger was $3.16 per share. Total fair value of options vested during the year ended December 31, 2020 was $4.7 million.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estimates the fair value of stock options that contain service and/or performance conditions using the Black-Scholes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input assumptions used by the Company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16"/>
                <w:szCs w:val="16"/>
                <w:color w:val="auto"/>
              </w:rPr>
            </w:pPr>
          </w:p>
        </w:tc>
        <w:tc>
          <w:tcPr>
            <w:tcW w:w="150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0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2020 is as follows: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2"/>
                <w:szCs w:val="22"/>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outstanding at December 31, 2019</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center"/>
              <w:ind w:left="1212"/>
              <w:spacing w:after="0"/>
              <w:rPr>
                <w:sz w:val="20"/>
                <w:szCs w:val="20"/>
                <w:color w:val="auto"/>
              </w:rPr>
            </w:pPr>
            <w:r>
              <w:rPr>
                <w:rFonts w:ascii="Times New Roman" w:cs="Times New Roman" w:eastAsia="Times New Roman" w:hAnsi="Times New Roman"/>
                <w:sz w:val="18"/>
                <w:szCs w:val="18"/>
                <w:color w:val="auto"/>
                <w:w w:val="98"/>
              </w:rPr>
              <w:t>8,077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4"/>
          </w:tcPr>
          <w:p>
            <w:pPr>
              <w:jc w:val="center"/>
              <w:ind w:left="1212"/>
              <w:spacing w:after="0"/>
              <w:rPr>
                <w:sz w:val="20"/>
                <w:szCs w:val="20"/>
                <w:color w:val="auto"/>
              </w:rPr>
            </w:pPr>
            <w:r>
              <w:rPr>
                <w:rFonts w:ascii="Times New Roman" w:cs="Times New Roman" w:eastAsia="Times New Roman" w:hAnsi="Times New Roman"/>
                <w:sz w:val="18"/>
                <w:szCs w:val="18"/>
                <w:color w:val="auto"/>
                <w:w w:val="98"/>
              </w:rPr>
              <w:t>4,954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assumed in Merger</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center"/>
              <w:ind w:left="1212"/>
              <w:spacing w:after="0"/>
              <w:rPr>
                <w:sz w:val="20"/>
                <w:szCs w:val="20"/>
                <w:color w:val="auto"/>
              </w:rPr>
            </w:pPr>
            <w:r>
              <w:rPr>
                <w:rFonts w:ascii="Times New Roman" w:cs="Times New Roman" w:eastAsia="Times New Roman" w:hAnsi="Times New Roman"/>
                <w:sz w:val="18"/>
                <w:szCs w:val="18"/>
                <w:color w:val="auto"/>
                <w:w w:val="98"/>
              </w:rPr>
              <w:t>2,416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4"/>
          </w:tcPr>
          <w:p>
            <w:pPr>
              <w:jc w:val="center"/>
              <w:ind w:left="1192"/>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rPr>
              <w:t>(5,126)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outstanding at December 31, 2020</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Borders>
              <w:top w:val="single" w:sz="8" w:color="auto"/>
              <w:bottom w:val="single" w:sz="8" w:color="auto"/>
            </w:tcBorders>
            <w:gridSpan w:val="3"/>
          </w:tcPr>
          <w:p>
            <w:pPr>
              <w:jc w:val="center"/>
              <w:ind w:left="957"/>
              <w:spacing w:after="0"/>
              <w:rPr>
                <w:sz w:val="20"/>
                <w:szCs w:val="20"/>
                <w:color w:val="auto"/>
              </w:rPr>
            </w:pPr>
            <w:r>
              <w:rPr>
                <w:rFonts w:ascii="Times New Roman" w:cs="Times New Roman" w:eastAsia="Times New Roman" w:hAnsi="Times New Roman"/>
                <w:sz w:val="18"/>
                <w:szCs w:val="18"/>
                <w:color w:val="auto"/>
                <w:w w:val="98"/>
              </w:rPr>
              <w:t>9,286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per share of restricted stock units granted during the year ended December 31, 2020 was $5.52. The aggregate fair value of restricted stock units that vested during the year ended December 31, 2020 was $43.6 million. At December 31, 2020, the intrinsic value of nonvested restricted stock units was $285.2 million. At December 31, 2020, the Company had unrecognized stock-based compensation expense relating to nonvested restricted stock units of approximately $36.9 million, which is expected to be recognized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April 2020, the Company granted the Company's CEO 146,341 restricted stock units that vest based on certain stock price performance metrics with a fair value of $0.9 million. The grant date fair value per share of restricted stock was $6.15, which was estimated using a Monte-Carlo lattice model. During the year ended December 31, 2020, the Company recognized $0.2 million of stock-based compensation related to these performance stock units based on a performance measurement of 150%. At December 31, 2020, the Company had unrecognized employee stock-based compensation expense of approximately $0.7 million, which is expected to be recognized over the remaining 2.25 years. Between 0% and 150% of the performance stock units will vest on the third anniversary of its grant date. The compensation expense will not be reversed if the performance metrics are not met.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120" w:firstLine="180"/>
        <w:spacing w:after="0" w:line="258" w:lineRule="auto"/>
        <w:rPr>
          <w:sz w:val="20"/>
          <w:szCs w:val="20"/>
          <w:color w:val="auto"/>
        </w:rPr>
      </w:pPr>
      <w:r>
        <w:rPr>
          <w:rFonts w:ascii="Times New Roman" w:cs="Times New Roman" w:eastAsia="Times New Roman" w:hAnsi="Times New Roman"/>
          <w:sz w:val="18"/>
          <w:szCs w:val="18"/>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143" w:lineRule="exact"/>
        <w:rPr>
          <w:sz w:val="20"/>
          <w:szCs w:val="20"/>
          <w:color w:val="auto"/>
        </w:rPr>
      </w:pPr>
    </w:p>
    <w:p>
      <w:pPr>
        <w:ind w:right="20" w:firstLine="170"/>
        <w:spacing w:after="0" w:line="224" w:lineRule="auto"/>
        <w:rPr>
          <w:sz w:val="20"/>
          <w:szCs w:val="20"/>
          <w:color w:val="auto"/>
        </w:rPr>
      </w:pPr>
      <w:r>
        <w:rPr>
          <w:rFonts w:ascii="Times New Roman" w:cs="Times New Roman" w:eastAsia="Times New Roman" w:hAnsi="Times New Roman"/>
          <w:sz w:val="18"/>
          <w:szCs w:val="18"/>
          <w:color w:val="auto"/>
        </w:rPr>
        <w:t>As of December 31, 2020, the Company has reserved 2,049,164 shares of its common stock for issuance under the ESPP. The ESPP has an evergreen provision pursuant to which the share reserve will automatically increase on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in an amount equal to 1% of the total number of shares of capital stock outstanding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preceding calendar year, although the Company’s board of directors may provide for a lesser increase, or no increase, in any year.</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operations was as follows:</w:t>
      </w:r>
    </w:p>
    <w:p>
      <w:pPr>
        <w:spacing w:after="0" w:line="22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r>
      <w:tr>
        <w:trPr>
          <w:trHeight w:val="183"/>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10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and restructuring costs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14—Merger and Restructuring, Costs</w:t>
      </w:r>
    </w:p>
    <w:p>
      <w:pPr>
        <w:spacing w:after="0" w:line="189" w:lineRule="exact"/>
        <w:rPr>
          <w:sz w:val="20"/>
          <w:szCs w:val="20"/>
          <w:color w:val="auto"/>
        </w:rPr>
      </w:pPr>
    </w:p>
    <w:p>
      <w:pPr>
        <w:jc w:val="both"/>
        <w:ind w:right="480" w:firstLine="180"/>
        <w:spacing w:after="0" w:line="266" w:lineRule="auto"/>
        <w:rPr>
          <w:sz w:val="20"/>
          <w:szCs w:val="20"/>
          <w:color w:val="auto"/>
        </w:rPr>
      </w:pPr>
      <w:r>
        <w:rPr>
          <w:rFonts w:ascii="Times New Roman" w:cs="Times New Roman" w:eastAsia="Times New Roman" w:hAnsi="Times New Roman"/>
          <w:sz w:val="18"/>
          <w:szCs w:val="18"/>
          <w:color w:val="auto"/>
        </w:rPr>
        <w:t>Merger and restructuring costs consist primarily of professional services fees and employee termination costs, including stock-based compensation charges, associated with the Merger and restructuring activities. For the year ended December 31, 2018, Merger and restructuring costs also included relocation costs.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Merger and restructuring cost activity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Professional Service (investment banking advisory, legal and other professional</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related (severance and one-time termination benefit costs)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(double-trigger acceleration and severance)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merger and restructuring costs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5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and December 31, 2019, the Company incurred costs of $17.6 million and $2.0 million, respectively, primarily related to the Merger with Telaria. All of the expenses incurred in the year ended December 31, 2019 were incurred during the fourth quarter (refer to "reclassification" note within Note 2).</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2018, the Company announced its restructuring plan to reduce headcount to bring the Company's general and administrative operations into better alignment with the current size of the business and de-layer certain functions, and to reduce its investment in unprofitable projects (the "2018 Restructuring Events"). During the year ended December 31, 2018, the Company incurred restructuring costs of $3.4 million for severance and one-time termination benefits.</w:t>
      </w:r>
    </w:p>
    <w:p>
      <w:pPr>
        <w:spacing w:after="0" w:line="15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Accrued restructuring costs related to the Merger were $2.9 million at December 31, 2020. Accrued restructuring costs associated with personnel costs are included within accounts payable and accrued expenses and accruals related to Merger assumed loss contracts are included within other current liabilities and other liabilities, non-current on the Company's consolidated balance sheet.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Merger and restructuring costs at 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Restructuring costs (personnel related and non-cash stock-based</w:t>
            </w:r>
          </w:p>
        </w:tc>
        <w:tc>
          <w:tcPr>
            <w:tcW w:w="2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restart"/>
          </w:tcPr>
          <w:p>
            <w:pPr>
              <w:jc w:val="center"/>
              <w:ind w:left="95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 (Merger assumed loss contracts)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5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restructuring costs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left="1056"/>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5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Merger and restructuring costs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accrued balance as of December 31, 2020 does not include an additional $0.1 million of personnel related expenses expected to be incurred in 2021 associated with the 2020 restructuring activities as a result of the Merger.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15—Income Taxes</w:t>
      </w:r>
    </w:p>
    <w:p>
      <w:pPr>
        <w:spacing w:after="0" w:line="189" w:lineRule="exact"/>
        <w:rPr>
          <w:sz w:val="20"/>
          <w:szCs w:val="20"/>
          <w:color w:val="auto"/>
        </w:rPr>
      </w:pPr>
    </w:p>
    <w:p>
      <w:pPr>
        <w:ind w:right="260" w:firstLine="177"/>
        <w:spacing w:after="0" w:line="282" w:lineRule="auto"/>
        <w:rPr>
          <w:sz w:val="20"/>
          <w:szCs w:val="20"/>
          <w:color w:val="auto"/>
        </w:rPr>
      </w:pPr>
      <w:r>
        <w:rPr>
          <w:rFonts w:ascii="Times New Roman" w:cs="Times New Roman" w:eastAsia="Times New Roman" w:hAnsi="Times New Roman"/>
          <w:sz w:val="18"/>
          <w:szCs w:val="18"/>
          <w:color w:val="auto"/>
        </w:rPr>
        <w:t>The following are the domestic and foreign components of the Company’s income (loss) before income taxes for the years ended December 31, 2020, 2019, and 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8"/>
        </w:trPr>
        <w:tc>
          <w:tcPr>
            <w:tcW w:w="3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83"/>
        </w:trPr>
        <w:tc>
          <w:tcPr>
            <w:tcW w:w="3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(62,292)</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3700" w:type="dxa"/>
            <w:vAlign w:val="bottom"/>
          </w:tcPr>
          <w:p>
            <w:pPr>
              <w:spacing w:after="0"/>
              <w:rPr>
                <w:sz w:val="24"/>
                <w:szCs w:val="24"/>
                <w:color w:val="auto"/>
              </w:rPr>
            </w:pPr>
          </w:p>
        </w:tc>
        <w:tc>
          <w:tcPr>
            <w:tcW w:w="2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are the components of the provision (benefit) for income taxes for the years ended December 31, 2020, 2019, and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r>
      <w:tr>
        <w:trPr>
          <w:trHeight w:val="183"/>
        </w:trPr>
        <w:tc>
          <w:tcPr>
            <w:tcW w:w="5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83"/>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3"/>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provision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benefit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firstLine="177"/>
        <w:spacing w:after="0" w:line="256" w:lineRule="auto"/>
        <w:rPr>
          <w:sz w:val="20"/>
          <w:szCs w:val="20"/>
          <w:color w:val="auto"/>
        </w:rPr>
      </w:pPr>
      <w:r>
        <w:rPr>
          <w:rFonts w:ascii="Times New Roman" w:cs="Times New Roman" w:eastAsia="Times New Roman" w:hAnsi="Times New Roman"/>
          <w:sz w:val="18"/>
          <w:szCs w:val="18"/>
          <w:color w:val="auto"/>
        </w:rPr>
        <w:t>The Company recorded an income tax expense of $0.7 million for the year ended December 31, 2020 compared to an income tax benefit of $1.5 million and income tax expense of $0.4 million for the years ended December 31, 2019 and 2018, respectively. The tax expense for the years ended December 31, 2020 and December 31, 2018 was primarily the result of the domestic valuation allowance and the tax liability associated with the foreign subsidiaries. The tax benefit for the year ended December 31, 2019 was the result of a deferred tax liability associated with the RTKio acquisition, the release of a foreign valuation allowance resulting from a change to a cost-plus arrangement for a foreign subsidiary, the domestic valuation allowance, and the tax liability associated with foreign subsidiaries.</w:t>
      </w:r>
    </w:p>
    <w:p>
      <w:pPr>
        <w:spacing w:after="0" w:line="147"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the components that caused the Company’s provision (benefit) for income taxes to differ from amounts computed by applying the U.S. Federal statutory rate of 21% for the years ended December 31, 2020, 2019, and 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00" w:type="dxa"/>
            <w:vAlign w:val="bottom"/>
            <w:tcBorders>
              <w:bottom w:val="single" w:sz="8" w:color="auto"/>
            </w:tcBorders>
          </w:tcPr>
          <w:p>
            <w:pPr>
              <w:spacing w:after="0"/>
              <w:rPr>
                <w:sz w:val="16"/>
                <w:szCs w:val="16"/>
                <w:color w:val="auto"/>
              </w:rPr>
            </w:pPr>
          </w:p>
        </w:tc>
      </w:tr>
      <w:tr>
        <w:trPr>
          <w:trHeight w:val="188"/>
        </w:trPr>
        <w:tc>
          <w:tcPr>
            <w:tcW w:w="540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(loss) at other than U.S. rates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cancellation</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162(m) officers compensation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757"/>
        </w:trPr>
        <w:tc>
          <w:tcPr>
            <w:tcW w:w="5400" w:type="dxa"/>
            <w:vAlign w:val="bottom"/>
          </w:tcPr>
          <w:p>
            <w:pPr>
              <w:spacing w:after="0"/>
              <w:rPr>
                <w:sz w:val="24"/>
                <w:szCs w:val="24"/>
                <w:color w:val="auto"/>
              </w:rPr>
            </w:pPr>
          </w:p>
        </w:tc>
        <w:tc>
          <w:tcPr>
            <w:tcW w:w="1880" w:type="dxa"/>
            <w:vAlign w:val="bottom"/>
          </w:tcPr>
          <w:p>
            <w:pPr>
              <w:jc w:val="right"/>
              <w:ind w:right="147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Set forth below are the tax effects of temporary differences that give rise to a significant portion of the deferred tax assets and deferred tax liabilities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4"/>
          </w:tcPr>
          <w:p>
            <w:pPr>
              <w:jc w:val="right"/>
              <w:ind w:right="13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75,853</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 carryovers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95,507</w:t>
            </w:r>
          </w:p>
        </w:tc>
      </w:tr>
      <w:tr>
        <w:trPr>
          <w:trHeight w:val="229"/>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(93,611)</w:t>
            </w:r>
          </w:p>
        </w:tc>
      </w:tr>
      <w:tr>
        <w:trPr>
          <w:trHeight w:val="223"/>
        </w:trPr>
        <w:tc>
          <w:tcPr>
            <w:tcW w:w="7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Right of use lease asset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40" w:firstLine="177"/>
        <w:spacing w:after="0" w:line="282" w:lineRule="auto"/>
        <w:rPr>
          <w:sz w:val="20"/>
          <w:szCs w:val="20"/>
          <w:color w:val="auto"/>
        </w:rPr>
      </w:pPr>
      <w:r>
        <w:rPr>
          <w:rFonts w:ascii="Times New Roman" w:cs="Times New Roman" w:eastAsia="Times New Roman" w:hAnsi="Times New Roman"/>
          <w:sz w:val="18"/>
          <w:szCs w:val="18"/>
          <w:color w:val="auto"/>
        </w:rPr>
        <w:t>The change in valuation allowance for the years ended December 31, 2020, 2019, and 2018 was $16.4 million, $2.7 million, and $9.2 million, respectively.</w:t>
      </w:r>
    </w:p>
    <w:p>
      <w:pPr>
        <w:spacing w:after="0" w:line="121" w:lineRule="exact"/>
        <w:rPr>
          <w:sz w:val="20"/>
          <w:szCs w:val="20"/>
          <w:color w:val="auto"/>
        </w:rPr>
      </w:pPr>
    </w:p>
    <w:p>
      <w:pPr>
        <w:ind w:right="140" w:firstLine="170"/>
        <w:spacing w:after="0" w:line="258" w:lineRule="auto"/>
        <w:rPr>
          <w:sz w:val="20"/>
          <w:szCs w:val="20"/>
          <w:color w:val="auto"/>
        </w:rPr>
      </w:pPr>
      <w:r>
        <w:rPr>
          <w:rFonts w:ascii="Times New Roman" w:cs="Times New Roman" w:eastAsia="Times New Roman" w:hAnsi="Times New Roman"/>
          <w:sz w:val="18"/>
          <w:szCs w:val="18"/>
          <w:color w:val="auto"/>
        </w:rPr>
        <w:t>At December 31, 2020, the Company had U.S. federal net operating loss carryforwards, or NOLs, of approximately $453.2 million, which will begin to expire in 2027. At December 31, 2020, the Company had state NOLs of approximately $280.0 million, which will begin to expire in 2027. At December 31, 2020, the Company had foreign NOLs of approximately $25.0 million, which will begin to expire in 2026. At December 31, 2020, the Company had state research and development tax credits of approximately $8.0 million, which carry forward indefinitely. No amounts for any federal or state research and development tax credits for the year ended December 31, 2019 or December 31, 2020 are included herein.</w:t>
      </w:r>
    </w:p>
    <w:p>
      <w:pPr>
        <w:spacing w:after="0" w:line="143" w:lineRule="exact"/>
        <w:rPr>
          <w:sz w:val="20"/>
          <w:szCs w:val="20"/>
          <w:color w:val="auto"/>
        </w:rPr>
      </w:pPr>
    </w:p>
    <w:p>
      <w:pPr>
        <w:ind w:right="60" w:firstLine="180"/>
        <w:spacing w:after="0" w:line="253"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To date, the Company has not taken advantage of any relief under the Cares Act. On December 27, 2020, President Trump signed into law the Consolidated Appropriations Act, 2021 ("CAA"). The CAA is meant to provide additional relief and support to those impacted by the COVID-19 pandemic. The CAA includes provisions relating to payroll tax deferrals, family leave, and a five-year extension of a myriad of tax provisions that were set to expire. The company is evaluating the potential tax implications of the CAA on the Company for 2021. In addition, various foreign jurisdictions where the Company has activity have enacted or are considering enacting a variety of measures. The Company has not received any relief that will impact its tax liabilities. The Company is monitoring new legislation and evaluating the potential tax implications of these measures globally.</w:t>
      </w:r>
    </w:p>
    <w:p>
      <w:pPr>
        <w:spacing w:after="0" w:line="16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382 of the Internal Revenue Code, the Company and Telaria, Inc.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147" w:lineRule="exact"/>
        <w:rPr>
          <w:sz w:val="20"/>
          <w:szCs w:val="20"/>
          <w:color w:val="auto"/>
        </w:rPr>
      </w:pPr>
    </w:p>
    <w:p>
      <w:pPr>
        <w:ind w:right="100" w:firstLine="170"/>
        <w:spacing w:after="0" w:line="266" w:lineRule="auto"/>
        <w:rPr>
          <w:sz w:val="20"/>
          <w:szCs w:val="20"/>
          <w:color w:val="auto"/>
        </w:rPr>
      </w:pPr>
      <w:r>
        <w:rPr>
          <w:rFonts w:ascii="Times New Roman" w:cs="Times New Roman" w:eastAsia="Times New Roman" w:hAnsi="Times New Roman"/>
          <w:sz w:val="18"/>
          <w:szCs w:val="18"/>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firstLine="170"/>
        <w:spacing w:after="0" w:line="258" w:lineRule="auto"/>
        <w:rPr>
          <w:sz w:val="20"/>
          <w:szCs w:val="20"/>
          <w:color w:val="auto"/>
        </w:rPr>
      </w:pPr>
      <w:r>
        <w:rPr>
          <w:rFonts w:ascii="Times New Roman" w:cs="Times New Roman" w:eastAsia="Times New Roman" w:hAnsi="Times New Roman"/>
          <w:sz w:val="18"/>
          <w:szCs w:val="18"/>
          <w:color w:val="auto"/>
        </w:rPr>
        <w:t>At December 31, 2020, unremitted earnings of the subsidiaries outside of the United States were approximately $22.1 million, on which the Company previously recorded a transition tax of $3.3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8"/>
        </w:trPr>
        <w:tc>
          <w:tcPr>
            <w:tcW w:w="9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29"/>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Decreases related to current year tax positions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29"/>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29"/>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0"/>
        </w:trPr>
        <w:tc>
          <w:tcPr>
            <w:tcW w:w="9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penalties related to the Company’s unrecognized tax benefits accrued at December 31, 2020, 2019, and 2018 were not material.</w:t>
      </w:r>
    </w:p>
    <w:p>
      <w:pPr>
        <w:spacing w:after="0" w:line="185"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color w:val="auto"/>
        </w:rPr>
        <w:t>Due to the net operating loss carryforwards, the Company's United States federal and a majority of its state returns are open to examination by the Internal Revenue Service and state jurisdictions for all years since inception. For Canada, Japan, the Netherlands, and the United Kingdom, all tax years remain open for examination by the local country tax authorities, for France only 2017 forward are open for examination, for Singapore 2016 and forward are open for examination, and for Australia, Brazil, and Germany, tax years 2015 and forward are open for examination.</w:t>
      </w:r>
    </w:p>
    <w:p>
      <w:pPr>
        <w:spacing w:after="0" w:line="139"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Company does not expect its uncertain income tax positions to have a material impact on its consolidated financial statements within the next twelve months.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16—Leases</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ASC 842 as of January 1, 2019. As part of the implementation, the Company recognized its lease liabilities, including the current and non-current portions, within its consolidated balance sheet as of the adoption date, which represents the present value of the Company’s obligation related to the estimated future lease payments. The Company also recognized a right-of-use asset, or ROU asset, which represents the right to use the leased asset over the period of the lease. The ROU asset was calculated as the lease liability less any asset or liability balances that existed at the time of adoption.</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lease term is generally specified in the lease agreement,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Certain data center lease agreements include one year extension options or month-to-month extension options, and one or more of these extensions have been assumed for each lease that the Company believes to be an integral part of the business in the near term. The lease terms of the Company’s operating leases generally range from 1.0 year to 10.0 years, and the weighted average remaining lease term of leases included in the lease liability is 6.2 years as of December 31, 2020.</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determine the estimated future lease payments, the Company reviews each of its lease agreements to identify the various payment components. For real estate and equipment leases, the Company includes only the actual lease components in its determination of future lease payments, and for its data center leases, includes both the fixed lease and non-lease components in the estimated future lease payments. This typically includes a fixed minimum power commitment that is included in the data center agreements, but it does not include any variable or usage-based additional charges. Once the estimated future lease payments are determined, the Company uses a discount rate to calculate the present value of the future lease payments. Because most of the Company's leases do not provide an implicit rate of return, the Company uses the incremental borrowing rate it would be subject to on borrowings from its available revolving debt agreement based on the information available at the lease commencement date in determining the present value of lease payments. As of December 31, 2020, a weighted average discount rate of 5.00% has been applied to the remaining lease payments to calculate the lease liabilities included within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$13.4 million of lease expense under ASC 842, which included operating lease expenses associated with leases included in the lease liability and ROU asset on the consolidated balance sheet. In addition, for the year ended December 31, 2020, the Company recognized expenses of $20.4 million of cloud-based services related to data centers and $1.0 million of lease expense related to short-term leases that are not included in the ROU asset or lease liability balances.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the Company recognized $7.8 million of lease expense under ASC 842, which included operating lease expenses associated with leases included in the lease liability and ROU asset on the consolidated balance sheet. In addition, for the year ended December 31, 2019, the Company recognized expenses of $10.0 million of cloud-based services related to data centers and $1.2 million of lease expense related to short-term leases that are not included in the ROU asset or lease liability balances.</w:t>
      </w:r>
    </w:p>
    <w:p>
      <w:pPr>
        <w:spacing w:after="0" w:line="15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the Company recognized rental expenses of $19.7 million under ASC 840, which included expenses related to short-term leases, and also included certain non-lease components including variable capacity related expenses for cloud-based services related to data centers of $7.1 million.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the Company's lease liabilities associated with leases included in the lease liability and ROU asset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(in thousands):</w:t>
      </w:r>
    </w:p>
    <w:p>
      <w:pPr>
        <w:spacing w:after="0" w:line="209"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r>
      <w:tr>
        <w:trPr>
          <w:trHeight w:val="22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29"/>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30"/>
        </w:trPr>
        <w:tc>
          <w:tcPr>
            <w:tcW w:w="9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w:t>
            </w:r>
          </w:p>
        </w:tc>
      </w:tr>
      <w:tr>
        <w:trPr>
          <w:trHeight w:val="223"/>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49,167</w:t>
            </w:r>
          </w:p>
        </w:tc>
      </w:tr>
      <w:tr>
        <w:trPr>
          <w:trHeight w:val="223"/>
        </w:trPr>
        <w:tc>
          <w:tcPr>
            <w:tcW w:w="9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r>
      <w:tr>
        <w:trPr>
          <w:trHeight w:val="248"/>
        </w:trPr>
        <w:tc>
          <w:tcPr>
            <w:tcW w:w="9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liabilities—total (discounted)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00" w:firstLine="177"/>
        <w:spacing w:after="0" w:line="266" w:lineRule="auto"/>
        <w:rPr>
          <w:sz w:val="20"/>
          <w:szCs w:val="20"/>
          <w:color w:val="auto"/>
        </w:rPr>
      </w:pPr>
      <w:r>
        <w:rPr>
          <w:rFonts w:ascii="Times New Roman" w:cs="Times New Roman" w:eastAsia="Times New Roman" w:hAnsi="Times New Roman"/>
          <w:sz w:val="18"/>
          <w:szCs w:val="18"/>
          <w:color w:val="auto"/>
        </w:rPr>
        <w:t>The Company also received rental income of $3.7 million, $0.3 million, and $0.8 million for real estate leases for which it subleases the property to a third party during the year ended December 31, 2020, 2019, and 2018, respectively. Rental income is included in other income in the consolidated statement of operations.</w:t>
      </w:r>
    </w:p>
    <w:p>
      <w:pPr>
        <w:spacing w:after="0" w:line="13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lease liabilities included in these consolidated financial statements at December 31, 2020, during the three months ended December 31, 2020, the Company entered into agreements for an office lease for its corporate headquarters in Los Angeles and a data center in Singapore which have not commenced as of December 31, 2020, therefore, not included in the lease liability on the balance sheet. The Company has future commitments totaling $23.2 million over the course of 10 years for the office lease and $5.6 million over the course of four years for the data center in Singapore.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17—Commitments and Contingencies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has commitments under non-cancelable operating leases for facilities, certain equipment, and its managed data center facilities (Note 16).</w:t>
      </w:r>
    </w:p>
    <w:p>
      <w:pPr>
        <w:spacing w:after="0" w:line="18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during the year ended December 31, 2020, the Company entered into an agreement for third-party cloud-managed services. As part of the agreement, the Company has a minimum commitment to pay $20.0 million over the course of five years, with no annual minimum commitment. As of December 31, 2020, the Company's commitment is $18.0 million.</w:t>
      </w:r>
    </w:p>
    <w:p>
      <w:pPr>
        <w:spacing w:after="0" w:line="149" w:lineRule="exact"/>
        <w:rPr>
          <w:sz w:val="20"/>
          <w:szCs w:val="20"/>
          <w:color w:val="auto"/>
        </w:rPr>
      </w:pPr>
    </w:p>
    <w:p>
      <w:pPr>
        <w:ind w:right="560" w:firstLine="170"/>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Company had $6.3 million and $2.5 million, respectively, of letters of credit associated with office leases available for borrowing, on which there were no outstanding borrowings as of either date.</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189" w:lineRule="exact"/>
        <w:rPr>
          <w:sz w:val="20"/>
          <w:szCs w:val="20"/>
          <w:color w:val="auto"/>
        </w:rPr>
      </w:pPr>
    </w:p>
    <w:p>
      <w:pPr>
        <w:ind w:right="100" w:firstLine="177"/>
        <w:spacing w:after="0" w:line="266" w:lineRule="auto"/>
        <w:rPr>
          <w:sz w:val="20"/>
          <w:szCs w:val="20"/>
          <w:color w:val="auto"/>
        </w:rPr>
      </w:pPr>
      <w:r>
        <w:rPr>
          <w:rFonts w:ascii="Times New Roman" w:cs="Times New Roman" w:eastAsia="Times New Roman" w:hAnsi="Times New Roman"/>
          <w:sz w:val="18"/>
          <w:szCs w:val="18"/>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2020. However, based on management’s knowledge as of December 31, 2020,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8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18—Debt</w:t>
      </w:r>
    </w:p>
    <w:p>
      <w:pPr>
        <w:spacing w:after="0" w:line="189" w:lineRule="exact"/>
        <w:rPr>
          <w:sz w:val="20"/>
          <w:szCs w:val="20"/>
          <w:color w:val="auto"/>
        </w:rPr>
      </w:pPr>
    </w:p>
    <w:p>
      <w:pPr>
        <w:ind w:right="60" w:firstLine="180"/>
        <w:spacing w:after="0" w:line="241" w:lineRule="auto"/>
        <w:rPr>
          <w:sz w:val="20"/>
          <w:szCs w:val="20"/>
          <w:color w:val="auto"/>
        </w:rPr>
      </w:pPr>
      <w:r>
        <w:rPr>
          <w:rFonts w:ascii="Times New Roman" w:cs="Times New Roman" w:eastAsia="Times New Roman" w:hAnsi="Times New Roman"/>
          <w:sz w:val="18"/>
          <w:szCs w:val="18"/>
          <w:color w:val="auto"/>
        </w:rPr>
        <w:t>On September 25, 2020, the Company amended and restated its loan and security agreement with Silicon Valley Bank ("SVB") (the "Loan Agreement"), which was scheduled to expire on September 26, 2020. The Loan Agreement provides a senior secured revolving credit facility of up to the lesser of $60.0 million and 85% of eligible accounts receivable, with a maturity date of September 25, 2022. The Loan Agreement includes a letter of credit, foreign exchange and cash management facility with a sublimit up to $10.0 million, of which $6.3 million was utilized for letters of credit related to leases as of December 31, 2020 (see Note 17). As of December 31, 2020, the amount available for borrowing is $53.7 million. The Company incurred $0.1 million of debt issuance fees that were capitalized and are being amortized over the term of the Loan Agreement.</w:t>
      </w:r>
    </w:p>
    <w:p>
      <w:pPr>
        <w:spacing w:after="0" w:line="143" w:lineRule="exact"/>
        <w:rPr>
          <w:sz w:val="20"/>
          <w:szCs w:val="20"/>
          <w:color w:val="auto"/>
        </w:rPr>
      </w:pPr>
    </w:p>
    <w:p>
      <w:pPr>
        <w:ind w:right="420" w:firstLine="170"/>
        <w:spacing w:after="0" w:line="245" w:lineRule="auto"/>
        <w:rPr>
          <w:sz w:val="20"/>
          <w:szCs w:val="20"/>
          <w:color w:val="auto"/>
        </w:rPr>
      </w:pPr>
      <w:r>
        <w:rPr>
          <w:rFonts w:ascii="Times New Roman" w:cs="Times New Roman" w:eastAsia="Times New Roman" w:hAnsi="Times New Roman"/>
          <w:sz w:val="18"/>
          <w:szCs w:val="18"/>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2.25%, with LIBOR having a floor of 3.5%. If the Company elects prime, advances bear interest at a rate of prime plus 0.25%, with prime having a floor of 3.5%.</w:t>
      </w:r>
    </w:p>
    <w:p>
      <w:pPr>
        <w:spacing w:after="0" w:line="154" w:lineRule="exact"/>
        <w:rPr>
          <w:sz w:val="20"/>
          <w:szCs w:val="20"/>
          <w:color w:val="auto"/>
        </w:rPr>
      </w:pPr>
    </w:p>
    <w:p>
      <w:pPr>
        <w:ind w:right="60" w:firstLine="177"/>
        <w:spacing w:after="0" w:line="256" w:lineRule="auto"/>
        <w:rPr>
          <w:sz w:val="20"/>
          <w:szCs w:val="20"/>
          <w:color w:val="auto"/>
        </w:rPr>
      </w:pPr>
      <w:r>
        <w:rPr>
          <w:rFonts w:ascii="Times New Roman" w:cs="Times New Roman" w:eastAsia="Times New Roman" w:hAnsi="Times New Roman"/>
          <w:sz w:val="18"/>
          <w:szCs w:val="18"/>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The Company is required to maintain a lockbox arrangement where clients payments received in the lockbox will be deposited daily into the Company's operating bank accounts.</w:t>
      </w:r>
    </w:p>
    <w:p>
      <w:pPr>
        <w:spacing w:after="0" w:line="147" w:lineRule="exact"/>
        <w:rPr>
          <w:sz w:val="20"/>
          <w:szCs w:val="20"/>
          <w:color w:val="auto"/>
        </w:rPr>
      </w:pPr>
    </w:p>
    <w:p>
      <w:pPr>
        <w:ind w:right="380" w:firstLine="177"/>
        <w:spacing w:after="0" w:line="242" w:lineRule="auto"/>
        <w:rPr>
          <w:sz w:val="20"/>
          <w:szCs w:val="20"/>
          <w:color w:val="auto"/>
        </w:rPr>
      </w:pPr>
      <w:r>
        <w:rPr>
          <w:rFonts w:ascii="Times New Roman" w:cs="Times New Roman" w:eastAsia="Times New Roman" w:hAnsi="Times New Roman"/>
          <w:sz w:val="18"/>
          <w:szCs w:val="18"/>
          <w:color w:val="auto"/>
        </w:rPr>
        <w:t>The Loan Agreement requires the Company to comply with financial covenants, measured quarterly, with respect to a minimum liquidity ratio and maximum quarterly cash burn. The Company is required to maintain a minimum liquidity ratio of at least 1.25 on the last day of each quarter and not exceed, on an absolute basis, a maximum quarterly cash burn for specific periods, as defined in the Loan Agreement. The Liquidity Ratio is defined as Cash and Cash Equivalents, plus Accounts Receivable, less Accounts Payable - Seller, divided by all obligations the Company has to pay to SVB, including all debt balances, interest, service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fees, and unused credit line fees, net of outstanding letters of credit as of the balance sheet date. Cash Burn is defined as Adjusted EBITDA less Capital Expenditures during the trailing periods as outlined in the Loan Agreement. The Loan Agreement defines Capital Expenditures as the current period unfinanced cash expenditures that are capitalized and amortized, including but not limited to property and equipment and capitalized labor costs as they relate to internal use software development costs. As of December 31, 2020, the Company was in compliance with its financial covenants.</w:t>
      </w:r>
    </w:p>
    <w:p>
      <w:pPr>
        <w:spacing w:after="0" w:line="208" w:lineRule="exact"/>
        <w:rPr>
          <w:sz w:val="20"/>
          <w:szCs w:val="20"/>
          <w:color w:val="auto"/>
        </w:rPr>
      </w:pPr>
    </w:p>
    <w:p>
      <w:pPr>
        <w:ind w:right="20" w:firstLine="177"/>
        <w:spacing w:after="0" w:line="266" w:lineRule="auto"/>
        <w:rPr>
          <w:sz w:val="20"/>
          <w:szCs w:val="20"/>
          <w:color w:val="auto"/>
        </w:rPr>
      </w:pPr>
      <w:r>
        <w:rPr>
          <w:rFonts w:ascii="Times New Roman" w:cs="Times New Roman" w:eastAsia="Times New Roman" w:hAnsi="Times New Roman"/>
          <w:sz w:val="18"/>
          <w:szCs w:val="18"/>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135" w:lineRule="exact"/>
        <w:rPr>
          <w:sz w:val="20"/>
          <w:szCs w:val="20"/>
          <w:color w:val="auto"/>
        </w:rPr>
      </w:pPr>
    </w:p>
    <w:p>
      <w:pPr>
        <w:ind w:right="660" w:firstLine="170"/>
        <w:spacing w:after="0" w:line="266" w:lineRule="auto"/>
        <w:rPr>
          <w:sz w:val="20"/>
          <w:szCs w:val="20"/>
          <w:color w:val="auto"/>
        </w:rPr>
      </w:pPr>
      <w:r>
        <w:rPr>
          <w:rFonts w:ascii="Times New Roman" w:cs="Times New Roman" w:eastAsia="Times New Roman" w:hAnsi="Times New Roman"/>
          <w:sz w:val="18"/>
          <w:szCs w:val="18"/>
          <w:color w:val="auto"/>
        </w:rPr>
        <w:t>As of December 31, 2020, there were no amounts outstanding under the Loan Agreement (other than with respect to the letters of credit). Future availability under the credit facility is dependent on several factors including the available borrowing base and compliance with future covenant requirements.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19—Related Party Transactions</w:t>
      </w:r>
    </w:p>
    <w:p>
      <w:pPr>
        <w:spacing w:after="0" w:line="189" w:lineRule="exact"/>
        <w:rPr>
          <w:sz w:val="20"/>
          <w:szCs w:val="20"/>
          <w:color w:val="auto"/>
        </w:rPr>
      </w:pPr>
    </w:p>
    <w:p>
      <w:pPr>
        <w:ind w:right="260" w:firstLine="1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did not enter into any transactions with its related parties or affiliates of its related parties requiring disclosure pursuant to the applicable rules of the Financial Accounting Standards Boards or the U.S. Securities and Exchange Commission.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20—Quarterly Financial Data (Unaudited)</w:t>
      </w:r>
    </w:p>
    <w:p>
      <w:pPr>
        <w:spacing w:after="0" w:line="18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tables set forth the Company's quarterly consolidated statements of operations data for each of the eight quarters in the two-year period ended December 31, 2020. The Company has prepared the quarterly unaudited consolidated statements of operations data on a basis consistent with the audited consolidated financial statements included elsewhere in this Annual Report on Form 10-K. In the opinion of management, the financial information in these tables reflects all adjustments, consisting only of normal recurring adjustments, which management considers necessary for a fair statement of this data. This information should be read in conjunction with the audited consolidated financial statements and related notes included elsewhere in this Annual Report on Form 10-K. The results of historical periods are not necessarily indicative of the results for any future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 31, 2019</w:t>
            </w: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 30, 2019</w:t>
            </w:r>
          </w:p>
        </w:tc>
        <w:tc>
          <w:tcPr>
            <w:tcW w:w="1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2020</w:t>
            </w: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2020</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gridSpan w:val="9"/>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82,003</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21,168</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22,971</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14,766</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 and restructuring costs</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82"/>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45,704</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46,470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44,323</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47,500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47,022</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82,910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74,008</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4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4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Weighted-average shares used to compute net</w:t>
            </w:r>
          </w:p>
        </w:tc>
        <w:tc>
          <w:tcPr>
            <w:tcW w:w="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per share:</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51,577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52,358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112,746</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124,376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21—Subsequent Events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4, 2021, the Company entered into a Stock Purchase Agreement (the "Purchase Agreement") with RTL to purchase all of the issued and outstanding shares of capital stock of SpotX, Inc., (SpotX"), a Delaware corporation and wholly owned subsidiary of RTL, for a purchase price equal to $560 million in cash ("Cash Consideration") and 14 million shares of the Company's common stock. The Cash Consideration is subject to customary working capital and other adjustments. The board of directors of the Company has approved the transactions contemplated by the Purchase Agreement. The transactions are not subject to approval by the stockholders of the Company.</w:t>
      </w:r>
    </w:p>
    <w:p>
      <w:pPr>
        <w:spacing w:after="0" w:line="1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includes customary representations, warranties and covenants of the parties, including covenants with respect to actions taken prior to the closing and cooperation with respect to seeking regulatory approvals.</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finance the Cash Consideration in part from cash on its balance sheet and in part through borrowings under certain proposed new credit facilities. In connection with entering into the Purchase Agreement, the Company entered into the Commitment letter, dated as of February 4, 2021, with Goldman Sachs Bank USA (the "Commitment Party"), pursuant to which, subject to the terms and conditions set forth therein, the Commitment Party has committed to provide a senior secured term loan facility in an aggregate principal amount of up to $560 million. The funding of the Term Loan Facility provided for in the Commitment Letter is contingent on the satisfaction of customary conditions, including the execution and delivery of definitive documentation with respect to credit facilities in accordance with the terms set forth in the Commitment Letter and the consummation of the SpotX acquisition in accordance with the Purchase Agreement.</w:t>
      </w:r>
    </w:p>
    <w:p>
      <w:pPr>
        <w:spacing w:after="0" w:line="200" w:lineRule="exact"/>
        <w:rPr>
          <w:sz w:val="20"/>
          <w:szCs w:val="20"/>
          <w:color w:val="auto"/>
        </w:rPr>
      </w:pPr>
    </w:p>
    <w:p>
      <w:pPr>
        <w:spacing w:after="0" w:line="376" w:lineRule="exact"/>
        <w:rPr>
          <w:sz w:val="20"/>
          <w:szCs w:val="20"/>
          <w:color w:val="auto"/>
        </w:rPr>
      </w:pPr>
    </w:p>
    <w:p>
      <w:pPr>
        <w:ind w:right="380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2020, our disclosure controls and procedures were effective at the reasonable assurance level.</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280" w:firstLine="177"/>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2020 that have materially affected, or are reasonably likely to materially affect, our internal control over financial reporting, except as noted below.</w:t>
      </w:r>
    </w:p>
    <w:p>
      <w:pPr>
        <w:spacing w:after="0" w:line="13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April 1, 2020, we completed the Merger with Telaria. See Note 10 of "Notes to Consolidated Financial Statements" for more information. We are currently integrating Telaria into our operations and internal control processes. As we complete this integration, we are analyzing, evaluating, and where necessary, making changes in control and procedures related to the Telaria business,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2020 excludes Telaria to the extent that they are not yet integrated into our internal controls environment.</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permitted by the Securities and Exchange Commission, companies are allowed to exclude acquisitions from their assessment of internal control over financial reporting during the first year of an acquisition. During the quarter ended June 30, 2020, the Company acquired Telaria, Inc.. Pursuant to applicable rules, because the Company has not yet fully incorporated the internal controls and procedures of the acquired entity into the Company's internal control over financial reporting, management excluded certain elements related to the acquired business from its assessment of the effectiveness of internal control over financial reporting as of December 31, 2020. The excluded elements of the Telaria business represented 25% of the Company's revenue and 25% of the Company’s total assets as of and for the year ended December 31, 2020.</w:t>
      </w:r>
    </w:p>
    <w:p>
      <w:pPr>
        <w:spacing w:after="0" w:line="16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Based on this evaluation, management concluded that the Company's internal control over financial reporting was effective as of December 31, 2020. Deloitte &amp; Touche LLP has independently assessed the effectiveness of our internal control over financial reporting and its report is included under "Item 8. Financial Statements and Supplementary Data."</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ind w:firstLine="180"/>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be included in our Proxy Statement for the 2021 Annual Meeting of Stockholders to be filed with the SEC within 120 days of the fiscal year ended December 31, 2020, or the 2021 Proxy Statement, under the headings "Proposal 1—Election of Directors," "Delinquent Section 16(a) Reports," (if applicable)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included in the 2021 Proxy Statement under the headings "Executive Officers" and "Executive Compensation" and is incorporated herein by reference.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2021 Proxy Statement under the heading "Common Stock Ownership of Certain Beneficial Owners and Management" and is incorporated herein by reference.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40" w:firstLine="177"/>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2021 Proxy Statement under the headings "Certain Relationships and Related Person Transactions" and "Director Independence" and is incorporated herein by reference.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right="40" w:firstLine="177"/>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2021 Proxy Statement under the heading "Proposal 2—Ratification of the Selection of Deloitte &amp; Touche LLP as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660" w:type="dxa"/>
            <w:vAlign w:val="bottom"/>
            <w:gridSpan w:val="10"/>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880" w:type="dxa"/>
            <w:vAlign w:val="bottom"/>
          </w:tcPr>
          <w:p>
            <w:pPr>
              <w:spacing w:after="0"/>
              <w:rPr>
                <w:sz w:val="17"/>
                <w:szCs w:val="17"/>
                <w:color w:val="auto"/>
              </w:rPr>
            </w:pPr>
          </w:p>
        </w:tc>
      </w:tr>
      <w:tr>
        <w:trPr>
          <w:trHeight w:val="749"/>
        </w:trPr>
        <w:tc>
          <w:tcPr>
            <w:tcW w:w="1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380" w:type="dxa"/>
            <w:vAlign w:val="bottom"/>
            <w:gridSpan w:val="8"/>
          </w:tcPr>
          <w:p>
            <w:pPr>
              <w:spacing w:after="0"/>
              <w:rPr>
                <w:sz w:val="24"/>
                <w:szCs w:val="24"/>
                <w:color w:val="auto"/>
              </w:rPr>
            </w:pPr>
          </w:p>
        </w:tc>
        <w:tc>
          <w:tcPr>
            <w:tcW w:w="1880" w:type="dxa"/>
            <w:vAlign w:val="bottom"/>
          </w:tcPr>
          <w:p>
            <w:pPr>
              <w:spacing w:after="0"/>
              <w:rPr>
                <w:sz w:val="24"/>
                <w:szCs w:val="24"/>
                <w:color w:val="auto"/>
              </w:rPr>
            </w:pPr>
          </w:p>
        </w:tc>
      </w:tr>
      <w:tr>
        <w:trPr>
          <w:trHeight w:val="635"/>
        </w:trPr>
        <w:tc>
          <w:tcPr>
            <w:tcW w:w="8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880" w:type="dxa"/>
            <w:vAlign w:val="bottom"/>
          </w:tcPr>
          <w:p>
            <w:pPr>
              <w:spacing w:after="0"/>
              <w:rPr>
                <w:sz w:val="24"/>
                <w:szCs w:val="24"/>
                <w:color w:val="auto"/>
              </w:rPr>
            </w:pPr>
          </w:p>
        </w:tc>
      </w:tr>
      <w:tr>
        <w:trPr>
          <w:trHeight w:val="310"/>
        </w:trPr>
        <w:tc>
          <w:tcPr>
            <w:tcW w:w="866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(a) We have filed the following documents as part of this Annual Report on Form 10-K:</w:t>
            </w:r>
          </w:p>
        </w:tc>
        <w:tc>
          <w:tcPr>
            <w:tcW w:w="1880" w:type="dxa"/>
            <w:vAlign w:val="bottom"/>
          </w:tcPr>
          <w:p>
            <w:pPr>
              <w:spacing w:after="0"/>
              <w:rPr>
                <w:sz w:val="24"/>
                <w:szCs w:val="24"/>
                <w:color w:val="auto"/>
              </w:rPr>
            </w:pPr>
          </w:p>
        </w:tc>
      </w:tr>
      <w:tr>
        <w:trPr>
          <w:trHeight w:val="459"/>
        </w:trPr>
        <w:tc>
          <w:tcPr>
            <w:tcW w:w="866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1880" w:type="dxa"/>
            <w:vAlign w:val="bottom"/>
          </w:tcPr>
          <w:p>
            <w:pPr>
              <w:spacing w:after="0"/>
              <w:rPr>
                <w:sz w:val="24"/>
                <w:szCs w:val="24"/>
                <w:color w:val="auto"/>
              </w:rPr>
            </w:pPr>
          </w:p>
        </w:tc>
      </w:tr>
      <w:tr>
        <w:trPr>
          <w:trHeight w:val="459"/>
        </w:trPr>
        <w:tc>
          <w:tcPr>
            <w:tcW w:w="1040" w:type="dxa"/>
            <w:vAlign w:val="bottom"/>
          </w:tcPr>
          <w:p>
            <w:pPr>
              <w:spacing w:after="0"/>
              <w:rPr>
                <w:sz w:val="24"/>
                <w:szCs w:val="24"/>
                <w:color w:val="auto"/>
              </w:rPr>
            </w:pPr>
          </w:p>
        </w:tc>
        <w:tc>
          <w:tcPr>
            <w:tcW w:w="42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Report of Independent Registered Public Accounting Firm</w:t>
            </w:r>
          </w:p>
        </w:tc>
        <w:tc>
          <w:tcPr>
            <w:tcW w:w="3400" w:type="dxa"/>
            <w:vAlign w:val="bottom"/>
            <w:gridSpan w:val="2"/>
          </w:tcPr>
          <w:p>
            <w:pPr>
              <w:spacing w:after="0"/>
              <w:rPr>
                <w:sz w:val="24"/>
                <w:szCs w:val="24"/>
                <w:color w:val="auto"/>
              </w:rPr>
            </w:pP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209"/>
        </w:trPr>
        <w:tc>
          <w:tcPr>
            <w:tcW w:w="1040" w:type="dxa"/>
            <w:vAlign w:val="bottom"/>
          </w:tcPr>
          <w:p>
            <w:pPr>
              <w:spacing w:after="0"/>
              <w:rPr>
                <w:sz w:val="18"/>
                <w:szCs w:val="18"/>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67</w:t>
              </w:r>
            </w:hyperlink>
          </w:p>
        </w:tc>
      </w:tr>
      <w:tr>
        <w:trPr>
          <w:trHeight w:val="20"/>
        </w:trPr>
        <w:tc>
          <w:tcPr>
            <w:tcW w:w="104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4800" w:type="dxa"/>
            <w:vAlign w:val="bottom"/>
            <w:gridSpan w:val="6"/>
          </w:tcPr>
          <w:p>
            <w:pPr>
              <w:spacing w:after="0"/>
              <w:rPr>
                <w:sz w:val="18"/>
                <w:szCs w:val="18"/>
                <w:color w:val="auto"/>
              </w:rPr>
            </w:pP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68</w:t>
              </w:r>
            </w:hyperlink>
          </w:p>
        </w:tc>
      </w:tr>
      <w:tr>
        <w:trPr>
          <w:trHeight w:val="210"/>
        </w:trPr>
        <w:tc>
          <w:tcPr>
            <w:tcW w:w="1040" w:type="dxa"/>
            <w:vAlign w:val="bottom"/>
          </w:tcPr>
          <w:p>
            <w:pPr>
              <w:spacing w:after="0"/>
              <w:rPr>
                <w:sz w:val="18"/>
                <w:szCs w:val="18"/>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69</w:t>
              </w:r>
            </w:hyperlink>
          </w:p>
        </w:tc>
      </w:tr>
      <w:tr>
        <w:trPr>
          <w:trHeight w:val="209"/>
        </w:trPr>
        <w:tc>
          <w:tcPr>
            <w:tcW w:w="1040" w:type="dxa"/>
            <w:vAlign w:val="bottom"/>
          </w:tcPr>
          <w:p>
            <w:pPr>
              <w:spacing w:after="0"/>
              <w:rPr>
                <w:sz w:val="18"/>
                <w:szCs w:val="18"/>
                <w:color w:val="auto"/>
              </w:rPr>
            </w:pPr>
          </w:p>
        </w:tc>
        <w:tc>
          <w:tcPr>
            <w:tcW w:w="352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Consolidated Statements of Stockholders' Equity</w:t>
            </w:r>
          </w:p>
        </w:tc>
        <w:tc>
          <w:tcPr>
            <w:tcW w:w="720" w:type="dxa"/>
            <w:vAlign w:val="bottom"/>
            <w:tcBorders>
              <w:top w:val="single" w:sz="8" w:color="auto"/>
            </w:tcBorders>
            <w:gridSpan w:val="2"/>
          </w:tcPr>
          <w:p>
            <w:pPr>
              <w:spacing w:after="0"/>
              <w:rPr>
                <w:sz w:val="18"/>
                <w:szCs w:val="18"/>
                <w:color w:val="auto"/>
              </w:rPr>
            </w:pPr>
          </w:p>
        </w:tc>
        <w:tc>
          <w:tcPr>
            <w:tcW w:w="3380" w:type="dxa"/>
            <w:vAlign w:val="bottom"/>
          </w:tcPr>
          <w:p>
            <w:pPr>
              <w:spacing w:after="0"/>
              <w:rPr>
                <w:sz w:val="18"/>
                <w:szCs w:val="18"/>
                <w:color w:val="auto"/>
              </w:rPr>
            </w:pP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70</w:t>
              </w:r>
            </w:hyperlink>
          </w:p>
        </w:tc>
      </w:tr>
      <w:tr>
        <w:trPr>
          <w:trHeight w:val="210"/>
        </w:trPr>
        <w:tc>
          <w:tcPr>
            <w:tcW w:w="1040" w:type="dxa"/>
            <w:vAlign w:val="bottom"/>
          </w:tcPr>
          <w:p>
            <w:pPr>
              <w:spacing w:after="0"/>
              <w:rPr>
                <w:sz w:val="18"/>
                <w:szCs w:val="18"/>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71</w:t>
              </w:r>
            </w:hyperlink>
          </w:p>
        </w:tc>
      </w:tr>
      <w:tr>
        <w:trPr>
          <w:trHeight w:val="20"/>
        </w:trPr>
        <w:tc>
          <w:tcPr>
            <w:tcW w:w="1040" w:type="dxa"/>
            <w:vAlign w:val="bottom"/>
          </w:tcPr>
          <w:p>
            <w:pPr>
              <w:spacing w:after="0" w:line="20" w:lineRule="exact"/>
              <w:rPr>
                <w:sz w:val="1"/>
                <w:szCs w:val="1"/>
                <w:color w:val="auto"/>
              </w:rPr>
            </w:pPr>
          </w:p>
        </w:tc>
        <w:tc>
          <w:tcPr>
            <w:tcW w:w="286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80" w:type="dxa"/>
            <w:vAlign w:val="bottom"/>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73</w:t>
              </w:r>
            </w:hyperlink>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340" w:right="140" w:firstLine="18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in the financial statements of the notes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 Exhibits</w:t>
            </w:r>
          </w:p>
        </w:tc>
        <w:tc>
          <w:tcPr>
            <w:tcW w:w="2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7620" w:type="dxa"/>
            <w:vAlign w:val="bottom"/>
            <w:tcBorders>
              <w:bottom w:val="single" w:sz="8" w:color="0000FF"/>
            </w:tcBorders>
            <w:gridSpan w:val="10"/>
          </w:tcPr>
          <w:p>
            <w:pPr>
              <w:spacing w:after="0" w:line="194"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Agreement and Plan of Merger, dated as of December 19, 2019, by and among The Rubicon Project, Inc.,</w:t>
              </w:r>
            </w:hyperlink>
          </w:p>
        </w:tc>
        <w:tc>
          <w:tcPr>
            <w:tcW w:w="8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2.1</w:t>
            </w:r>
          </w:p>
        </w:tc>
        <w:tc>
          <w:tcPr>
            <w:tcW w:w="8480" w:type="dxa"/>
            <w:vAlign w:val="bottom"/>
            <w:gridSpan w:val="2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Madison Merger Corp., and Telaria, Inc. (incorporated by reference to Exhibit 2.1 to the Registrant's Current</w:t>
              </w:r>
            </w:hyperlink>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53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Report on Form 8-K filed with the Commission on December 20, 2019).†</w:t>
              </w:r>
            </w:hyperlink>
          </w:p>
        </w:tc>
        <w:tc>
          <w:tcPr>
            <w:tcW w:w="25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848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Stock Purchase Agreement, dated as of February 4, 2021, by and between Magnite, Inc., RTL US Holdings, Inc.,</w:t>
              </w:r>
            </w:hyperlink>
          </w:p>
        </w:tc>
        <w:tc>
          <w:tcPr>
            <w:tcW w:w="0" w:type="dxa"/>
            <w:vAlign w:val="bottom"/>
          </w:tcPr>
          <w:p>
            <w:pPr>
              <w:spacing w:after="0"/>
              <w:rPr>
                <w:sz w:val="1"/>
                <w:szCs w:val="1"/>
                <w:color w:val="auto"/>
              </w:rPr>
            </w:pPr>
          </w:p>
        </w:tc>
      </w:tr>
      <w:tr>
        <w:trPr>
          <w:trHeight w:val="155"/>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2.2</w:t>
            </w:r>
          </w:p>
        </w:tc>
        <w:tc>
          <w:tcPr>
            <w:tcW w:w="81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and solely for certain sections therein, RTL Group S.A.. (incorporated by reference to Exhibit 2.1 to the</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vMerge w:val="continue"/>
          </w:tcPr>
          <w:p>
            <w:pPr>
              <w:spacing w:after="0"/>
              <w:rPr>
                <w:sz w:val="13"/>
                <w:szCs w:val="13"/>
                <w:color w:val="auto"/>
              </w:rPr>
            </w:pPr>
          </w:p>
        </w:tc>
        <w:tc>
          <w:tcPr>
            <w:tcW w:w="74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Registrant's Current Report on Form 8-K filed with the Commission on February 5, 2021).†</w:t>
              </w:r>
            </w:hyperlink>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3.1</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Sixth Amended and Restated Certificate of Incorporation of the Registrant (incorporated by reference to Exhibit</w:t>
              </w:r>
            </w:hyperlink>
          </w:p>
        </w:tc>
        <w:tc>
          <w:tcPr>
            <w:tcW w:w="0" w:type="dxa"/>
            <w:vAlign w:val="bottom"/>
          </w:tcPr>
          <w:p>
            <w:pPr>
              <w:spacing w:after="0"/>
              <w:rPr>
                <w:sz w:val="1"/>
                <w:szCs w:val="1"/>
                <w:color w:val="auto"/>
              </w:rPr>
            </w:pPr>
          </w:p>
        </w:tc>
      </w:tr>
      <w:tr>
        <w:trPr>
          <w:trHeight w:val="191"/>
        </w:trPr>
        <w:tc>
          <w:tcPr>
            <w:tcW w:w="2760" w:type="dxa"/>
            <w:vAlign w:val="bottom"/>
            <w:vMerge w:val="continue"/>
          </w:tcPr>
          <w:p>
            <w:pPr>
              <w:spacing w:after="0"/>
              <w:rPr>
                <w:sz w:val="16"/>
                <w:szCs w:val="16"/>
                <w:color w:val="auto"/>
              </w:rPr>
            </w:pPr>
          </w:p>
        </w:tc>
        <w:tc>
          <w:tcPr>
            <w:tcW w:w="8080" w:type="dxa"/>
            <w:vAlign w:val="bottom"/>
            <w:tcBorders>
              <w:top w:val="single" w:sz="8" w:color="0000FF"/>
            </w:tcBorders>
            <w:gridSpan w:val="19"/>
          </w:tcPr>
          <w:p>
            <w:pPr>
              <w:spacing w:after="0" w:line="191" w:lineRule="exact"/>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3.1 to the Registrant's Quarterly Report on Form 10-Q filed with the Commission on May 15, 2014).</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8480" w:type="dxa"/>
            <w:vAlign w:val="bottom"/>
            <w:gridSpan w:val="23"/>
          </w:tcPr>
          <w:p>
            <w:pPr>
              <w:spacing w:after="0" w:line="194"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Amendment to the Sixth Amended and Restated Certificate of Incorporation of Magnite, Inc.,</w:t>
              </w:r>
            </w:hyperlink>
          </w:p>
        </w:tc>
        <w:tc>
          <w:tcPr>
            <w:tcW w:w="0" w:type="dxa"/>
            <w:vAlign w:val="bottom"/>
          </w:tcPr>
          <w:p>
            <w:pPr>
              <w:spacing w:after="0"/>
              <w:rPr>
                <w:sz w:val="1"/>
                <w:szCs w:val="1"/>
                <w:color w:val="auto"/>
              </w:rPr>
            </w:pPr>
          </w:p>
        </w:tc>
      </w:tr>
      <w:tr>
        <w:trPr>
          <w:trHeight w:val="156"/>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3.2</w:t>
            </w:r>
          </w:p>
        </w:tc>
        <w:tc>
          <w:tcPr>
            <w:tcW w:w="77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dated June 30, 2020 (incorporated by reference to Exhibit 3.1 to the Registrant's Quarterly Report on Form</w:t>
              </w:r>
            </w:hyperlink>
          </w:p>
        </w:tc>
        <w:tc>
          <w:tcPr>
            <w:tcW w:w="720" w:type="dxa"/>
            <w:vAlign w:val="bottom"/>
            <w:gridSpan w:val="1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10-Q</w:t>
              </w:r>
            </w:hyperlink>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3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filed with the Commission on August 10, 2020).</w:t>
              </w:r>
            </w:hyperlink>
          </w:p>
        </w:tc>
        <w:tc>
          <w:tcPr>
            <w:tcW w:w="4620" w:type="dxa"/>
            <w:vAlign w:val="bottom"/>
            <w:tcBorders>
              <w:top w:val="single" w:sz="8" w:color="0000FF"/>
            </w:tcBorders>
            <w:gridSpan w:val="19"/>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8480" w:type="dxa"/>
            <w:vAlign w:val="bottom"/>
            <w:gridSpan w:val="2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u w:val="single" w:color="auto"/>
                  <w:color w:val="0000FF"/>
                </w:rPr>
                <w:t>Fourth Amended and Restated Bylaws of Magnite, Inc., dated June 30, 2020</w:t>
              </w:r>
              <w:r>
                <w:rPr>
                  <w:rFonts w:ascii="Times New Roman" w:cs="Times New Roman" w:eastAsia="Times New Roman" w:hAnsi="Times New Roman"/>
                  <w:sz w:val="18"/>
                  <w:szCs w:val="18"/>
                  <w:color w:val="0000FF"/>
                </w:rPr>
                <w:t xml:space="preserve"> (incorporated by reference to</w:t>
              </w:r>
            </w:hyperlink>
          </w:p>
        </w:tc>
        <w:tc>
          <w:tcPr>
            <w:tcW w:w="0" w:type="dxa"/>
            <w:vAlign w:val="bottom"/>
          </w:tcPr>
          <w:p>
            <w:pPr>
              <w:spacing w:after="0"/>
              <w:rPr>
                <w:sz w:val="1"/>
                <w:szCs w:val="1"/>
                <w:color w:val="auto"/>
              </w:rPr>
            </w:pPr>
          </w:p>
        </w:tc>
      </w:tr>
      <w:tr>
        <w:trPr>
          <w:trHeight w:val="191"/>
        </w:trPr>
        <w:tc>
          <w:tcPr>
            <w:tcW w:w="276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3.3</w:t>
            </w:r>
          </w:p>
        </w:tc>
        <w:tc>
          <w:tcPr>
            <w:tcW w:w="5560" w:type="dxa"/>
            <w:vAlign w:val="bottom"/>
            <w:gridSpan w:val="6"/>
          </w:tcPr>
          <w:p>
            <w:pPr>
              <w:spacing w:after="0" w:line="191" w:lineRule="exact"/>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Exhibit 3.4 to the Registrant’s Quarterly Report on Form 10-Q filed with the</w:t>
              </w:r>
            </w:hyperlink>
          </w:p>
        </w:tc>
        <w:tc>
          <w:tcPr>
            <w:tcW w:w="2100" w:type="dxa"/>
            <w:vAlign w:val="bottom"/>
            <w:tcBorders>
              <w:top w:val="single" w:sz="8" w:color="0000FF"/>
            </w:tcBorders>
            <w:gridSpan w:val="5"/>
          </w:tcPr>
          <w:p>
            <w:pPr>
              <w:spacing w:after="0" w:line="191" w:lineRule="exact"/>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Commission on August 10,</w:t>
              </w:r>
            </w:hyperlink>
          </w:p>
        </w:tc>
        <w:tc>
          <w:tcPr>
            <w:tcW w:w="380" w:type="dxa"/>
            <w:vAlign w:val="bottom"/>
            <w:gridSpan w:val="7"/>
          </w:tcPr>
          <w:p>
            <w:pPr>
              <w:jc w:val="right"/>
              <w:spacing w:after="0" w:line="191" w:lineRule="exact"/>
              <w:rPr>
                <w:rFonts w:ascii="Times New Roman" w:cs="Times New Roman" w:eastAsia="Times New Roman" w:hAnsi="Times New Roman"/>
                <w:sz w:val="18"/>
                <w:szCs w:val="18"/>
                <w:u w:val="single" w:color="auto"/>
                <w:color w:val="0000FF"/>
                <w:w w:val="77"/>
              </w:rPr>
            </w:pPr>
            <w:hyperlink r:id="rId136">
              <w:r>
                <w:rPr>
                  <w:rFonts w:ascii="Times New Roman" w:cs="Times New Roman" w:eastAsia="Times New Roman" w:hAnsi="Times New Roman"/>
                  <w:sz w:val="18"/>
                  <w:szCs w:val="18"/>
                  <w:u w:val="single" w:color="auto"/>
                  <w:color w:val="0000FF"/>
                  <w:w w:val="77"/>
                </w:rPr>
                <w:t>2020).</w:t>
              </w:r>
            </w:hyperlink>
          </w:p>
        </w:tc>
        <w:tc>
          <w:tcPr>
            <w:tcW w:w="60" w:type="dxa"/>
            <w:vAlign w:val="bottom"/>
            <w:gridSpan w:val="2"/>
          </w:tcPr>
          <w:p>
            <w:pPr>
              <w:spacing w:after="0"/>
              <w:rPr>
                <w:sz w:val="16"/>
                <w:szCs w:val="16"/>
                <w:color w:val="auto"/>
              </w:rPr>
            </w:pPr>
          </w:p>
        </w:tc>
        <w:tc>
          <w:tcPr>
            <w:tcW w:w="3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4.1*</w:t>
            </w:r>
          </w:p>
        </w:tc>
        <w:tc>
          <w:tcPr>
            <w:tcW w:w="8480" w:type="dxa"/>
            <w:vAlign w:val="bottom"/>
            <w:gridSpan w:val="23"/>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Description of Securities</w:t>
              </w:r>
            </w:hyperlink>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8480" w:type="dxa"/>
            <w:vAlign w:val="bottom"/>
            <w:gridSpan w:val="23"/>
          </w:tcPr>
          <w:p>
            <w:pPr>
              <w:spacing w:after="0" w:line="19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Rubicon Project, Inc. 2007 Stock Incentive Plan and forms of agreements for employees thereunder</w:t>
              </w:r>
            </w:hyperlink>
          </w:p>
        </w:tc>
        <w:tc>
          <w:tcPr>
            <w:tcW w:w="0" w:type="dxa"/>
            <w:vAlign w:val="bottom"/>
          </w:tcPr>
          <w:p>
            <w:pPr>
              <w:spacing w:after="0"/>
              <w:rPr>
                <w:sz w:val="1"/>
                <w:szCs w:val="1"/>
                <w:color w:val="auto"/>
              </w:rPr>
            </w:pPr>
          </w:p>
        </w:tc>
      </w:tr>
      <w:tr>
        <w:trPr>
          <w:trHeight w:val="155"/>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w:t>
            </w:r>
          </w:p>
        </w:tc>
        <w:tc>
          <w:tcPr>
            <w:tcW w:w="75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(incorporated by reference to Exhibit 10.1 to the Registrant's Registration Statement on Form S-1/A filed</w:t>
              </w:r>
            </w:hyperlink>
          </w:p>
        </w:tc>
        <w:tc>
          <w:tcPr>
            <w:tcW w:w="960" w:type="dxa"/>
            <w:vAlign w:val="bottom"/>
            <w:gridSpan w:val="14"/>
          </w:tcPr>
          <w:p>
            <w:pPr>
              <w:ind w:left="100"/>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with</w:t>
              </w:r>
            </w:hyperlink>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79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Commission on March 20,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10.2+</w:t>
            </w:r>
          </w:p>
        </w:tc>
        <w:tc>
          <w:tcPr>
            <w:tcW w:w="848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 Rubicon Project, Inc. 2014 Equity Incentive Plan, as amended and restated (incorporated by reference to</w:t>
              </w:r>
            </w:hyperlink>
          </w:p>
        </w:tc>
        <w:tc>
          <w:tcPr>
            <w:tcW w:w="0" w:type="dxa"/>
            <w:vAlign w:val="bottom"/>
          </w:tcPr>
          <w:p>
            <w:pPr>
              <w:spacing w:after="0"/>
              <w:rPr>
                <w:sz w:val="1"/>
                <w:szCs w:val="1"/>
                <w:color w:val="auto"/>
              </w:rPr>
            </w:pPr>
          </w:p>
        </w:tc>
      </w:tr>
      <w:tr>
        <w:trPr>
          <w:trHeight w:val="191"/>
        </w:trPr>
        <w:tc>
          <w:tcPr>
            <w:tcW w:w="2760" w:type="dxa"/>
            <w:vAlign w:val="bottom"/>
            <w:vMerge w:val="continue"/>
          </w:tcPr>
          <w:p>
            <w:pPr>
              <w:spacing w:after="0"/>
              <w:rPr>
                <w:sz w:val="16"/>
                <w:szCs w:val="16"/>
                <w:color w:val="auto"/>
              </w:rPr>
            </w:pPr>
          </w:p>
        </w:tc>
        <w:tc>
          <w:tcPr>
            <w:tcW w:w="7860" w:type="dxa"/>
            <w:vAlign w:val="bottom"/>
            <w:tcBorders>
              <w:top w:val="single" w:sz="8" w:color="0000FF"/>
            </w:tcBorders>
            <w:gridSpan w:val="14"/>
          </w:tcPr>
          <w:p>
            <w:pPr>
              <w:spacing w:after="0" w:line="191" w:lineRule="exact"/>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Exhibit 10.1 to the Registrant's Current Report on Form 8-K filed with the Commission on April 8, 2016).</w:t>
              </w:r>
            </w:hyperlink>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3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8480" w:type="dxa"/>
            <w:vAlign w:val="bottom"/>
            <w:gridSpan w:val="23"/>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Stock Option Grant Notice and Award Agreement for Employees under The Rubicon Project, Inc. 2014</w:t>
              </w:r>
            </w:hyperlink>
          </w:p>
        </w:tc>
        <w:tc>
          <w:tcPr>
            <w:tcW w:w="0" w:type="dxa"/>
            <w:vAlign w:val="bottom"/>
          </w:tcPr>
          <w:p>
            <w:pPr>
              <w:spacing w:after="0"/>
              <w:rPr>
                <w:sz w:val="1"/>
                <w:szCs w:val="1"/>
                <w:color w:val="auto"/>
              </w:rPr>
            </w:pPr>
          </w:p>
        </w:tc>
      </w:tr>
      <w:tr>
        <w:trPr>
          <w:trHeight w:val="155"/>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10.3+</w:t>
            </w:r>
          </w:p>
        </w:tc>
        <w:tc>
          <w:tcPr>
            <w:tcW w:w="81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Equity Incentive Plan (incorporated by reference to Exhibit 10.2(B) to the Registrant's Annual Report on Form</w:t>
              </w:r>
            </w:hyperlink>
          </w:p>
        </w:tc>
        <w:tc>
          <w:tcPr>
            <w:tcW w:w="3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7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10-K filed with the Commission on March 6, 2015).</w:t>
              </w:r>
            </w:hyperlink>
          </w:p>
        </w:tc>
        <w:tc>
          <w:tcPr>
            <w:tcW w:w="60" w:type="dxa"/>
            <w:vAlign w:val="bottom"/>
          </w:tcPr>
          <w:p>
            <w:pPr>
              <w:spacing w:after="0"/>
              <w:rPr>
                <w:sz w:val="13"/>
                <w:szCs w:val="13"/>
                <w:color w:val="auto"/>
              </w:rPr>
            </w:pPr>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4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18"/>
                <w:szCs w:val="18"/>
                <w:color w:val="auto"/>
              </w:rPr>
            </w:pPr>
          </w:p>
        </w:tc>
        <w:tc>
          <w:tcPr>
            <w:tcW w:w="848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Restricted Stock Unit Grant Notice and Award Agreement for Employees under The Rubicon Project,</w:t>
              </w:r>
            </w:hyperlink>
          </w:p>
        </w:tc>
        <w:tc>
          <w:tcPr>
            <w:tcW w:w="0" w:type="dxa"/>
            <w:vAlign w:val="bottom"/>
          </w:tcPr>
          <w:p>
            <w:pPr>
              <w:spacing w:after="0"/>
              <w:rPr>
                <w:sz w:val="1"/>
                <w:szCs w:val="1"/>
                <w:color w:val="auto"/>
              </w:rPr>
            </w:pPr>
          </w:p>
        </w:tc>
      </w:tr>
      <w:tr>
        <w:trPr>
          <w:trHeight w:val="155"/>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10.4+</w:t>
            </w:r>
          </w:p>
        </w:tc>
        <w:tc>
          <w:tcPr>
            <w:tcW w:w="7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Inc. 2014 Equity Incentive Plan (incorporated by reference to Exhibit 10.2(C) to the Registrant's Annual Report</w:t>
              </w:r>
            </w:hyperlink>
          </w:p>
        </w:tc>
        <w:tc>
          <w:tcPr>
            <w:tcW w:w="80" w:type="dxa"/>
            <w:vAlign w:val="bottom"/>
            <w:tcBorders>
              <w:bottom w:val="single" w:sz="8" w:color="0000FF"/>
            </w:tcBorders>
            <w:gridSpan w:val="2"/>
          </w:tcPr>
          <w:p>
            <w:pPr>
              <w:spacing w:after="0"/>
              <w:rPr>
                <w:sz w:val="13"/>
                <w:szCs w:val="13"/>
                <w:color w:val="auto"/>
              </w:rPr>
            </w:pPr>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vMerge w:val="continue"/>
          </w:tcPr>
          <w:p>
            <w:pPr>
              <w:spacing w:after="0"/>
              <w:rPr>
                <w:sz w:val="13"/>
                <w:szCs w:val="13"/>
                <w:color w:val="auto"/>
              </w:rPr>
            </w:pPr>
          </w:p>
        </w:tc>
        <w:tc>
          <w:tcPr>
            <w:tcW w:w="8040" w:type="dxa"/>
            <w:vAlign w:val="bottom"/>
            <w:gridSpan w:val="1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on Form 10-K filed with the Commission on March 6, 2015).</w:t>
              </w:r>
            </w:hyperlink>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857"/>
        </w:trPr>
        <w:tc>
          <w:tcPr>
            <w:tcW w:w="2760" w:type="dxa"/>
            <w:vAlign w:val="bottom"/>
          </w:tcPr>
          <w:p>
            <w:pPr>
              <w:spacing w:after="0"/>
              <w:rPr>
                <w:sz w:val="24"/>
                <w:szCs w:val="24"/>
                <w:color w:val="auto"/>
              </w:rPr>
            </w:pPr>
          </w:p>
        </w:tc>
        <w:tc>
          <w:tcPr>
            <w:tcW w:w="3500" w:type="dxa"/>
            <w:vAlign w:val="bottom"/>
            <w:tcBorders>
              <w:top w:val="single" w:sz="8" w:color="0000FF"/>
            </w:tcBorders>
            <w:gridSpan w:val="2"/>
          </w:tcPr>
          <w:p>
            <w:pPr>
              <w:ind w:left="27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78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Form of Stock Option Grant Notice and Award Agreement for Non-Employee Directors under The Rubicon</w:t>
              </w:r>
            </w:hyperlink>
          </w:p>
        </w:tc>
        <w:tc>
          <w:tcPr>
            <w:tcW w:w="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tcPr>
          <w:p>
            <w:pPr>
              <w:spacing w:after="0"/>
              <w:rPr>
                <w:sz w:val="13"/>
                <w:szCs w:val="13"/>
                <w:color w:val="auto"/>
              </w:rPr>
            </w:pPr>
          </w:p>
        </w:tc>
        <w:tc>
          <w:tcPr>
            <w:tcW w:w="8480" w:type="dxa"/>
            <w:vAlign w:val="bottom"/>
            <w:gridSpan w:val="4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Project, Inc. 2014 Equity Incentive Plan (incorporated by reference to Exhibit 10.2(D) to the Registrant's Annual</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Report on Form 10-K filed with the Commission on March 6, 2015).</w:t>
              </w:r>
            </w:hyperlink>
          </w:p>
        </w:tc>
        <w:tc>
          <w:tcPr>
            <w:tcW w:w="3260" w:type="dxa"/>
            <w:vAlign w:val="bottom"/>
            <w:tcBorders>
              <w:top w:val="single" w:sz="8" w:color="0000FF"/>
            </w:tcBorders>
            <w:gridSpan w:val="26"/>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Grant Notice and Award Agreement for Non-Employee Directors under The</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10.6+</w:t>
            </w:r>
          </w:p>
        </w:tc>
        <w:tc>
          <w:tcPr>
            <w:tcW w:w="1480" w:type="dxa"/>
            <w:vAlign w:val="bottom"/>
          </w:tcPr>
          <w:p>
            <w:pPr>
              <w:spacing w:after="0"/>
              <w:rPr>
                <w:sz w:val="13"/>
                <w:szCs w:val="13"/>
                <w:color w:val="auto"/>
              </w:rPr>
            </w:pPr>
          </w:p>
        </w:tc>
        <w:tc>
          <w:tcPr>
            <w:tcW w:w="77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Rubicon Project, Inc. 2014 Equity Incentive Plan (incorporated by reference to Exhibit 10.2(E) to the</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7300" w:type="dxa"/>
            <w:vAlign w:val="bottom"/>
            <w:tcBorders>
              <w:top w:val="single" w:sz="8" w:color="0000FF"/>
            </w:tcBorders>
            <w:gridSpan w:val="16"/>
          </w:tcPr>
          <w:p>
            <w:pPr>
              <w:spacing w:after="0" w:line="191" w:lineRule="exact"/>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Registrant's Annual Report on Form 10-K filed with the Commission on March 6, 2015).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80" w:type="dxa"/>
            <w:vAlign w:val="bottom"/>
            <w:gridSpan w:val="41"/>
          </w:tcPr>
          <w:p>
            <w:pPr>
              <w:spacing w:after="0" w:line="19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The Rubicon Project, Inc. 2014 Employee Stock Purchase Plan, as amended and restated on July 26, 2018</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10.7+</w:t>
            </w:r>
          </w:p>
        </w:tc>
        <w:tc>
          <w:tcPr>
            <w:tcW w:w="1480" w:type="dxa"/>
            <w:vAlign w:val="bottom"/>
          </w:tcPr>
          <w:p>
            <w:pPr>
              <w:spacing w:after="0"/>
              <w:rPr>
                <w:sz w:val="13"/>
                <w:szCs w:val="13"/>
                <w:color w:val="auto"/>
              </w:rPr>
            </w:pPr>
          </w:p>
        </w:tc>
        <w:tc>
          <w:tcPr>
            <w:tcW w:w="8480" w:type="dxa"/>
            <w:vAlign w:val="bottom"/>
            <w:gridSpan w:val="4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10.3 to the Registrant's Quarterly Report on Form 10-Q filed with the</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Commission on November 7, 2018).</w:t>
              </w:r>
            </w:hyperlink>
          </w:p>
        </w:tc>
        <w:tc>
          <w:tcPr>
            <w:tcW w:w="51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The Rubicon Project, Inc. 2014 Inducement Grant Equity Incentive Plan, as amended and restated (incorporated</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10.8+</w:t>
            </w:r>
          </w:p>
        </w:tc>
        <w:tc>
          <w:tcPr>
            <w:tcW w:w="148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by reference to Exhibit 10.2 to the Registrant's Current Report on Form 8-K filed with the Commission on April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8, 2016).</w:t>
              </w:r>
            </w:hyperlink>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10.09+</w:t>
            </w: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Telaria, Inc. 2013 Equity Incentive Plan, as amended (incorporated by reference to Exhibit 99.2 to the</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73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Registrants’ Registration Statement on Form S-8, dated April 9, 2020)</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Second Amended and Restated Loan and Security Agreement, dated as of September 25, 2020, between Silicon</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10.10</w:t>
            </w:r>
          </w:p>
        </w:tc>
        <w:tc>
          <w:tcPr>
            <w:tcW w:w="1480" w:type="dxa"/>
            <w:vAlign w:val="bottom"/>
          </w:tcPr>
          <w:p>
            <w:pPr>
              <w:spacing w:after="0"/>
              <w:rPr>
                <w:sz w:val="13"/>
                <w:szCs w:val="13"/>
                <w:color w:val="auto"/>
              </w:rPr>
            </w:pPr>
          </w:p>
        </w:tc>
        <w:tc>
          <w:tcPr>
            <w:tcW w:w="81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Valley Bank, Magnite, Inc., Magnite Hopper, Inc., Magnite Bell, Inc. and Magnite CTV, Inc.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7920" w:type="dxa"/>
            <w:vAlign w:val="bottom"/>
            <w:tcBorders>
              <w:top w:val="single" w:sz="8" w:color="0000FF"/>
            </w:tcBorders>
            <w:gridSpan w:val="28"/>
          </w:tcPr>
          <w:p>
            <w:pPr>
              <w:spacing w:after="0" w:line="191" w:lineRule="exact"/>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reference to Exhibit 10.1 to the Registrant’s Quarterly Report on Form 10-Q, dated November 9, 2020).</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80" w:type="dxa"/>
            <w:vAlign w:val="bottom"/>
            <w:gridSpan w:val="41"/>
          </w:tcPr>
          <w:p>
            <w:pPr>
              <w:spacing w:after="0" w:line="19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10.11+</w:t>
            </w:r>
          </w:p>
        </w:tc>
        <w:tc>
          <w:tcPr>
            <w:tcW w:w="1480" w:type="dxa"/>
            <w:vAlign w:val="bottom"/>
          </w:tcPr>
          <w:p>
            <w:pPr>
              <w:spacing w:after="0"/>
              <w:rPr>
                <w:sz w:val="13"/>
                <w:szCs w:val="13"/>
                <w:color w:val="auto"/>
              </w:rPr>
            </w:pPr>
          </w:p>
        </w:tc>
        <w:tc>
          <w:tcPr>
            <w:tcW w:w="77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10.17 to the Registrant's Registration Statement on Form S-1/A filed</w:t>
              </w:r>
            </w:hyperlink>
          </w:p>
        </w:tc>
        <w:tc>
          <w:tcPr>
            <w:tcW w:w="760" w:type="dxa"/>
            <w:vAlign w:val="bottom"/>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with</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80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the Commission on March 20,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Executive Severance and Vesting Acceleration Agreement by and between the Registrant and certain of</w:t>
              </w:r>
            </w:hyperlink>
          </w:p>
        </w:tc>
        <w:tc>
          <w:tcPr>
            <w:tcW w:w="0" w:type="dxa"/>
            <w:vAlign w:val="bottom"/>
          </w:tcPr>
          <w:p>
            <w:pPr>
              <w:spacing w:after="0"/>
              <w:rPr>
                <w:sz w:val="1"/>
                <w:szCs w:val="1"/>
                <w:color w:val="auto"/>
              </w:rPr>
            </w:pPr>
          </w:p>
        </w:tc>
      </w:tr>
      <w:tr>
        <w:trPr>
          <w:trHeight w:val="142"/>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10.12+</w:t>
            </w:r>
          </w:p>
        </w:tc>
        <w:tc>
          <w:tcPr>
            <w:tcW w:w="1480" w:type="dxa"/>
            <w:vAlign w:val="bottom"/>
          </w:tcPr>
          <w:p>
            <w:pPr>
              <w:spacing w:after="0"/>
              <w:rPr>
                <w:sz w:val="12"/>
                <w:szCs w:val="12"/>
                <w:color w:val="auto"/>
              </w:rPr>
            </w:pPr>
          </w:p>
        </w:tc>
        <w:tc>
          <w:tcPr>
            <w:tcW w:w="820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u w:val="single" w:color="auto"/>
                <w:color w:val="0000FF"/>
              </w:rPr>
            </w:pPr>
            <w:hyperlink r:id="rId150">
              <w:r>
                <w:rPr>
                  <w:rFonts w:ascii="Times New Roman" w:cs="Times New Roman" w:eastAsia="Times New Roman" w:hAnsi="Times New Roman"/>
                  <w:sz w:val="16"/>
                  <w:szCs w:val="16"/>
                  <w:u w:val="single" w:color="auto"/>
                  <w:color w:val="0000FF"/>
                </w:rPr>
                <w:t>its executive officers (incorporated by reference to Exhibit 10.23 to the Registrants Form 10-K filed with the</w:t>
              </w:r>
            </w:hyperlink>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620" w:type="dxa"/>
            <w:vAlign w:val="bottom"/>
            <w:tcBorders>
              <w:bottom w:val="single" w:sz="8" w:color="0000FF"/>
            </w:tcBorders>
            <w:gridSpan w:val="7"/>
          </w:tcPr>
          <w:p>
            <w:pPr>
              <w:spacing w:after="0" w:line="189"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Commission on February 27, 2020).</w:t>
              </w:r>
            </w:hyperlink>
          </w:p>
        </w:tc>
        <w:tc>
          <w:tcPr>
            <w:tcW w:w="5860" w:type="dxa"/>
            <w:vAlign w:val="bottom"/>
            <w:gridSpan w:val="3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Executive Employment Agreement between the Registrant and Michael Barrett, dated March 16, 2017</w:t>
              </w:r>
            </w:hyperlink>
          </w:p>
        </w:tc>
        <w:tc>
          <w:tcPr>
            <w:tcW w:w="108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10.13+</w:t>
            </w:r>
          </w:p>
        </w:tc>
        <w:tc>
          <w:tcPr>
            <w:tcW w:w="1480" w:type="dxa"/>
            <w:vAlign w:val="bottom"/>
          </w:tcPr>
          <w:p>
            <w:pPr>
              <w:spacing w:after="0"/>
              <w:rPr>
                <w:sz w:val="13"/>
                <w:szCs w:val="13"/>
                <w:color w:val="auto"/>
              </w:rPr>
            </w:pPr>
          </w:p>
        </w:tc>
        <w:tc>
          <w:tcPr>
            <w:tcW w:w="8480" w:type="dxa"/>
            <w:vAlign w:val="bottom"/>
            <w:gridSpan w:val="41"/>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10.1 to the Registrant's Current Report on Form 8-K filed with the</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Commission on March 22, 2017).</w:t>
              </w:r>
            </w:hyperlink>
          </w:p>
        </w:tc>
        <w:tc>
          <w:tcPr>
            <w:tcW w:w="5040" w:type="dxa"/>
            <w:vAlign w:val="bottom"/>
            <w:tcBorders>
              <w:top w:val="single" w:sz="8" w:color="0000FF"/>
            </w:tcBorders>
            <w:gridSpan w:val="13"/>
          </w:tcPr>
          <w:p>
            <w:pPr>
              <w:spacing w:after="0"/>
              <w:rPr>
                <w:sz w:val="13"/>
                <w:szCs w:val="13"/>
                <w:color w:val="auto"/>
              </w:rPr>
            </w:pPr>
          </w:p>
        </w:tc>
        <w:tc>
          <w:tcPr>
            <w:tcW w:w="3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Executive Severance and Vesting Acceleration Agreement between the Registrant and Michael Barrett, dated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20" w:type="dxa"/>
            <w:vAlign w:val="bottom"/>
            <w:gridSpan w:val="11"/>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10.14+</w:t>
            </w:r>
          </w:p>
        </w:tc>
        <w:tc>
          <w:tcPr>
            <w:tcW w:w="1480" w:type="dxa"/>
            <w:vAlign w:val="bottom"/>
          </w:tcPr>
          <w:p>
            <w:pPr>
              <w:spacing w:after="0"/>
              <w:rPr>
                <w:sz w:val="13"/>
                <w:szCs w:val="13"/>
                <w:color w:val="auto"/>
              </w:rPr>
            </w:pPr>
          </w:p>
        </w:tc>
        <w:tc>
          <w:tcPr>
            <w:tcW w:w="8480" w:type="dxa"/>
            <w:vAlign w:val="bottom"/>
            <w:gridSpan w:val="41"/>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March 16, 2017 (incorporated by reference to Exhibit 10.2 to the Registrant's Current Report on Form 8-K filed</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80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with the Commission on March 22,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Executive Severance and Vesting Acceleration Agreement between the Registrant and Aaron Saltz, dated April</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10.15+</w:t>
            </w:r>
          </w:p>
        </w:tc>
        <w:tc>
          <w:tcPr>
            <w:tcW w:w="148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1, 2020 (incorporated by reference to Exhibit 10.3 to the Registrant's Quarterly Report on Form 10-Q filed with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76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the Commission on August 10, 2020).</w:t>
              </w:r>
            </w:hyperlink>
          </w:p>
        </w:tc>
        <w:tc>
          <w:tcPr>
            <w:tcW w:w="5300" w:type="dxa"/>
            <w:vAlign w:val="bottom"/>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10.16*</w:t>
            </w:r>
          </w:p>
        </w:tc>
        <w:tc>
          <w:tcPr>
            <w:tcW w:w="1480" w:type="dxa"/>
            <w:vAlign w:val="bottom"/>
          </w:tcPr>
          <w:p>
            <w:pPr>
              <w:spacing w:after="0"/>
              <w:rPr>
                <w:sz w:val="21"/>
                <w:szCs w:val="21"/>
                <w:color w:val="auto"/>
              </w:rPr>
            </w:pPr>
          </w:p>
        </w:tc>
        <w:tc>
          <w:tcPr>
            <w:tcW w:w="8480" w:type="dxa"/>
            <w:vAlign w:val="bottom"/>
            <w:gridSpan w:val="41"/>
          </w:tcPr>
          <w:p>
            <w:pPr>
              <w:spacing w:after="0"/>
              <w:rPr>
                <w:rFonts w:ascii="Times New Roman" w:cs="Times New Roman" w:eastAsia="Times New Roman" w:hAnsi="Times New Roman"/>
                <w:sz w:val="18"/>
                <w:szCs w:val="18"/>
                <w:u w:val="single" w:color="auto"/>
                <w:color w:val="0000FF"/>
              </w:rPr>
            </w:pPr>
            <w:hyperlink w:anchor="page113">
              <w:r>
                <w:rPr>
                  <w:rFonts w:ascii="Times New Roman" w:cs="Times New Roman" w:eastAsia="Times New Roman" w:hAnsi="Times New Roman"/>
                  <w:sz w:val="18"/>
                  <w:szCs w:val="18"/>
                  <w:u w:val="single" w:color="auto"/>
                  <w:color w:val="0000FF"/>
                </w:rPr>
                <w:t>Office Lease between BRE HH Property Owner LLC and Magnite, Inc., dated November 20, 2020</w:t>
              </w:r>
            </w:hyperlink>
          </w:p>
        </w:tc>
        <w:tc>
          <w:tcPr>
            <w:tcW w:w="0" w:type="dxa"/>
            <w:vAlign w:val="bottom"/>
          </w:tcPr>
          <w:p>
            <w:pPr>
              <w:spacing w:after="0"/>
              <w:rPr>
                <w:sz w:val="1"/>
                <w:szCs w:val="1"/>
                <w:color w:val="auto"/>
              </w:rPr>
            </w:pPr>
          </w:p>
        </w:tc>
      </w:tr>
      <w:tr>
        <w:trPr>
          <w:trHeight w:val="194"/>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21.1</w:t>
            </w:r>
          </w:p>
        </w:tc>
        <w:tc>
          <w:tcPr>
            <w:tcW w:w="1480" w:type="dxa"/>
            <w:vAlign w:val="bottom"/>
          </w:tcPr>
          <w:p>
            <w:pPr>
              <w:spacing w:after="0"/>
              <w:rPr>
                <w:sz w:val="16"/>
                <w:szCs w:val="16"/>
                <w:color w:val="auto"/>
              </w:rPr>
            </w:pPr>
          </w:p>
        </w:tc>
        <w:tc>
          <w:tcPr>
            <w:tcW w:w="8480" w:type="dxa"/>
            <w:vAlign w:val="bottom"/>
            <w:gridSpan w:val="41"/>
          </w:tcPr>
          <w:p>
            <w:pPr>
              <w:spacing w:after="0" w:line="19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List of Subsidiaries (incorporated by reference to Exhibit 21.1 of the Registrant’s Quarterly Report on Form 10-</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81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Q filed with the Commission on November 9, 2020)</w:t>
              </w:r>
            </w:hyperlink>
          </w:p>
        </w:tc>
        <w:tc>
          <w:tcPr>
            <w:tcW w:w="60" w:type="dxa"/>
            <w:vAlign w:val="bottom"/>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23.1*</w:t>
            </w:r>
          </w:p>
        </w:tc>
        <w:tc>
          <w:tcPr>
            <w:tcW w:w="1480" w:type="dxa"/>
            <w:vAlign w:val="bottom"/>
          </w:tcPr>
          <w:p>
            <w:pPr>
              <w:spacing w:after="0"/>
              <w:rPr>
                <w:sz w:val="21"/>
                <w:szCs w:val="21"/>
                <w:color w:val="auto"/>
              </w:rPr>
            </w:pPr>
          </w:p>
        </w:tc>
        <w:tc>
          <w:tcPr>
            <w:tcW w:w="8480" w:type="dxa"/>
            <w:vAlign w:val="bottom"/>
            <w:gridSpan w:val="41"/>
          </w:tcPr>
          <w:p>
            <w:pPr>
              <w:spacing w:after="0"/>
              <w:rPr>
                <w:rFonts w:ascii="Times New Roman" w:cs="Times New Roman" w:eastAsia="Times New Roman" w:hAnsi="Times New Roman"/>
                <w:sz w:val="18"/>
                <w:szCs w:val="18"/>
                <w:u w:val="single" w:color="auto"/>
                <w:color w:val="0000FF"/>
              </w:rPr>
            </w:pPr>
            <w:hyperlink w:anchor="page177">
              <w:r>
                <w:rPr>
                  <w:rFonts w:ascii="Times New Roman" w:cs="Times New Roman" w:eastAsia="Times New Roman" w:hAnsi="Times New Roman"/>
                  <w:sz w:val="18"/>
                  <w:szCs w:val="18"/>
                  <w:u w:val="single" w:color="auto"/>
                  <w:color w:val="0000FF"/>
                </w:rPr>
                <w:t>Consent Consent of Deloitte &amp; Touche LLP. Deloitte &amp; Touche LLP.</w:t>
              </w:r>
            </w:hyperlink>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80" w:type="dxa"/>
            <w:vAlign w:val="bottom"/>
            <w:gridSpan w:val="41"/>
          </w:tcPr>
          <w:p>
            <w:pPr>
              <w:spacing w:after="0" w:line="194" w:lineRule="exact"/>
              <w:rPr>
                <w:rFonts w:ascii="Times New Roman" w:cs="Times New Roman" w:eastAsia="Times New Roman" w:hAnsi="Times New Roman"/>
                <w:sz w:val="18"/>
                <w:szCs w:val="18"/>
                <w:color w:val="0000FF"/>
              </w:rPr>
            </w:pPr>
            <w:hyperlink w:anchor="page178">
              <w:r>
                <w:rPr>
                  <w:rFonts w:ascii="Times New Roman" w:cs="Times New Roman" w:eastAsia="Times New Roman" w:hAnsi="Times New Roman"/>
                  <w:sz w:val="18"/>
                  <w:szCs w:val="18"/>
                  <w:color w:val="0000FF"/>
                </w:rPr>
                <w:t>Certification of Certification of Principal Executive Officer Pursuant to Exchange Act Rules 13a-14(a) and 15d-</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1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w:anchor="page178">
              <w:r>
                <w:rPr>
                  <w:rFonts w:ascii="Times New Roman" w:cs="Times New Roman" w:eastAsia="Times New Roman" w:hAnsi="Times New Roman"/>
                  <w:sz w:val="18"/>
                  <w:szCs w:val="18"/>
                  <w:color w:val="0000FF"/>
                </w:rPr>
                <w:t>14(a), as adopted pursuant to Section 302 of the Sarbanes-Oxley Act of 2002. Executive Officer Pursuant to</w:t>
              </w:r>
            </w:hyperlink>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31.1*</w:t>
            </w:r>
          </w:p>
        </w:tc>
        <w:tc>
          <w:tcPr>
            <w:tcW w:w="1480" w:type="dxa"/>
            <w:vAlign w:val="bottom"/>
          </w:tcPr>
          <w:p>
            <w:pPr>
              <w:spacing w:after="0"/>
              <w:rPr>
                <w:sz w:val="13"/>
                <w:szCs w:val="13"/>
                <w:color w:val="auto"/>
              </w:rPr>
            </w:pPr>
          </w:p>
        </w:tc>
        <w:tc>
          <w:tcPr>
            <w:tcW w:w="77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8"/>
              </w:rPr>
            </w:pPr>
            <w:hyperlink w:anchor="page178">
              <w:r>
                <w:rPr>
                  <w:rFonts w:ascii="Times New Roman" w:cs="Times New Roman" w:eastAsia="Times New Roman" w:hAnsi="Times New Roman"/>
                  <w:sz w:val="18"/>
                  <w:szCs w:val="18"/>
                  <w:color w:val="0000FF"/>
                  <w:w w:val="98"/>
                </w:rPr>
                <w:t>Exchange Act Rules 13a-14(a) and 15d-14(a), as adopted pursuant to Section 302 of the Sarbanes-Oxley Act</w:t>
              </w:r>
            </w:hyperlink>
          </w:p>
        </w:tc>
        <w:tc>
          <w:tcPr>
            <w:tcW w:w="60" w:type="dxa"/>
            <w:vAlign w:val="bottom"/>
            <w:gridSpan w:val="2"/>
          </w:tcPr>
          <w:p>
            <w:pPr>
              <w:spacing w:after="0"/>
              <w:rPr>
                <w:sz w:val="13"/>
                <w:szCs w:val="13"/>
                <w:color w:val="auto"/>
              </w:rPr>
            </w:pPr>
          </w:p>
        </w:tc>
        <w:tc>
          <w:tcPr>
            <w:tcW w:w="640" w:type="dxa"/>
            <w:vAlign w:val="bottom"/>
            <w:gridSpan w:val="15"/>
          </w:tcPr>
          <w:p>
            <w:pPr>
              <w:ind w:left="40"/>
              <w:spacing w:after="0" w:line="156" w:lineRule="exact"/>
              <w:rPr>
                <w:rFonts w:ascii="Times New Roman" w:cs="Times New Roman" w:eastAsia="Times New Roman" w:hAnsi="Times New Roman"/>
                <w:sz w:val="18"/>
                <w:szCs w:val="18"/>
                <w:color w:val="0000FF"/>
              </w:rPr>
            </w:pPr>
            <w:hyperlink w:anchor="page178">
              <w:r>
                <w:rPr>
                  <w:rFonts w:ascii="Times New Roman" w:cs="Times New Roman" w:eastAsia="Times New Roman" w:hAnsi="Times New Roman"/>
                  <w:sz w:val="18"/>
                  <w:szCs w:val="18"/>
                  <w:color w:val="0000FF"/>
                </w:rPr>
                <w:t>of</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178">
              <w:r>
                <w:rPr>
                  <w:rFonts w:ascii="Times New Roman" w:cs="Times New Roman" w:eastAsia="Times New Roman" w:hAnsi="Times New Roman"/>
                  <w:sz w:val="18"/>
                  <w:szCs w:val="18"/>
                  <w:color w:val="0000FF"/>
                  <w:w w:val="98"/>
                </w:rPr>
                <w:t>2002.</w:t>
              </w:r>
            </w:hyperlink>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w:anchor="page179">
              <w:r>
                <w:rPr>
                  <w:rFonts w:ascii="Times New Roman" w:cs="Times New Roman" w:eastAsia="Times New Roman" w:hAnsi="Times New Roman"/>
                  <w:sz w:val="18"/>
                  <w:szCs w:val="18"/>
                  <w:u w:val="single" w:color="auto"/>
                  <w:color w:val="0000FF"/>
                </w:rPr>
                <w:t>Certification</w:t>
              </w:r>
              <w:r>
                <w:rPr>
                  <w:rFonts w:ascii="Times New Roman" w:cs="Times New Roman" w:eastAsia="Times New Roman" w:hAnsi="Times New Roman"/>
                  <w:sz w:val="18"/>
                  <w:szCs w:val="18"/>
                  <w:color w:val="0000FF"/>
                </w:rPr>
                <w:t xml:space="preserve"> Certification of Principal Financial Officer Pursuant to Exchange Act Rules 13a-14(a) and 15d-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4420" w:type="dxa"/>
            <w:vAlign w:val="bottom"/>
            <w:gridSpan w:val="14"/>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40" w:type="dxa"/>
            <w:vAlign w:val="bottom"/>
            <w:gridSpan w:val="5"/>
            <w:vMerge w:val="restart"/>
          </w:tcPr>
          <w:p>
            <w:pPr>
              <w:spacing w:after="0" w:line="20" w:lineRule="exact"/>
              <w:rPr>
                <w:sz w:val="1"/>
                <w:szCs w:val="1"/>
                <w:color w:val="auto"/>
              </w:rPr>
            </w:pPr>
          </w:p>
        </w:tc>
        <w:tc>
          <w:tcPr>
            <w:tcW w:w="38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40" w:type="dxa"/>
            <w:vAlign w:val="bottom"/>
            <w:gridSpan w:val="26"/>
          </w:tcPr>
          <w:p>
            <w:pPr>
              <w:spacing w:after="0" w:line="142" w:lineRule="exact"/>
              <w:rPr>
                <w:rFonts w:ascii="Times New Roman" w:cs="Times New Roman" w:eastAsia="Times New Roman" w:hAnsi="Times New Roman"/>
                <w:sz w:val="16"/>
                <w:szCs w:val="16"/>
                <w:u w:val="single" w:color="auto"/>
                <w:color w:val="0000FF"/>
              </w:rPr>
            </w:pPr>
            <w:hyperlink w:anchor="page179">
              <w:r>
                <w:rPr>
                  <w:rFonts w:ascii="Times New Roman" w:cs="Times New Roman" w:eastAsia="Times New Roman" w:hAnsi="Times New Roman"/>
                  <w:sz w:val="16"/>
                  <w:szCs w:val="16"/>
                  <w:u w:val="single" w:color="auto"/>
                  <w:color w:val="0000FF"/>
                </w:rPr>
                <w:t>14(a), as adopted pursuant to Section 302 of the Sarbanes-Oxley Act of 2002. Principal Financial Officer</w:t>
              </w:r>
            </w:hyperlink>
          </w:p>
        </w:tc>
        <w:tc>
          <w:tcPr>
            <w:tcW w:w="60" w:type="dxa"/>
            <w:vAlign w:val="bottom"/>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140" w:type="dxa"/>
            <w:vAlign w:val="bottom"/>
            <w:gridSpan w:val="5"/>
            <w:vMerge w:val="continue"/>
          </w:tcPr>
          <w:p>
            <w:pPr>
              <w:spacing w:after="0"/>
              <w:rPr>
                <w:sz w:val="12"/>
                <w:szCs w:val="12"/>
                <w:color w:val="auto"/>
              </w:rPr>
            </w:pPr>
          </w:p>
        </w:tc>
        <w:tc>
          <w:tcPr>
            <w:tcW w:w="3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31.2*</w:t>
            </w:r>
          </w:p>
        </w:tc>
        <w:tc>
          <w:tcPr>
            <w:tcW w:w="1480" w:type="dxa"/>
            <w:vAlign w:val="bottom"/>
          </w:tcPr>
          <w:p>
            <w:pPr>
              <w:spacing w:after="0"/>
              <w:rPr>
                <w:sz w:val="16"/>
                <w:szCs w:val="16"/>
                <w:color w:val="auto"/>
              </w:rPr>
            </w:pPr>
          </w:p>
        </w:tc>
        <w:tc>
          <w:tcPr>
            <w:tcW w:w="8480" w:type="dxa"/>
            <w:vAlign w:val="bottom"/>
            <w:gridSpan w:val="41"/>
          </w:tcPr>
          <w:p>
            <w:pPr>
              <w:spacing w:after="0" w:line="189" w:lineRule="exact"/>
              <w:rPr>
                <w:rFonts w:ascii="Times New Roman" w:cs="Times New Roman" w:eastAsia="Times New Roman" w:hAnsi="Times New Roman"/>
                <w:sz w:val="18"/>
                <w:szCs w:val="18"/>
                <w:color w:val="0000FF"/>
              </w:rPr>
            </w:pPr>
            <w:hyperlink w:anchor="page179">
              <w:r>
                <w:rPr>
                  <w:rFonts w:ascii="Times New Roman" w:cs="Times New Roman" w:eastAsia="Times New Roman" w:hAnsi="Times New Roman"/>
                  <w:sz w:val="18"/>
                  <w:szCs w:val="18"/>
                  <w:color w:val="0000FF"/>
                </w:rPr>
                <w:t>Pursuant to Exchange Act Rules 13a-14(a) and 15d-14(a), as adopted pursuant to Section 302 of the Sarbanes-</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w:anchor="page179">
              <w:r>
                <w:rPr>
                  <w:rFonts w:ascii="Times New Roman" w:cs="Times New Roman" w:eastAsia="Times New Roman" w:hAnsi="Times New Roman"/>
                  <w:sz w:val="18"/>
                  <w:szCs w:val="18"/>
                  <w:color w:val="0000FF"/>
                  <w:w w:val="99"/>
                </w:rPr>
                <w:t>Oxley Act of 2002.</w:t>
              </w:r>
            </w:hyperlink>
          </w:p>
        </w:tc>
        <w:tc>
          <w:tcPr>
            <w:tcW w:w="6560" w:type="dxa"/>
            <w:vAlign w:val="bottom"/>
            <w:tcBorders>
              <w:top w:val="single" w:sz="8" w:color="0000FF"/>
            </w:tcBorders>
            <w:gridSpan w:val="25"/>
          </w:tcPr>
          <w:p>
            <w:pPr>
              <w:spacing w:after="0"/>
              <w:rPr>
                <w:sz w:val="13"/>
                <w:szCs w:val="13"/>
                <w:color w:val="auto"/>
              </w:rPr>
            </w:pPr>
          </w:p>
        </w:tc>
        <w:tc>
          <w:tcPr>
            <w:tcW w:w="140" w:type="dxa"/>
            <w:vAlign w:val="bottom"/>
            <w:gridSpan w:val="5"/>
          </w:tcPr>
          <w:p>
            <w:pPr>
              <w:spacing w:after="0"/>
              <w:rPr>
                <w:sz w:val="13"/>
                <w:szCs w:val="13"/>
                <w:color w:val="auto"/>
              </w:rPr>
            </w:pPr>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80" w:type="dxa"/>
            <w:vAlign w:val="bottom"/>
            <w:gridSpan w:val="41"/>
          </w:tcPr>
          <w:p>
            <w:pPr>
              <w:spacing w:after="0"/>
              <w:rPr>
                <w:rFonts w:ascii="Times New Roman" w:cs="Times New Roman" w:eastAsia="Times New Roman" w:hAnsi="Times New Roman"/>
                <w:sz w:val="18"/>
                <w:szCs w:val="18"/>
                <w:color w:val="0000FF"/>
              </w:rPr>
            </w:pPr>
            <w:hyperlink w:anchor="page180">
              <w:r>
                <w:rPr>
                  <w:rFonts w:ascii="Times New Roman" w:cs="Times New Roman" w:eastAsia="Times New Roman" w:hAnsi="Times New Roman"/>
                  <w:sz w:val="18"/>
                  <w:szCs w:val="18"/>
                  <w:color w:val="0000FF"/>
                </w:rPr>
                <w:t>Certification of the Principal Executive Officer and Principal Financial Officer Pursuant to 18 U.S.C. Section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4420" w:type="dxa"/>
            <w:vAlign w:val="bottom"/>
            <w:gridSpan w:val="1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80" w:type="dxa"/>
            <w:vAlign w:val="bottom"/>
            <w:gridSpan w:val="41"/>
          </w:tcPr>
          <w:p>
            <w:pPr>
              <w:spacing w:after="0" w:line="156" w:lineRule="exact"/>
              <w:rPr>
                <w:rFonts w:ascii="Times New Roman" w:cs="Times New Roman" w:eastAsia="Times New Roman" w:hAnsi="Times New Roman"/>
                <w:sz w:val="18"/>
                <w:szCs w:val="18"/>
                <w:color w:val="0000FF"/>
              </w:rPr>
            </w:pPr>
            <w:hyperlink w:anchor="page180">
              <w:r>
                <w:rPr>
                  <w:rFonts w:ascii="Times New Roman" w:cs="Times New Roman" w:eastAsia="Times New Roman" w:hAnsi="Times New Roman"/>
                  <w:sz w:val="18"/>
                  <w:szCs w:val="18"/>
                  <w:color w:val="0000FF"/>
                </w:rPr>
                <w:t>1350, as adopted pursuant to Section 906 of the Sarbanes-Oxley Act of 2002. of the Principal Executive Officer</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32*(1)</w:t>
            </w:r>
          </w:p>
        </w:tc>
        <w:tc>
          <w:tcPr>
            <w:tcW w:w="1480" w:type="dxa"/>
            <w:vAlign w:val="bottom"/>
          </w:tcPr>
          <w:p>
            <w:pPr>
              <w:spacing w:after="0"/>
              <w:rPr>
                <w:sz w:val="13"/>
                <w:szCs w:val="13"/>
                <w:color w:val="auto"/>
              </w:rPr>
            </w:pPr>
          </w:p>
        </w:tc>
        <w:tc>
          <w:tcPr>
            <w:tcW w:w="81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w:anchor="page180">
              <w:r>
                <w:rPr>
                  <w:rFonts w:ascii="Times New Roman" w:cs="Times New Roman" w:eastAsia="Times New Roman" w:hAnsi="Times New Roman"/>
                  <w:sz w:val="18"/>
                  <w:szCs w:val="18"/>
                  <w:color w:val="0000FF"/>
                </w:rPr>
                <w:t>and Principal Financial Officer Pursuant to 18 U.S.C. Section 1350, as adopted pursuant to Section 906 of the</w:t>
              </w:r>
            </w:hyperlink>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79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w:anchor="page180">
              <w:r>
                <w:rPr>
                  <w:rFonts w:ascii="Times New Roman" w:cs="Times New Roman" w:eastAsia="Times New Roman" w:hAnsi="Times New Roman"/>
                  <w:sz w:val="18"/>
                  <w:szCs w:val="18"/>
                  <w:color w:val="0000FF"/>
                </w:rPr>
                <w:t>Sarbanes-Oxley Act of 2002.</w:t>
              </w:r>
            </w:hyperlink>
          </w:p>
        </w:tc>
        <w:tc>
          <w:tcPr>
            <w:tcW w:w="5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506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101.ins *</w:t>
            </w:r>
          </w:p>
        </w:tc>
        <w:tc>
          <w:tcPr>
            <w:tcW w:w="84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25"/>
        </w:trPr>
        <w:tc>
          <w:tcPr>
            <w:tcW w:w="2760" w:type="dxa"/>
            <w:vAlign w:val="bottom"/>
            <w:gridSpan w:val="2"/>
            <w:vMerge w:val="continue"/>
          </w:tcPr>
          <w:p>
            <w:pPr>
              <w:spacing w:after="0"/>
              <w:rPr>
                <w:sz w:val="19"/>
                <w:szCs w:val="19"/>
                <w:color w:val="auto"/>
              </w:rPr>
            </w:pPr>
          </w:p>
        </w:tc>
        <w:tc>
          <w:tcPr>
            <w:tcW w:w="8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194"/>
        </w:trPr>
        <w:tc>
          <w:tcPr>
            <w:tcW w:w="2760" w:type="dxa"/>
            <w:vAlign w:val="bottom"/>
            <w:gridSpan w:val="2"/>
          </w:tcPr>
          <w:p>
            <w:pPr>
              <w:ind w:left="640"/>
              <w:spacing w:after="0" w:line="194" w:lineRule="exact"/>
              <w:rPr>
                <w:sz w:val="20"/>
                <w:szCs w:val="20"/>
                <w:color w:val="auto"/>
              </w:rPr>
            </w:pPr>
            <w:r>
              <w:rPr>
                <w:rFonts w:ascii="Times New Roman" w:cs="Times New Roman" w:eastAsia="Times New Roman" w:hAnsi="Times New Roman"/>
                <w:sz w:val="18"/>
                <w:szCs w:val="18"/>
                <w:color w:val="auto"/>
              </w:rPr>
              <w:t>101.sch *</w:t>
            </w:r>
          </w:p>
        </w:tc>
        <w:tc>
          <w:tcPr>
            <w:tcW w:w="3420" w:type="dxa"/>
            <w:vAlign w:val="bottom"/>
            <w:tcBorders>
              <w:bottom w:val="single" w:sz="8" w:color="auto"/>
            </w:tcBorders>
            <w:gridSpan w:val="12"/>
          </w:tcPr>
          <w:p>
            <w:pPr>
              <w:spacing w:after="0" w:line="194" w:lineRule="exact"/>
              <w:rPr>
                <w:sz w:val="20"/>
                <w:szCs w:val="20"/>
                <w:color w:val="auto"/>
              </w:rPr>
            </w:pPr>
            <w:r>
              <w:rPr>
                <w:rFonts w:ascii="Times New Roman" w:cs="Times New Roman" w:eastAsia="Times New Roman" w:hAnsi="Times New Roman"/>
                <w:sz w:val="18"/>
                <w:szCs w:val="18"/>
                <w:color w:val="auto"/>
                <w:w w:val="99"/>
              </w:rPr>
              <w:t>XBRL Taxonomy Schema Linkbase Document</w:t>
            </w:r>
          </w:p>
        </w:tc>
        <w:tc>
          <w:tcPr>
            <w:tcW w:w="506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101.cal *</w:t>
            </w:r>
          </w:p>
        </w:tc>
        <w:tc>
          <w:tcPr>
            <w:tcW w:w="8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230"/>
        </w:trPr>
        <w:tc>
          <w:tcPr>
            <w:tcW w:w="2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101.def *</w:t>
            </w:r>
          </w:p>
        </w:tc>
        <w:tc>
          <w:tcPr>
            <w:tcW w:w="8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r>
        <w:trPr>
          <w:trHeight w:val="229"/>
        </w:trPr>
        <w:tc>
          <w:tcPr>
            <w:tcW w:w="2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101.lab *</w:t>
            </w:r>
          </w:p>
        </w:tc>
        <w:tc>
          <w:tcPr>
            <w:tcW w:w="8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101.pre *</w:t>
            </w:r>
          </w:p>
        </w:tc>
        <w:tc>
          <w:tcPr>
            <w:tcW w:w="8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234"/>
        </w:trPr>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0"/>
                <w:szCs w:val="20"/>
                <w:color w:val="auto"/>
              </w:rPr>
            </w:pPr>
          </w:p>
        </w:tc>
        <w:tc>
          <w:tcPr>
            <w:tcW w:w="8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r>
        <w:trPr>
          <w:trHeight w:val="952"/>
        </w:trPr>
        <w:tc>
          <w:tcPr>
            <w:tcW w:w="1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Certain schedules have been omitted pursuant to Item 601(b)(2) of Regulation S-K.</w:t>
      </w:r>
    </w:p>
    <w:p>
      <w:pPr>
        <w:spacing w:after="0" w:line="234" w:lineRule="exact"/>
        <w:rPr>
          <w:sz w:val="20"/>
          <w:szCs w:val="20"/>
          <w:color w:val="auto"/>
        </w:rPr>
      </w:pPr>
    </w:p>
    <w:p>
      <w:pPr>
        <w:ind w:left="500" w:hanging="492"/>
        <w:spacing w:after="0" w:line="239" w:lineRule="auto"/>
        <w:tabs>
          <w:tab w:leader="none" w:pos="267"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MAGNITE, INC.</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497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121" w:right="479" w:bottom="1440" w:gutter="0" w:footer="0" w:header="0"/>
        </w:sectPr>
      </w:pP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6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4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Michael Barrett</w:t>
      </w:r>
    </w:p>
    <w:p>
      <w:pPr>
        <w:spacing w:after="0" w:line="2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David Day</w:t>
      </w: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Shawna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Shawna Hughes</w:t>
      </w:r>
    </w:p>
    <w:p>
      <w:pPr>
        <w:spacing w:after="0" w:line="2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Paul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Paul Caine</w:t>
      </w:r>
    </w:p>
    <w:p>
      <w:pPr>
        <w:spacing w:after="0" w:line="2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Robert J. Frankenberg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256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Robert J. Frankenberg</w:t>
      </w:r>
    </w:p>
    <w:p>
      <w:pPr>
        <w:spacing w:after="0" w:line="2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Sarah P. Harden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Sarah P. Harden</w:t>
      </w: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Doug Knopper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Doug Knopper</w:t>
      </w:r>
    </w:p>
    <w:p>
      <w:pPr>
        <w:spacing w:after="0" w:line="2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Rachel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Rachel Lam</w:t>
      </w:r>
    </w:p>
    <w:p>
      <w:pPr>
        <w:spacing w:after="0" w:line="2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James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James Rossman</w:t>
      </w: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Robert F. Spillane</w:t>
      </w: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Lisa L. 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Lisa L. Troe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jc w:val="center"/>
        <w:ind w:right="1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6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1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5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2021</w:t>
      </w:r>
    </w:p>
    <w:p>
      <w:pPr>
        <w:sectPr>
          <w:pgSz w:w="11900" w:h="16838" w:orient="portrait"/>
          <w:cols w:equalWidth="0" w:num="3">
            <w:col w:w="3500" w:space="720"/>
            <w:col w:w="4500" w:space="720"/>
            <w:col w:w="1660"/>
          </w:cols>
          <w:pgMar w:left="320" w:top="121" w:right="47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Magnite, Inc. (“Magnite,” the “Company,” “we,” “us” or “our”) has one class of securities registered under Section 12 of the</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Securities Exchange Act of 1934, as amended (the “Exchange Act”): our common stock, par value $0.00001 per share (the “common stock”).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7"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Our authorized capital stock consists of 500,000,000 shares of common stock, $0.00001 par value per share, and 10,000,000 shares of undesignated preferred stock, $0.00001 par value per share.</w:t>
      </w:r>
    </w:p>
    <w:p>
      <w:pPr>
        <w:spacing w:after="0" w:line="186"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0"/>
          <w:szCs w:val="20"/>
          <w:color w:val="auto"/>
        </w:rPr>
        <w:t>The following description of the terms of our common stock is not complete and is qualified in its entirety by reference to our Sixth Amended and Restated Certificate of Incorporation, as amended (“Certificate of Incorporation”), and our Fourth Amended and Restated Bylaws (“Bylaws”), each of which is incorporated by reference as an exhibit to the Annual Report on Form 10-K of which this exhibit is a part.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4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0"/>
          <w:szCs w:val="20"/>
          <w:color w:val="auto"/>
        </w:rPr>
        <w:t>Holders of our common stock are entitled to one vote on all matters submitted to a vote of stockholders; provided, however, that, except as otherwise required by law, holders of our common stock, as such, shall not be entitled to vote on any amendment to our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and Liquidation Rights</w:t>
      </w:r>
    </w:p>
    <w:p>
      <w:pPr>
        <w:spacing w:after="0" w:line="24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0"/>
          <w:szCs w:val="20"/>
          <w:color w:val="auto"/>
        </w:rPr>
        <w:t>Subject to the rights, if any, of the holders of any outstanding series of preferred stock, holders of our common stock shall be entitled to receive dividends out of any of our funds legally available when, as and if declared by the Company’s board of directors (the “Board”). Upon the dissolution, liquidation or winding up of the Company, subject to the rights, if any, of the holders of our preferred stock, the holders of shares of our common stock shall be entitled to receive the assets of the Company available for distribution to its stockholders ratably in proportion to the number of shares held by them.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w:t>
      </w:r>
    </w:p>
    <w:p>
      <w:pPr>
        <w:spacing w:after="0" w:line="247"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Holders of our common stock do not have preemptive or conversion rights or other subscription rights. There are no redemption or sinking fund provisions applicable to our common stock. All outstanding shares of common stock are fully paid and nonassessable.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ectPr>
          <w:pgSz w:w="11900" w:h="16838" w:orient="portrait"/>
          <w:cols w:equalWidth="0" w:num="1">
            <w:col w:w="11240"/>
          </w:cols>
          <w:pgMar w:left="320" w:top="1409" w:right="339" w:bottom="1440" w:gutter="0" w:footer="0" w:header="0"/>
        </w:sectPr>
      </w:pPr>
    </w:p>
    <w:bookmarkStart w:id="109" w:name="page110"/>
    <w:bookmarkEnd w:id="109"/>
    <w:p>
      <w:pPr>
        <w:spacing w:after="0" w:line="21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0"/>
          <w:szCs w:val="20"/>
          <w:color w:val="auto"/>
        </w:rPr>
        <w:t>The Board is authorized to issue not more than an aggregate of 10,000,000 shares of preferred stock in one or more series, without stockholder approval and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The Board is also able to increase or decrease the number of shares of any series of preferred stock without any vote or action by stockholders.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Our Certificate of Incorporation and Bylaws</w:t>
      </w:r>
    </w:p>
    <w:p>
      <w:pPr>
        <w:spacing w:after="0" w:line="247" w:lineRule="exact"/>
        <w:rPr>
          <w:sz w:val="20"/>
          <w:szCs w:val="20"/>
          <w:color w:val="auto"/>
        </w:rPr>
      </w:pPr>
    </w:p>
    <w:p>
      <w:pPr>
        <w:ind w:right="380" w:firstLine="648"/>
        <w:spacing w:after="0" w:line="263" w:lineRule="auto"/>
        <w:rPr>
          <w:sz w:val="20"/>
          <w:szCs w:val="20"/>
          <w:color w:val="auto"/>
        </w:rPr>
      </w:pPr>
      <w:r>
        <w:rPr>
          <w:rFonts w:ascii="Times New Roman" w:cs="Times New Roman" w:eastAsia="Times New Roman" w:hAnsi="Times New Roman"/>
          <w:sz w:val="19"/>
          <w:szCs w:val="19"/>
          <w:color w:val="auto"/>
        </w:rPr>
        <w:t>Certain provisions of Delaware law (the “DGCL”) and our Certificate of Incorporation and Bylaws have the effect of making the acquisition of the Company more difficult. These provisions of the DGCL and Certificate of Incorporation and Bylaws could prohibit or delay mergers or other takeover or change in control attempts and, accordingly, may discourage attempts to acquire us. These provisions, summarized below, are expected to discourage certain types of takeover practices and takeover bids that the Board might consider to be coercive or inadequate, and are designed to encourage persons seeking to acquire control of us to negotiate with our Board.</w:t>
      </w:r>
    </w:p>
    <w:p>
      <w:pPr>
        <w:spacing w:after="0" w:line="189"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Delaware Anti-Takeover Law. </w:t>
      </w:r>
      <w:r>
        <w:rPr>
          <w:rFonts w:ascii="Times New Roman" w:cs="Times New Roman" w:eastAsia="Times New Roman" w:hAnsi="Times New Roman"/>
          <w:sz w:val="20"/>
          <w:szCs w:val="20"/>
          <w:color w:val="auto"/>
        </w:rPr>
        <w:t>We are subject to Section 203 of the DGCL, an anti-takeover law. In general, Section 203 prohibits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by the Board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applicability of this provision may have an anti-takeover effect with respect to transactions not approved in advance by the Board, including discouraging attempts that might result in a premium over the market price for the shares of common stock held by stockholders.</w:t>
      </w:r>
    </w:p>
    <w:p>
      <w:pPr>
        <w:spacing w:after="0" w:line="21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Requirements for Advance Notification of Stockholder Nominations and Proposals. </w:t>
      </w:r>
      <w:r>
        <w:rPr>
          <w:rFonts w:ascii="Times New Roman" w:cs="Times New Roman" w:eastAsia="Times New Roman" w:hAnsi="Times New Roman"/>
          <w:sz w:val="20"/>
          <w:szCs w:val="20"/>
          <w:color w:val="auto"/>
        </w:rPr>
        <w:t>Our Bylaws include advance notice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procedures with respect to stockholder proposals and the nomination of candidates for election as directors and specify certain requirements regarding the form and content of a stockholder’s notice. These provisions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06"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Elimination of Stockholder Action by Written Consent or Ability to Call a Special Meeting. </w:t>
      </w:r>
      <w:r>
        <w:rPr>
          <w:rFonts w:ascii="Times New Roman" w:cs="Times New Roman" w:eastAsia="Times New Roman" w:hAnsi="Times New Roman"/>
          <w:sz w:val="20"/>
          <w:szCs w:val="20"/>
          <w:color w:val="auto"/>
        </w:rPr>
        <w:t>Our Certificate of Incorporation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eliminates the right of stockholders to act by written consent without a meeting. As a result, a holder controlling a majority of our capital stock would not be able to amend our Bylaws or remove directors without holding a meeting of our stockholders called in accordance with our Bylaws. This provision will make it more difficult for stockholders to take action opposed by the Board. Our Bylaws further provide that special meetings of our stockholders may be called only by the Board, thus prohibiting a stockholder from calling a special meeting. These provisions might delay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0" w:name="page111"/>
    <w:bookmarkEnd w:id="110"/>
    <w:p>
      <w:pPr>
        <w:ind w:right="80"/>
        <w:spacing w:after="0" w:line="269" w:lineRule="auto"/>
        <w:rPr>
          <w:sz w:val="20"/>
          <w:szCs w:val="20"/>
          <w:color w:val="auto"/>
        </w:rPr>
      </w:pPr>
      <w:r>
        <w:rPr>
          <w:rFonts w:ascii="Times New Roman" w:cs="Times New Roman" w:eastAsia="Times New Roman" w:hAnsi="Times New Roman"/>
          <w:sz w:val="20"/>
          <w:szCs w:val="20"/>
          <w:color w:val="auto"/>
        </w:rPr>
        <w:t>our stockholders to force consideration of a proposal, or stockholders controlling a majority of our capital stock to take any action, including the removal of directors.</w:t>
      </w:r>
    </w:p>
    <w:p>
      <w:pPr>
        <w:spacing w:after="0" w:line="18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Election and Removal of Directors. </w:t>
      </w:r>
      <w:r>
        <w:rPr>
          <w:rFonts w:ascii="Times New Roman" w:cs="Times New Roman" w:eastAsia="Times New Roman" w:hAnsi="Times New Roman"/>
          <w:sz w:val="20"/>
          <w:szCs w:val="20"/>
          <w:color w:val="auto"/>
        </w:rPr>
        <w:t>Our Board is divided into three classes, each serving staggered three-year terms. As a result,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only a portion of our Board is elected each year. The Board has the exclusive right to increase or decrease the size of the Board and to fill vacancies on the Board. This system of electing directors may discourage a third party from making a tender offer or otherwise attempting to obtain control of the Company, because it generally makes it more difficult for stockholders to replace a majority of the directors. Additionally, directors may be removed only for cause and only with the approval of the holders of 66 2/3% of our outstanding common stock. Pursuant to our Certificate of Incorporation, at any meeting of stockholders at which directors are to be elected, each nominee for election in an uncontested election is elected if the number of votes cast for the nominee’s election exceeds the number of votes cast against the nominee’s election. In all director elections other than uncontested elections, directors are elected by a plurality of the votes cast. Holders of our common stock are not entitled to cumulative voting in the election of directors.</w:t>
      </w:r>
    </w:p>
    <w:p>
      <w:pPr>
        <w:spacing w:after="0" w:line="21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Undesignated Preferred Stock. </w:t>
      </w:r>
      <w:r>
        <w:rPr>
          <w:rFonts w:ascii="Times New Roman" w:cs="Times New Roman" w:eastAsia="Times New Roman" w:hAnsi="Times New Roman"/>
          <w:sz w:val="20"/>
          <w:szCs w:val="20"/>
          <w:color w:val="auto"/>
        </w:rPr>
        <w:t>The authorization of undesignated preferred stock will make it possible for our Board, without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stockholder approval, to issue preferred stock with voting or other rights or preferences that could impede the success of any attempt to obtain control of the company. These and other provisions may have the effect of deferring hostile takeovers or delaying changes in control or management of the company.</w:t>
      </w:r>
    </w:p>
    <w:p>
      <w:pPr>
        <w:spacing w:after="0" w:line="20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Amendment of Provisions in the Certificate of Incorporation. </w:t>
      </w:r>
      <w:r>
        <w:rPr>
          <w:rFonts w:ascii="Times New Roman" w:cs="Times New Roman" w:eastAsia="Times New Roman" w:hAnsi="Times New Roman"/>
          <w:sz w:val="19"/>
          <w:szCs w:val="19"/>
          <w:color w:val="auto"/>
        </w:rPr>
        <w:t>Our Certificate of Incorporation requires the affirmative vote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holders of at least 66 2/3% of our outstanding voting stock in order to amend any provision of our Certificate of Incorporation concerning:</w:t>
      </w:r>
    </w:p>
    <w:p>
      <w:pPr>
        <w:spacing w:after="0" w:line="1" w:lineRule="exact"/>
        <w:rPr>
          <w:sz w:val="20"/>
          <w:szCs w:val="20"/>
          <w:color w:val="auto"/>
        </w:rPr>
      </w:pPr>
    </w:p>
    <w:p>
      <w:pPr>
        <w:ind w:left="980" w:right="420" w:hanging="324"/>
        <w:spacing w:after="0" w:line="239" w:lineRule="auto"/>
        <w:tabs>
          <w:tab w:leader="none" w:pos="96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vote to amend or repeal the section of the Certificate of Incorporation providing for the right to amend or repeal provisions of the Certificate of Incorporation;</w:t>
      </w:r>
    </w:p>
    <w:p>
      <w:pPr>
        <w:ind w:left="960" w:hanging="304"/>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directors and structure of the Board;</w:t>
      </w:r>
    </w:p>
    <w:p>
      <w:pPr>
        <w:ind w:left="960" w:hanging="304"/>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absence of the authority of stockholders to act by written consent;</w:t>
      </w:r>
    </w:p>
    <w:p>
      <w:pPr>
        <w:ind w:left="960" w:hanging="304"/>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authority to call a special meeting of stockholders; and</w:t>
      </w:r>
    </w:p>
    <w:p>
      <w:pPr>
        <w:ind w:left="960" w:hanging="304"/>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vote to amend or repeal provisions of the Bylaws.</w:t>
      </w:r>
    </w:p>
    <w:p>
      <w:pPr>
        <w:spacing w:after="0" w:line="217"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Amendment of Provisions in the Bylaws. </w:t>
      </w:r>
      <w:r>
        <w:rPr>
          <w:rFonts w:ascii="Times New Roman" w:cs="Times New Roman" w:eastAsia="Times New Roman" w:hAnsi="Times New Roman"/>
          <w:sz w:val="20"/>
          <w:szCs w:val="20"/>
          <w:color w:val="auto"/>
        </w:rPr>
        <w:t>In addition to the limitation on amending our Bylaws as provided in our Certificate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Incorporation, our Bylaws require the affirmative vote of the holders of at least 66 2/3% of our outstanding voting stock in order to amend any provision of our Bylaws.</w:t>
      </w:r>
    </w:p>
    <w:p>
      <w:pPr>
        <w:spacing w:after="0" w:line="19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Forum Selection Provision. </w:t>
      </w:r>
      <w:r>
        <w:rPr>
          <w:rFonts w:ascii="Times New Roman" w:cs="Times New Roman" w:eastAsia="Times New Roman" w:hAnsi="Times New Roman"/>
          <w:sz w:val="19"/>
          <w:szCs w:val="19"/>
          <w:color w:val="auto"/>
        </w:rPr>
        <w:t>Our Certificate of Incorporation provides that unless we otherwise consent in writing to the selection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alternative forum, the sole and exclusive forum for any stockholder (including any beneficial owner) to bring: (a) any derivative action or proceeding brought on behalf of the Company, (b) any action asserting a claim of breach of a fiduciary duty owed by any director, officer or employee of the Company to the Company or the Company’s stockholders, (c) any action asserting a claim arising pursuant to any provision of the DGCL or the Certificate of Incorporation or Bylaws, or (d) any action asserting a claim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This exclusive forum provision is intended to apply to claims arising under Delaware state law and would not apply to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13"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color w:val="auto"/>
        </w:rPr>
        <w:t>brought pursuant to the Exchange Act or Securities Act, or any other claim for which the federal courts have exclusive jurisdiction.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Listing</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common stock is currently listed on the Nasdaq Global Select Market under the ticker “MGNI.”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400"/>
          </w:cols>
          <w:pgMar w:left="320" w:top="1413" w:right="117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OFFICE LEASE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Office Lease (this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xml:space="preserve">”), dated November 20, 2020, by and between </w:t>
      </w:r>
      <w:r>
        <w:rPr>
          <w:rFonts w:ascii="Times New Roman" w:cs="Times New Roman" w:eastAsia="Times New Roman" w:hAnsi="Times New Roman"/>
          <w:sz w:val="20"/>
          <w:szCs w:val="20"/>
          <w:b w:val="1"/>
          <w:bCs w:val="1"/>
          <w:color w:val="auto"/>
        </w:rPr>
        <w:t>BRE HH PROPERTY OWNER LLC, a Delaware 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liability company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MAGNITE, INC., a Delaware corporation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The following exhibits are incorporated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herein and made a part hereof: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(Outline of Premises);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(Expenses and Taxes);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(Work Letter); </w:t>
      </w:r>
      <w:r>
        <w:rPr>
          <w:rFonts w:ascii="Times New Roman" w:cs="Times New Roman" w:eastAsia="Times New Roman" w:hAnsi="Times New Roman"/>
          <w:sz w:val="20"/>
          <w:szCs w:val="20"/>
          <w:b w:val="1"/>
          <w:bCs w:val="1"/>
          <w:u w:val="single" w:color="auto"/>
          <w:color w:val="auto"/>
        </w:rPr>
        <w:t>Exhibit C-1</w:t>
      </w:r>
      <w:r>
        <w:rPr>
          <w:rFonts w:ascii="Times New Roman" w:cs="Times New Roman" w:eastAsia="Times New Roman" w:hAnsi="Times New Roman"/>
          <w:sz w:val="20"/>
          <w:szCs w:val="20"/>
          <w:color w:val="auto"/>
        </w:rPr>
        <w:t xml:space="preserve"> (Pricing Plan);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xml:space="preserve"> (Form of Confirmation Letter); </w:t>
      </w:r>
      <w:r>
        <w:rPr>
          <w:rFonts w:ascii="Times New Roman" w:cs="Times New Roman" w:eastAsia="Times New Roman" w:hAnsi="Times New Roman"/>
          <w:sz w:val="20"/>
          <w:szCs w:val="20"/>
          <w:b w:val="1"/>
          <w:bCs w:val="1"/>
          <w:u w:val="single" w:color="auto"/>
          <w:color w:val="auto"/>
        </w:rPr>
        <w:t>Exhibit E</w:t>
      </w:r>
      <w:r>
        <w:rPr>
          <w:rFonts w:ascii="Times New Roman" w:cs="Times New Roman" w:eastAsia="Times New Roman" w:hAnsi="Times New Roman"/>
          <w:sz w:val="20"/>
          <w:szCs w:val="20"/>
          <w:color w:val="auto"/>
        </w:rPr>
        <w:t xml:space="preserve"> (Rules and Regulations);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(Additional Provisions); </w:t>
      </w:r>
      <w:r>
        <w:rPr>
          <w:rFonts w:ascii="Times New Roman" w:cs="Times New Roman" w:eastAsia="Times New Roman" w:hAnsi="Times New Roman"/>
          <w:sz w:val="20"/>
          <w:szCs w:val="20"/>
          <w:b w:val="1"/>
          <w:bCs w:val="1"/>
          <w:u w:val="single" w:color="auto"/>
          <w:color w:val="auto"/>
        </w:rPr>
        <w:t>Exhibit F-1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of Pet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(Judicial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of Letter of Credit);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(Janitorial Cleaning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Specifications).</w:t>
      </w:r>
    </w:p>
    <w:p>
      <w:pPr>
        <w:spacing w:after="0" w:line="179"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BASIC LEASE INFORMATION.</w:t>
      </w:r>
    </w:p>
    <w:p>
      <w:pPr>
        <w:spacing w:after="0" w:line="215"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b w:val="1"/>
          <w:bCs w:val="1"/>
          <w:u w:val="single" w:color="auto"/>
          <w:color w:val="auto"/>
        </w:rPr>
        <w:t>Premises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6080 Center Drive, Los Angeles, California 90045, commonly known as Playa District.</w:t>
      </w:r>
    </w:p>
    <w:p>
      <w:pPr>
        <w:spacing w:after="0" w:line="216" w:lineRule="exact"/>
        <w:rPr>
          <w:sz w:val="20"/>
          <w:szCs w:val="20"/>
          <w:color w:val="auto"/>
        </w:rPr>
      </w:pPr>
    </w:p>
    <w:p>
      <w:pPr>
        <w:jc w:val="both"/>
        <w:ind w:firstLine="1137"/>
        <w:spacing w:after="0" w:line="235"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222222"/>
        </w:rPr>
        <w:t>38,754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2222"/>
        </w:rPr>
        <w:t>rentable square feet of space consisting of (i) 27,081 rentable square feet</w:t>
      </w:r>
      <w:r>
        <w:rPr>
          <w:rFonts w:ascii="Times New Roman" w:cs="Times New Roman" w:eastAsia="Times New Roman" w:hAnsi="Times New Roman"/>
          <w:sz w:val="20"/>
          <w:szCs w:val="20"/>
          <w:color w:val="auto"/>
        </w:rPr>
        <w:t xml:space="preserve"> known as Suite 400 </w:t>
      </w:r>
      <w:r>
        <w:rPr>
          <w:rFonts w:ascii="Times New Roman" w:cs="Times New Roman" w:eastAsia="Times New Roman" w:hAnsi="Times New Roman"/>
          <w:sz w:val="20"/>
          <w:szCs w:val="20"/>
          <w:color w:val="222222"/>
        </w:rPr>
        <w:t>on the 4</w:t>
      </w:r>
      <w:r>
        <w:rPr>
          <w:rFonts w:ascii="Times New Roman" w:cs="Times New Roman" w:eastAsia="Times New Roman" w:hAnsi="Times New Roman"/>
          <w:sz w:val="25"/>
          <w:szCs w:val="25"/>
          <w:color w:val="222222"/>
          <w:vertAlign w:val="superscript"/>
        </w:rPr>
        <w:t>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2222"/>
        </w:rPr>
        <w:t>floor of the Building</w:t>
      </w:r>
      <w:r>
        <w:rPr>
          <w:rFonts w:ascii="Times New Roman" w:cs="Times New Roman" w:eastAsia="Times New Roman" w:hAnsi="Times New Roman"/>
          <w:sz w:val="20"/>
          <w:szCs w:val="20"/>
          <w:color w:val="000000"/>
        </w:rPr>
        <w:t>, the outline and location of which is set forth in</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b w:val="1"/>
          <w:bCs w:val="1"/>
          <w:u w:val="single" w:color="auto"/>
          <w:color w:val="000000"/>
        </w:rPr>
        <w:t>Exhibit A</w:t>
      </w:r>
      <w:r>
        <w:rPr>
          <w:rFonts w:ascii="Times New Roman" w:cs="Times New Roman" w:eastAsia="Times New Roman" w:hAnsi="Times New Roman"/>
          <w:sz w:val="20"/>
          <w:szCs w:val="20"/>
          <w:color w:val="000000"/>
        </w:rPr>
        <w:t>, and (ii) 11,673 rentable square feet known as Suite 500 on</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 xml:space="preserve">the 5th floor of the Building, the outline and location of which is set forth in </w:t>
      </w:r>
      <w:r>
        <w:rPr>
          <w:rFonts w:ascii="Times New Roman" w:cs="Times New Roman" w:eastAsia="Times New Roman" w:hAnsi="Times New Roman"/>
          <w:sz w:val="20"/>
          <w:szCs w:val="20"/>
          <w:b w:val="1"/>
          <w:bCs w:val="1"/>
          <w:u w:val="single" w:color="auto"/>
          <w:color w:val="000000"/>
        </w:rPr>
        <w:t>Exhibit A</w:t>
      </w:r>
      <w:r>
        <w:rPr>
          <w:rFonts w:ascii="Times New Roman" w:cs="Times New Roman" w:eastAsia="Times New Roman" w:hAnsi="Times New Roman"/>
          <w:sz w:val="20"/>
          <w:szCs w:val="20"/>
          <w:color w:val="000000"/>
        </w:rPr>
        <w:t xml:space="preserve"> (the space described in this clause (ii) shall be referred to herein as “</w:t>
      </w:r>
      <w:r>
        <w:rPr>
          <w:rFonts w:ascii="Times New Roman" w:cs="Times New Roman" w:eastAsia="Times New Roman" w:hAnsi="Times New Roman"/>
          <w:sz w:val="20"/>
          <w:szCs w:val="20"/>
          <w:b w:val="1"/>
          <w:bCs w:val="1"/>
          <w:color w:val="000000"/>
        </w:rPr>
        <w:t>Suite 500</w:t>
      </w:r>
      <w:r>
        <w:rPr>
          <w:rFonts w:ascii="Times New Roman" w:cs="Times New Roman" w:eastAsia="Times New Roman" w:hAnsi="Times New Roman"/>
          <w:sz w:val="20"/>
          <w:szCs w:val="20"/>
          <w:color w:val="000000"/>
        </w:rPr>
        <w:t xml:space="preserve">”). If the Premises include any floor in its entirety, all corridors and restroom facilities located on such floor shall be considered part of the Premises. For the avoidance of doubt, so long as the Premises include the entirety of the fourth floor of the Building, all cooridors and restroom facilities located on such fourth floor shall be considered part of the Premises and not part of the Common Areas (defined in </w:t>
      </w:r>
      <w:r>
        <w:rPr>
          <w:rFonts w:ascii="Times New Roman" w:cs="Times New Roman" w:eastAsia="Times New Roman" w:hAnsi="Times New Roman"/>
          <w:sz w:val="20"/>
          <w:szCs w:val="20"/>
          <w:u w:val="single" w:color="auto"/>
          <w:color w:val="000000"/>
        </w:rPr>
        <w:t>Section 2.2</w:t>
      </w:r>
      <w:r>
        <w:rPr>
          <w:rFonts w:ascii="Times New Roman" w:cs="Times New Roman" w:eastAsia="Times New Roman" w:hAnsi="Times New Roman"/>
          <w:sz w:val="20"/>
          <w:szCs w:val="20"/>
          <w:color w:val="000000"/>
        </w:rPr>
        <w:t>).</w:t>
      </w:r>
    </w:p>
    <w:p>
      <w:pPr>
        <w:spacing w:after="0" w:line="190" w:lineRule="exact"/>
        <w:rPr>
          <w:sz w:val="20"/>
          <w:szCs w:val="20"/>
          <w:color w:val="auto"/>
        </w:rPr>
      </w:pPr>
    </w:p>
    <w:p>
      <w:pPr>
        <w:jc w:val="both"/>
        <w:ind w:right="20" w:firstLine="1082"/>
        <w:spacing w:after="0" w:line="256"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 The Building, the parcel(s) of land upon which it is located, and, at Landlord’s discretion, any parking facilities and other improvements serving the Building and the parcel(s) of land upon which such parking facilities and other improvements are located.</w:t>
      </w:r>
    </w:p>
    <w:p>
      <w:pPr>
        <w:spacing w:after="0" w:line="169" w:lineRule="exact"/>
        <w:rPr>
          <w:sz w:val="20"/>
          <w:szCs w:val="20"/>
          <w:color w:val="auto"/>
        </w:rPr>
      </w:pPr>
    </w:p>
    <w:p>
      <w:pPr>
        <w:jc w:val="both"/>
        <w:ind w:firstLine="1092"/>
        <w:spacing w:after="0" w:line="273"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The Property or, at Landlord’s discretion, any project containing the Property and any other land, buildings or other improvements.</w:t>
      </w:r>
    </w:p>
    <w:p>
      <w:pPr>
        <w:spacing w:after="0" w:line="15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192"/>
        <w:spacing w:after="0" w:line="273" w:lineRule="auto"/>
        <w:rPr>
          <w:sz w:val="20"/>
          <w:szCs w:val="20"/>
          <w:color w:val="auto"/>
        </w:rPr>
      </w:pPr>
      <w:r>
        <w:rPr>
          <w:rFonts w:ascii="Times New Roman" w:cs="Times New Roman" w:eastAsia="Times New Roman" w:hAnsi="Times New Roman"/>
          <w:sz w:val="20"/>
          <w:szCs w:val="20"/>
          <w:color w:val="auto"/>
        </w:rPr>
        <w:t>i.The term of this Lease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shall begin on the Commencement Date and expire on the Expiration Date (or any earlier date on which this Lease is terminated as provided herein).</w:t>
      </w:r>
    </w:p>
    <w:p>
      <w:pPr>
        <w:spacing w:after="0" w:line="152" w:lineRule="exact"/>
        <w:rPr>
          <w:sz w:val="20"/>
          <w:szCs w:val="20"/>
          <w:color w:val="auto"/>
        </w:rPr>
      </w:pPr>
    </w:p>
    <w:p>
      <w:pPr>
        <w:jc w:val="both"/>
        <w:ind w:firstLine="1137"/>
        <w:spacing w:after="0" w:line="247"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xml:space="preserve">” means the later of (i) the Inside Commencement Date (defined below), or (ii) the date occurring the Applicable Number (defined below) of days after the Delivery Date (defined below). During the Beneficial Occupancy Period (defined below), all provisions of this Lease shall apply as if the Commencement Date had occurred; provided, however, that during such period Tenant shall not be required to pay Monthly Rent (defined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the following terms shall have the following meanings:</w:t>
      </w:r>
    </w:p>
    <w:p>
      <w:pPr>
        <w:spacing w:after="0" w:line="180" w:lineRule="exact"/>
        <w:rPr>
          <w:sz w:val="20"/>
          <w:szCs w:val="20"/>
          <w:color w:val="auto"/>
        </w:rPr>
      </w:pPr>
    </w:p>
    <w:p>
      <w:pPr>
        <w:ind w:left="2600" w:hanging="648"/>
        <w:spacing w:after="0"/>
        <w:tabs>
          <w:tab w:leader="none" w:pos="2600"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Inside Commencement Date</w:t>
      </w:r>
      <w:r>
        <w:rPr>
          <w:rFonts w:ascii="Times New Roman" w:cs="Times New Roman" w:eastAsia="Times New Roman" w:hAnsi="Times New Roman"/>
          <w:sz w:val="19"/>
          <w:szCs w:val="19"/>
          <w:color w:val="auto"/>
        </w:rPr>
        <w:t>” means November 1, 2021, as such date may be extended pursuant to the last</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paragraph of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19"/>
          <w:szCs w:val="19"/>
          <w:color w:val="auto"/>
        </w:rPr>
      </w:pPr>
    </w:p>
    <w:p>
      <w:pPr>
        <w:jc w:val="both"/>
        <w:ind w:firstLine="1952"/>
        <w:spacing w:after="0" w:line="261" w:lineRule="auto"/>
        <w:tabs>
          <w:tab w:leader="none" w:pos="2591"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Number</w:t>
      </w:r>
      <w:r>
        <w:rPr>
          <w:rFonts w:ascii="Times New Roman" w:cs="Times New Roman" w:eastAsia="Times New Roman" w:hAnsi="Times New Roman"/>
          <w:sz w:val="19"/>
          <w:szCs w:val="19"/>
          <w:color w:val="auto"/>
        </w:rPr>
        <w:t>” means 180; provided, however, that the Applicable Number shall be increased by the lesser of (a) the number of days, if any, during the Beneficial Occupancy Period on which (1) Tenant is prohibited from using the Premises by a Shelter-in-Place Order (defined below) other than for business or activities defined in such Shelter-in-Place Order as “essential,” and</w:t>
      </w:r>
    </w:p>
    <w:p>
      <w:pPr>
        <w:spacing w:after="0" w:line="1" w:lineRule="exact"/>
        <w:rPr>
          <w:rFonts w:ascii="Times New Roman" w:cs="Times New Roman" w:eastAsia="Times New Roman" w:hAnsi="Times New Roman"/>
          <w:sz w:val="19"/>
          <w:szCs w:val="19"/>
          <w:color w:val="auto"/>
        </w:rPr>
      </w:pPr>
    </w:p>
    <w:p>
      <w:pPr>
        <w:jc w:val="both"/>
        <w:ind w:firstLine="8"/>
        <w:spacing w:after="0" w:line="242" w:lineRule="auto"/>
        <w:tabs>
          <w:tab w:leader="none" w:pos="2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does not use the Premises for the conduct of business, other than to receive and distribute mail and other deliveries, repair and maintain Tenant’s computer and telecommunications equipment, pick up supplies for remote work, or accomplish any similar immaterial purpose, or (b) 240.</w:t>
      </w:r>
    </w:p>
    <w:p>
      <w:pPr>
        <w:spacing w:after="0" w:line="182" w:lineRule="exact"/>
        <w:rPr>
          <w:rFonts w:ascii="Times New Roman" w:cs="Times New Roman" w:eastAsia="Times New Roman" w:hAnsi="Times New Roman"/>
          <w:sz w:val="20"/>
          <w:szCs w:val="20"/>
          <w:color w:val="auto"/>
        </w:rPr>
      </w:pPr>
    </w:p>
    <w:p>
      <w:pPr>
        <w:ind w:firstLine="1952"/>
        <w:spacing w:after="0" w:line="273" w:lineRule="auto"/>
        <w:tabs>
          <w:tab w:leader="none" w:pos="259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Occupancy Period</w:t>
      </w:r>
      <w:r>
        <w:rPr>
          <w:rFonts w:ascii="Times New Roman" w:cs="Times New Roman" w:eastAsia="Times New Roman" w:hAnsi="Times New Roman"/>
          <w:sz w:val="20"/>
          <w:szCs w:val="20"/>
          <w:color w:val="auto"/>
        </w:rPr>
        <w:t>” means the period beginning on the Delivery Date and ending on the date immediately preceding the Commencement Date.</w:t>
      </w:r>
    </w:p>
    <w:p>
      <w:pPr>
        <w:spacing w:after="0" w:line="151" w:lineRule="exact"/>
        <w:rPr>
          <w:rFonts w:ascii="Times New Roman" w:cs="Times New Roman" w:eastAsia="Times New Roman" w:hAnsi="Times New Roman"/>
          <w:sz w:val="20"/>
          <w:szCs w:val="20"/>
          <w:color w:val="auto"/>
        </w:rPr>
      </w:pPr>
    </w:p>
    <w:p>
      <w:pPr>
        <w:ind w:firstLine="1952"/>
        <w:spacing w:after="0" w:line="273" w:lineRule="auto"/>
        <w:tabs>
          <w:tab w:leader="none" w:pos="2581"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Shelter-in-Place Order</w:t>
      </w:r>
      <w:r>
        <w:rPr>
          <w:rFonts w:ascii="Times New Roman" w:cs="Times New Roman" w:eastAsia="Times New Roman" w:hAnsi="Times New Roman"/>
          <w:sz w:val="20"/>
          <w:szCs w:val="20"/>
          <w:color w:val="auto"/>
        </w:rPr>
        <w:t xml:space="preserve">” means a Law (defined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which prohibits any use of office space in the Building for the Permitted Use (except for any business or activity that is defined by such Law as “essential”).</w:t>
      </w:r>
    </w:p>
    <w:p>
      <w:pPr>
        <w:sectPr>
          <w:pgSz w:w="11900" w:h="16838" w:orient="portrait"/>
          <w:cols w:equalWidth="0" w:num="1">
            <w:col w:w="11240"/>
          </w:cols>
          <w:pgMar w:left="320" w:top="1409" w:right="339" w:bottom="6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09" w:right="339" w:bottom="688" w:gutter="0" w:footer="0" w:header="0"/>
          <w:type w:val="continuous"/>
        </w:sectPr>
      </w:pPr>
    </w:p>
    <w:bookmarkStart w:id="113" w:name="page114"/>
    <w:bookmarkEnd w:id="113"/>
    <w:p>
      <w:pPr>
        <w:spacing w:after="0" w:line="185" w:lineRule="exact"/>
        <w:rPr>
          <w:sz w:val="20"/>
          <w:szCs w:val="20"/>
          <w:color w:val="auto"/>
        </w:rPr>
      </w:pPr>
    </w:p>
    <w:p>
      <w:pPr>
        <w:ind w:firstLine="1952"/>
        <w:spacing w:after="0" w:line="273" w:lineRule="auto"/>
        <w:tabs>
          <w:tab w:leader="none" w:pos="2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Delivery Date</w:t>
      </w:r>
      <w:r>
        <w:rPr>
          <w:rFonts w:ascii="Times New Roman" w:cs="Times New Roman" w:eastAsia="Times New Roman" w:hAnsi="Times New Roman"/>
          <w:sz w:val="20"/>
          <w:szCs w:val="20"/>
          <w:color w:val="auto"/>
        </w:rPr>
        <w:t xml:space="preserve">” means the date on which Landlord tenders possession of the Premises to Tenant with the Tenant Improvement Work (defined in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is Substantially Complete (defined in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9"/>
          <w:szCs w:val="19"/>
          <w:color w:val="auto"/>
        </w:rPr>
        <w:t>Tenant may enter the Premises (i) after installation of the ceiling grid in the Premises (if any) and before the Delivery Date (but not before the date that Landlord reasonably estimates will occur 30 days before the Delivery Date), solely for the purpose of installing telecommunications and data cabling in the Premises, and (ii) after installation of the carpeting or other flooring in the Premises and before the Delivery Date (but not before the date that Landlord reasonably estimates will occur 30 days before the Delivery Date), solely for the purpose of installing equipment, furnishings and other personal property in the Premises. Other than the obligation to pay Monthly Rent (and any parking charges for Tenant’s contractors, agents and other invitees involved in performing such installations by Tenant), all of Tenant’s obligations hereunder shall apply during any period of such early entry. Notwithstanding the foregoing, Landlord may limit, suspend or terminate Tenant’s rights to enter the Premises before the Delivery Date pursuant to this paragraph if Landlord reasonably determines that such entry is endangering individuals working in the Premises or is delaying completion of the Tenant Improvement Work.</w:t>
      </w:r>
    </w:p>
    <w:p>
      <w:pPr>
        <w:spacing w:after="0" w:line="203" w:lineRule="exact"/>
        <w:rPr>
          <w:sz w:val="20"/>
          <w:szCs w:val="20"/>
          <w:color w:val="auto"/>
        </w:rPr>
      </w:pPr>
    </w:p>
    <w:p>
      <w:pPr>
        <w:jc w:val="both"/>
        <w:ind w:firstLine="1944"/>
        <w:spacing w:after="0" w:line="243" w:lineRule="auto"/>
        <w:rPr>
          <w:sz w:val="20"/>
          <w:szCs w:val="20"/>
          <w:color w:val="auto"/>
        </w:rPr>
      </w:pPr>
      <w:r>
        <w:rPr>
          <w:rFonts w:ascii="Times New Roman" w:cs="Times New Roman" w:eastAsia="Times New Roman" w:hAnsi="Times New Roman"/>
          <w:sz w:val="20"/>
          <w:szCs w:val="20"/>
          <w:color w:val="auto"/>
        </w:rPr>
        <w:t>Notwithstanding any contrary provision hereof, if the Delivery Date does not occur on or before the Outside Delivery Date for Abatement (defined below), Tenant, as its sole remedy (except as provided in the next succeeding paragraph), shall be entitled to an abatement of Base Rent, beginning on the date that Base Rent otherwise first becomes payable hereunder, in the amount of $6,006.87 for each day in the period beginning on the Outside Delivery Date for Abatement and ending on the date immediately preceding the Delivery Date. As used herein, “</w:t>
      </w:r>
      <w:r>
        <w:rPr>
          <w:rFonts w:ascii="Times New Roman" w:cs="Times New Roman" w:eastAsia="Times New Roman" w:hAnsi="Times New Roman"/>
          <w:sz w:val="20"/>
          <w:szCs w:val="20"/>
          <w:b w:val="1"/>
          <w:bCs w:val="1"/>
          <w:color w:val="auto"/>
        </w:rPr>
        <w:t>Outside Delivery Date for Abatement</w:t>
      </w:r>
      <w:r>
        <w:rPr>
          <w:rFonts w:ascii="Times New Roman" w:cs="Times New Roman" w:eastAsia="Times New Roman" w:hAnsi="Times New Roman"/>
          <w:sz w:val="20"/>
          <w:szCs w:val="20"/>
          <w:color w:val="auto"/>
        </w:rPr>
        <w:t xml:space="preserve">” means January 31, 2022; provided, however, that the Outside Delivery Date for Abatement shall be postponed by one (1) day for each day, if any, by which the Substantial Completion of the Tenant Improvement Work is delayed by any event of Force Majeure (defined in </w:t>
      </w:r>
      <w:r>
        <w:rPr>
          <w:rFonts w:ascii="Times New Roman" w:cs="Times New Roman" w:eastAsia="Times New Roman" w:hAnsi="Times New Roman"/>
          <w:sz w:val="20"/>
          <w:szCs w:val="20"/>
          <w:u w:val="single" w:color="auto"/>
          <w:color w:val="auto"/>
        </w:rPr>
        <w:t>Section 23.2</w:t>
      </w:r>
      <w:r>
        <w:rPr>
          <w:rFonts w:ascii="Times New Roman" w:cs="Times New Roman" w:eastAsia="Times New Roman" w:hAnsi="Times New Roman"/>
          <w:sz w:val="20"/>
          <w:szCs w:val="20"/>
          <w:color w:val="auto"/>
        </w:rPr>
        <w:t xml:space="preserve">), including any failure of any permitting authority to issue any Permit (defined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within the customary period of time.</w:t>
      </w:r>
    </w:p>
    <w:p>
      <w:pPr>
        <w:spacing w:after="0" w:line="216" w:lineRule="exact"/>
        <w:rPr>
          <w:sz w:val="20"/>
          <w:szCs w:val="20"/>
          <w:color w:val="auto"/>
        </w:rPr>
      </w:pPr>
    </w:p>
    <w:p>
      <w:pPr>
        <w:jc w:val="both"/>
        <w:ind w:firstLine="1944"/>
        <w:spacing w:after="0" w:line="242" w:lineRule="auto"/>
        <w:rPr>
          <w:sz w:val="20"/>
          <w:szCs w:val="20"/>
          <w:color w:val="auto"/>
        </w:rPr>
      </w:pPr>
      <w:r>
        <w:rPr>
          <w:rFonts w:ascii="Times New Roman" w:cs="Times New Roman" w:eastAsia="Times New Roman" w:hAnsi="Times New Roman"/>
          <w:sz w:val="20"/>
          <w:szCs w:val="20"/>
          <w:color w:val="auto"/>
        </w:rPr>
        <w:t>Notwithstanding any contrary provision hereof (but subject to the next succeeding sentence), if the Delivery Date does not occur on or before the Outside Delivery Date for Termination (defined below), Tenant, as its sole remedy (except as provided in the immediately preceding paragraph), may terminate this Lease by notifying Landlord not later than the date immediately preceding the Delivery Date. As used herein, “</w:t>
      </w:r>
      <w:r>
        <w:rPr>
          <w:rFonts w:ascii="Times New Roman" w:cs="Times New Roman" w:eastAsia="Times New Roman" w:hAnsi="Times New Roman"/>
          <w:sz w:val="20"/>
          <w:szCs w:val="20"/>
          <w:b w:val="1"/>
          <w:bCs w:val="1"/>
          <w:color w:val="auto"/>
        </w:rPr>
        <w:t>Outside Delivery Date for Termination</w:t>
      </w:r>
      <w:r>
        <w:rPr>
          <w:rFonts w:ascii="Times New Roman" w:cs="Times New Roman" w:eastAsia="Times New Roman" w:hAnsi="Times New Roman"/>
          <w:sz w:val="20"/>
          <w:szCs w:val="20"/>
          <w:color w:val="auto"/>
        </w:rPr>
        <w:t>” means the Outside Delivery Date for Abatement; provided, however, that if Landlord determines in good faith that it will be unable to cause the Delivery Date to occur by the Outside Delivery Date for Termination, Landlord may immediately cease its performance of the Tenant Improvement Work and provide Tenant with notice (the “</w:t>
      </w:r>
      <w:r>
        <w:rPr>
          <w:rFonts w:ascii="Times New Roman" w:cs="Times New Roman" w:eastAsia="Times New Roman" w:hAnsi="Times New Roman"/>
          <w:sz w:val="20"/>
          <w:szCs w:val="20"/>
          <w:b w:val="1"/>
          <w:bCs w:val="1"/>
          <w:color w:val="auto"/>
        </w:rPr>
        <w:t>Outside Delivery Date for Termination Extension Notice</w:t>
      </w:r>
      <w:r>
        <w:rPr>
          <w:rFonts w:ascii="Times New Roman" w:cs="Times New Roman" w:eastAsia="Times New Roman" w:hAnsi="Times New Roman"/>
          <w:sz w:val="20"/>
          <w:szCs w:val="20"/>
          <w:color w:val="auto"/>
        </w:rPr>
        <w:t>”) of such inability, which notice shall set forth the date on which Landlord reasonably estimates that the Delivery Date will occur. Upon receiving the Outside Delivery Date for Termination Extension Notice, Tenant may terminate this Lease by notifying Landlord within 10 business days after such receipt. If Tenant does not terminate this Lease pursuant to the immediately preceding sentence, then (a) the Outside Delivery Date for Termination shall automatically be amended to be the date set forth in the Outside Delivery Date for Termination Extension Notice, and (b) the Inside Commencement Date shall automatically be extended by the number of days by which the Outside Delivery Date for Termination is extended pursuant to the preceding clause (a).</w:t>
      </w:r>
    </w:p>
    <w:p>
      <w:pPr>
        <w:spacing w:after="0" w:line="1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The last day of the 120th full calendar month beginning on or after the Commencement Date.</w:t>
      </w:r>
    </w:p>
    <w:p>
      <w:pPr>
        <w:spacing w:after="0" w:line="216"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Base Rent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660" w:type="dxa"/>
            <w:vAlign w:val="bottom"/>
            <w:tcBorders>
              <w:top w:val="single" w:sz="8" w:color="auto"/>
              <w:left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20"/>
                <w:szCs w:val="20"/>
                <w:color w:val="auto"/>
              </w:rPr>
              <w:t>Period of Term</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Monthly Base Rent</w:t>
            </w:r>
          </w:p>
        </w:tc>
        <w:tc>
          <w:tcPr>
            <w:tcW w:w="3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Annual Base Rent Rate/RSF</w:t>
            </w: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w w:val="99"/>
              </w:rPr>
              <w:t>Commencement Date – Last day of the 12th full calendar</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$180,206.10</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$55.80</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13th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$186,513.31</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$57.75</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24th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25th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$193,041.28</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$59.77</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36th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37th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$199,797.72</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$61.87</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48th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49th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$206,790.65</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$64.03</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60th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61st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$214,028.32</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$66.27</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72nd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73rd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$221,519.31</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$68.59</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84th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85th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$229,272.48</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$70.99</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96th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97th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$237,297.02</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$73.48</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108th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66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First day of the 109th full calendar month of the Term –</w:t>
            </w:r>
          </w:p>
        </w:tc>
        <w:tc>
          <w:tcPr>
            <w:tcW w:w="33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$245,602.42</w:t>
            </w:r>
          </w:p>
        </w:tc>
        <w:tc>
          <w:tcPr>
            <w:tcW w:w="306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$76.05</w:t>
            </w:r>
          </w:p>
        </w:tc>
      </w:tr>
      <w:tr>
        <w:trPr>
          <w:trHeight w:val="258"/>
        </w:trPr>
        <w:tc>
          <w:tcPr>
            <w:tcW w:w="4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Last day of the 120th full calendar month of the Term</w:t>
            </w:r>
          </w:p>
        </w:tc>
        <w:tc>
          <w:tcPr>
            <w:tcW w:w="332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r>
      <w:tr>
        <w:trPr>
          <w:trHeight w:val="21"/>
        </w:trPr>
        <w:tc>
          <w:tcPr>
            <w:tcW w:w="4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Notwithstanding the foregoing, Base Rent shall be abated in the amount of (i) $180,206.10 per month for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through the sixth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calendar months of the Term, and (ii) $214,028.32 per month for the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through the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full calendar months of the Term; provided, however, that (a) if a Default (defined in </w:t>
      </w:r>
      <w:r>
        <w:rPr>
          <w:rFonts w:ascii="Times New Roman" w:cs="Times New Roman" w:eastAsia="Times New Roman" w:hAnsi="Times New Roman"/>
          <w:sz w:val="20"/>
          <w:szCs w:val="20"/>
          <w:u w:val="single" w:color="auto"/>
          <w:color w:val="auto"/>
        </w:rPr>
        <w:t>Section 18.1</w:t>
      </w:r>
      <w:r>
        <w:rPr>
          <w:rFonts w:ascii="Times New Roman" w:cs="Times New Roman" w:eastAsia="Times New Roman" w:hAnsi="Times New Roman"/>
          <w:sz w:val="20"/>
          <w:szCs w:val="20"/>
          <w:color w:val="auto"/>
        </w:rPr>
        <w:t>) exists when any such abatement would otherwise apply, such abatement shall be deferred until the date, if any, on which such Default is cured; and (b) Landlord, at its option, may cancel all or any portion of any such abatement that has not yet been applied, by notifying Tenant of such cancellation, in which event the (a) Landlord shall pay Tenant, within five (5) business days after such notice, the then discounted present value of such unapplied abatement, as determined using a discount rate of 6.0%, and (b) the parties, at Landlord’s option, shall execute a commercially reasonable amendment to this Lease prepared by Landlord memorializing such cancellation.</w:t>
      </w:r>
    </w:p>
    <w:p>
      <w:pPr>
        <w:spacing w:after="0" w:line="191" w:lineRule="exact"/>
        <w:rPr>
          <w:sz w:val="20"/>
          <w:szCs w:val="20"/>
          <w:color w:val="auto"/>
        </w:rPr>
      </w:pPr>
    </w:p>
    <w:p>
      <w:pPr>
        <w:ind w:firstLine="656"/>
        <w:spacing w:after="0" w:line="273" w:lineRule="auto"/>
        <w:tabs>
          <w:tab w:leader="none" w:pos="129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Year</w:t>
      </w:r>
      <w:r>
        <w:rPr>
          <w:rFonts w:ascii="Times New Roman" w:cs="Times New Roman" w:eastAsia="Times New Roman" w:hAnsi="Times New Roman"/>
          <w:sz w:val="20"/>
          <w:szCs w:val="20"/>
          <w:color w:val="auto"/>
        </w:rPr>
        <w:t xml:space="preserve">” for Expenses (defined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calendar year 2022; “</w:t>
      </w:r>
      <w:r>
        <w:rPr>
          <w:rFonts w:ascii="Times New Roman" w:cs="Times New Roman" w:eastAsia="Times New Roman" w:hAnsi="Times New Roman"/>
          <w:sz w:val="20"/>
          <w:szCs w:val="20"/>
          <w:b w:val="1"/>
          <w:bCs w:val="1"/>
          <w:color w:val="auto"/>
        </w:rPr>
        <w:t>Base Year</w:t>
      </w:r>
      <w:r>
        <w:rPr>
          <w:rFonts w:ascii="Times New Roman" w:cs="Times New Roman" w:eastAsia="Times New Roman" w:hAnsi="Times New Roman"/>
          <w:sz w:val="20"/>
          <w:szCs w:val="20"/>
          <w:color w:val="auto"/>
        </w:rPr>
        <w:t xml:space="preserve">” for Taxes (defined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calendar year 2022.</w:t>
      </w:r>
    </w:p>
    <w:p>
      <w:pPr>
        <w:spacing w:after="0" w:line="15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Share</w:t>
      </w:r>
      <w:r>
        <w:rPr>
          <w:rFonts w:ascii="Times New Roman" w:cs="Times New Roman" w:eastAsia="Times New Roman" w:hAnsi="Times New Roman"/>
          <w:sz w:val="20"/>
          <w:szCs w:val="20"/>
          <w:color w:val="auto"/>
        </w:rPr>
        <w:t>” means 12.5314% (based upon a total of 309,254 rentable square feet in the Building).</w:t>
      </w:r>
    </w:p>
    <w:p>
      <w:pPr>
        <w:spacing w:after="0" w:line="21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Use</w:t>
      </w:r>
      <w:r>
        <w:rPr>
          <w:rFonts w:ascii="Times New Roman" w:cs="Times New Roman" w:eastAsia="Times New Roman" w:hAnsi="Times New Roman"/>
          <w:sz w:val="20"/>
          <w:szCs w:val="20"/>
          <w:color w:val="auto"/>
        </w:rPr>
        <w:t>” means general office use consistent with a first-class office building, together with any other use that (a) is legally permitted; (b) is not a retail use; (c) does not generate (i) foot traffic exceeding that normally associated with general office use,</w:t>
      </w:r>
    </w:p>
    <w:p>
      <w:pPr>
        <w:jc w:val="both"/>
        <w:ind w:firstLine="8"/>
        <w:spacing w:after="0" w:line="252" w:lineRule="auto"/>
        <w:tabs>
          <w:tab w:leader="none" w:pos="30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noise, vibration or odor detectable outside the Premises that is not normally associated with general office use, (iii) any burden on any Building system exceeding that normally associated with general office use, or (iv) any risk to the Building or to the safety or health of its occupants that is not normally associated with general office use; (d) does not adversely affect Landlord’s or Tenant’s insurance coverage;</w:t>
      </w:r>
    </w:p>
    <w:p>
      <w:pPr>
        <w:ind w:firstLine="8"/>
        <w:spacing w:after="0" w:line="246" w:lineRule="auto"/>
        <w:tabs>
          <w:tab w:leader="none" w:pos="27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include a wet lab; (f) does not involve the introduction, use, storage or disposal of any type or quantity of hazardous material not customarily associated with general office use; and (g) in all other respects is consistent with a first-class office building.</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of this Lease, there is no Security Deposit. The amount of the Prepaid Base Rent (defined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$180,206.10.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type w:val="continuous"/>
        </w:sectPr>
      </w:pPr>
    </w:p>
    <w:bookmarkStart w:id="115" w:name="page116"/>
    <w:bookmarkEnd w:id="115"/>
    <w:p>
      <w:pPr>
        <w:spacing w:after="0" w:line="18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Parking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192"/>
        <w:spacing w:after="0" w:line="254" w:lineRule="auto"/>
        <w:rPr>
          <w:sz w:val="20"/>
          <w:szCs w:val="20"/>
          <w:color w:val="auto"/>
        </w:rPr>
      </w:pPr>
      <w:r>
        <w:rPr>
          <w:rFonts w:ascii="Times New Roman" w:cs="Times New Roman" w:eastAsia="Times New Roman" w:hAnsi="Times New Roman"/>
          <w:sz w:val="20"/>
          <w:szCs w:val="20"/>
          <w:color w:val="auto"/>
        </w:rPr>
        <w:t>i.The Unreserved Number (defined below) of unreserved parking spaces, at the rate of (i) $0.00 per space per month during the first three (3) years of the initial Term, and (ii) the Applicable Rate (defined below) during the balance of the Term. It is acknowledged that as of the date hereof, Landlord’s prevailing rate for unreserved parking spaces is $125.00 per space per month.</w:t>
      </w:r>
    </w:p>
    <w:p>
      <w:pPr>
        <w:spacing w:after="0" w:line="174" w:lineRule="exact"/>
        <w:rPr>
          <w:sz w:val="20"/>
          <w:szCs w:val="20"/>
          <w:color w:val="auto"/>
        </w:rPr>
      </w:pPr>
    </w:p>
    <w:p>
      <w:pPr>
        <w:jc w:val="both"/>
        <w:ind w:firstLine="1137"/>
        <w:spacing w:after="0" w:line="254" w:lineRule="auto"/>
        <w:rPr>
          <w:sz w:val="20"/>
          <w:szCs w:val="20"/>
          <w:color w:val="auto"/>
        </w:rPr>
      </w:pPr>
      <w:r>
        <w:rPr>
          <w:rFonts w:ascii="Times New Roman" w:cs="Times New Roman" w:eastAsia="Times New Roman" w:hAnsi="Times New Roman"/>
          <w:sz w:val="20"/>
          <w:szCs w:val="20"/>
          <w:color w:val="auto"/>
        </w:rPr>
        <w:t>ii.The Reserved Number (defined below) of reserved parking spaces, at the rate of (i) $0.00 per space per month during the first three (3) years of the initial Term, and (ii) the Applicable Rate during the balance of the Term. It is acknowledged that as of the date hereof, Landlord’s prevailing rate for reserved parking spaces is $210.00 per space per month.</w:t>
      </w:r>
    </w:p>
    <w:p>
      <w:pPr>
        <w:spacing w:after="0" w:line="170" w:lineRule="exact"/>
        <w:rPr>
          <w:sz w:val="20"/>
          <w:szCs w:val="20"/>
          <w:color w:val="auto"/>
        </w:rPr>
      </w:pPr>
    </w:p>
    <w:p>
      <w:pPr>
        <w:jc w:val="both"/>
        <w:ind w:firstLine="1082"/>
        <w:spacing w:after="0" w:line="246" w:lineRule="auto"/>
        <w:rPr>
          <w:sz w:val="20"/>
          <w:szCs w:val="20"/>
          <w:color w:val="auto"/>
        </w:rPr>
      </w:pPr>
      <w:r>
        <w:rPr>
          <w:rFonts w:ascii="Times New Roman" w:cs="Times New Roman" w:eastAsia="Times New Roman" w:hAnsi="Times New Roman"/>
          <w:sz w:val="20"/>
          <w:szCs w:val="20"/>
          <w:color w:val="auto"/>
        </w:rPr>
        <w:t xml:space="preserve">iii.As used in this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Unreserved Number</w:t>
      </w:r>
      <w:r>
        <w:rPr>
          <w:rFonts w:ascii="Times New Roman" w:cs="Times New Roman" w:eastAsia="Times New Roman" w:hAnsi="Times New Roman"/>
          <w:sz w:val="20"/>
          <w:szCs w:val="20"/>
          <w:color w:val="auto"/>
        </w:rPr>
        <w:t>” means the Maximum Number (defined below) minus ten (10), and “</w:t>
      </w:r>
      <w:r>
        <w:rPr>
          <w:rFonts w:ascii="Times New Roman" w:cs="Times New Roman" w:eastAsia="Times New Roman" w:hAnsi="Times New Roman"/>
          <w:sz w:val="20"/>
          <w:szCs w:val="20"/>
          <w:b w:val="1"/>
          <w:bCs w:val="1"/>
          <w:color w:val="auto"/>
        </w:rPr>
        <w:t>Reserved Number</w:t>
      </w:r>
      <w:r>
        <w:rPr>
          <w:rFonts w:ascii="Times New Roman" w:cs="Times New Roman" w:eastAsia="Times New Roman" w:hAnsi="Times New Roman"/>
          <w:sz w:val="20"/>
          <w:szCs w:val="20"/>
          <w:color w:val="auto"/>
        </w:rPr>
        <w:t>” means ten (10); provided, however, that Tenant, upon 30 days’ notice to Landlord from time to time, may (a) change the Unreserved Number to any whole number from zero (0) to the largest whole number not exceeding the number obtained by multiplying the rentable square footage of the Premises by ratio of 5 to 1,000 rentable square feet (the “</w:t>
      </w:r>
      <w:r>
        <w:rPr>
          <w:rFonts w:ascii="Times New Roman" w:cs="Times New Roman" w:eastAsia="Times New Roman" w:hAnsi="Times New Roman"/>
          <w:sz w:val="20"/>
          <w:szCs w:val="20"/>
          <w:b w:val="1"/>
          <w:bCs w:val="1"/>
          <w:color w:val="auto"/>
        </w:rPr>
        <w:t>Maximum Number</w:t>
      </w:r>
      <w:r>
        <w:rPr>
          <w:rFonts w:ascii="Times New Roman" w:cs="Times New Roman" w:eastAsia="Times New Roman" w:hAnsi="Times New Roman"/>
          <w:sz w:val="20"/>
          <w:szCs w:val="20"/>
          <w:color w:val="auto"/>
        </w:rPr>
        <w:t>”), and/or (b) change the Reserved Number to any whole number from zero (0) to ten (10); provided further, however, that the sum of the Unreserved Number plus the Reserved Number shall not exceed the Maximum Number.</w:t>
      </w:r>
    </w:p>
    <w:p>
      <w:pPr>
        <w:spacing w:after="0" w:line="179" w:lineRule="exact"/>
        <w:rPr>
          <w:sz w:val="20"/>
          <w:szCs w:val="20"/>
          <w:color w:val="auto"/>
        </w:rPr>
      </w:pPr>
    </w:p>
    <w:p>
      <w:pPr>
        <w:jc w:val="both"/>
        <w:ind w:firstLine="1092"/>
        <w:spacing w:after="0" w:line="231" w:lineRule="auto"/>
        <w:rPr>
          <w:sz w:val="20"/>
          <w:szCs w:val="20"/>
          <w:color w:val="auto"/>
        </w:rPr>
      </w:pPr>
      <w:r>
        <w:rPr>
          <w:rFonts w:ascii="Times New Roman" w:cs="Times New Roman" w:eastAsia="Times New Roman" w:hAnsi="Times New Roman"/>
          <w:sz w:val="20"/>
          <w:szCs w:val="20"/>
          <w:color w:val="auto"/>
        </w:rPr>
        <w:t xml:space="preserve">iv.As used in this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Applicable Rate</w:t>
      </w:r>
      <w:r>
        <w:rPr>
          <w:rFonts w:ascii="Times New Roman" w:cs="Times New Roman" w:eastAsia="Times New Roman" w:hAnsi="Times New Roman"/>
          <w:sz w:val="20"/>
          <w:szCs w:val="20"/>
          <w:color w:val="auto"/>
        </w:rPr>
        <w:t>” means (a) for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year of the initial Term, Landlord’s prevailing rate, and (b) for each subsequent year of the Term, the lesser of (i) Landlord’s prevailing rate, or (ii) 103% of the rate in effect for Tenant during the immediately preceding year of the Term.</w:t>
      </w:r>
    </w:p>
    <w:p>
      <w:pPr>
        <w:spacing w:after="0" w:line="189"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20"/>
          <w:szCs w:val="20"/>
          <w:color w:val="auto"/>
        </w:rPr>
        <w:t>v.During the initial Term only, provided that no Default exists, and subject to such reasonable rules and procedures as Landlord may establish from time to time, Landlord shall make available to Tenant, for use by Tenant’s visitors during the initial Term only, parking validations at a rate equal to 50% of Landlord’s prevailing rate for visitor parking.</w:t>
      </w:r>
    </w:p>
    <w:p>
      <w:pPr>
        <w:spacing w:after="0" w:line="170" w:lineRule="exact"/>
        <w:rPr>
          <w:sz w:val="20"/>
          <w:szCs w:val="20"/>
          <w:color w:val="auto"/>
        </w:rPr>
      </w:pPr>
    </w:p>
    <w:p>
      <w:pPr>
        <w:jc w:val="both"/>
        <w:ind w:firstLine="656"/>
        <w:spacing w:after="0" w:line="233" w:lineRule="auto"/>
        <w:tabs>
          <w:tab w:leader="none" w:pos="129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Address of Tenant</w:t>
      </w:r>
      <w:r>
        <w:rPr>
          <w:rFonts w:ascii="Times New Roman" w:cs="Times New Roman" w:eastAsia="Times New Roman" w:hAnsi="Times New Roman"/>
          <w:sz w:val="20"/>
          <w:szCs w:val="20"/>
          <w:color w:val="auto"/>
        </w:rPr>
        <w:t>. Before the Commencement Date, notices shall be sent to Tenant at: 12181 Bluff Creek Drive, West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Building,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Playa Vista, CA 90094, Attention: Nick Kormeluk. On and after the Commencement Date, notices shall be sent to Tenant at the Premises. Any such notice delivered pursuant to the first sentence of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shall be directed to the attention of Laila Corcino and Nick Kormeluk.</w:t>
      </w:r>
    </w:p>
    <w:p>
      <w:pPr>
        <w:spacing w:after="0" w:line="18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Address of Landlord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Notices shall be sent to Landlord at BRE HH Property Owner LLC, c/o EQ Office, 6080 Center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Drive, Suite 120, Los Angeles, CA 90045, Attention: Regional Finance Group - MLA, with copies to BRE HH Property Owner LLC, c/o EQ Office, 3100 Bristol Street, Suite 200, Costa Mesa, CA 92626, Attention: Senior Corporate Counsel, and BRE HH Property Owner LLC, c/o EQ Office, 233 South Wacker Drive, Suite 4700, Chicago, IL 60606 – 6374, Attention: Lease Administration.</w:t>
      </w:r>
    </w:p>
    <w:p>
      <w:pPr>
        <w:spacing w:after="0" w:line="175" w:lineRule="exact"/>
        <w:rPr>
          <w:rFonts w:ascii="Times New Roman" w:cs="Times New Roman" w:eastAsia="Times New Roman" w:hAnsi="Times New Roman"/>
          <w:sz w:val="20"/>
          <w:szCs w:val="20"/>
          <w:color w:val="auto"/>
        </w:rPr>
      </w:pPr>
    </w:p>
    <w:p>
      <w:pPr>
        <w:ind w:right="20" w:firstLine="656"/>
        <w:spacing w:after="0" w:line="273" w:lineRule="auto"/>
        <w:tabs>
          <w:tab w:leader="none" w:pos="129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Cresa Partners of Los Angeles, Inc., a California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Broker</w:t>
      </w:r>
      <w:r>
        <w:rPr>
          <w:rFonts w:ascii="Times New Roman" w:cs="Times New Roman" w:eastAsia="Times New Roman" w:hAnsi="Times New Roman"/>
          <w:sz w:val="20"/>
          <w:szCs w:val="20"/>
          <w:color w:val="auto"/>
        </w:rPr>
        <w:t>”), representing Tenant, and Jones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Lang LaSalle Brokerage Inc., a Texas corporation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Broker</w:t>
      </w:r>
      <w:r>
        <w:rPr>
          <w:rFonts w:ascii="Times New Roman" w:cs="Times New Roman" w:eastAsia="Times New Roman" w:hAnsi="Times New Roman"/>
          <w:sz w:val="20"/>
          <w:szCs w:val="20"/>
          <w:color w:val="auto"/>
        </w:rPr>
        <w:t>”), representing Landlord.</w:t>
      </w:r>
    </w:p>
    <w:p>
      <w:pPr>
        <w:spacing w:after="0" w:line="15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Guarantor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date hereof, there is no Guarantor.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Letter of Credit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$736,807.26</w:t>
      </w:r>
      <w:r>
        <w:rPr>
          <w:rFonts w:ascii="Times New Roman" w:cs="Times New Roman" w:eastAsia="Times New Roman" w:hAnsi="Times New Roman"/>
          <w:sz w:val="20"/>
          <w:szCs w:val="20"/>
          <w:color w:val="auto"/>
        </w:rPr>
        <w:t>, as more fully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PREMISES AND COMMON AREAS.</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The Premises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192"/>
        <w:spacing w:after="0" w:line="243" w:lineRule="auto"/>
        <w:rPr>
          <w:sz w:val="20"/>
          <w:szCs w:val="20"/>
          <w:color w:val="auto"/>
        </w:rPr>
      </w:pPr>
      <w:r>
        <w:rPr>
          <w:rFonts w:ascii="Times New Roman" w:cs="Times New Roman" w:eastAsia="Times New Roman" w:hAnsi="Times New Roman"/>
          <w:sz w:val="20"/>
          <w:szCs w:val="20"/>
          <w:color w:val="auto"/>
        </w:rPr>
        <w:t xml:space="preserve">i.Subject to the terms hereof, Landlord hereby leases the Premises to Tenant and Tenant hereby leases the Premises from Landlord. Landlord and Tenant acknowledge and agree that (a) the rentable area of the Premises is as set forth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and the rentable area of the Building is as set forth in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and each such rentable area has been determined in accordance with the Standard Method for measuring Floor Area in Office Buildings ANSI Z65.1 (the “</w:t>
      </w:r>
      <w:r>
        <w:rPr>
          <w:rFonts w:ascii="Times New Roman" w:cs="Times New Roman" w:eastAsia="Times New Roman" w:hAnsi="Times New Roman"/>
          <w:sz w:val="20"/>
          <w:szCs w:val="20"/>
          <w:b w:val="1"/>
          <w:bCs w:val="1"/>
          <w:color w:val="auto"/>
        </w:rPr>
        <w:t>BOMA Standard</w:t>
      </w:r>
      <w:r>
        <w:rPr>
          <w:rFonts w:ascii="Times New Roman" w:cs="Times New Roman" w:eastAsia="Times New Roman" w:hAnsi="Times New Roman"/>
          <w:sz w:val="20"/>
          <w:szCs w:val="20"/>
          <w:color w:val="auto"/>
        </w:rPr>
        <w:t xml:space="preserve">”), (b) the rentable areas described in the preceding clause (a) shall not be re-measured during the Term, and (c) the rentable area of any “Excluded Space” identified pursuant to </w:t>
      </w:r>
      <w:r>
        <w:rPr>
          <w:rFonts w:ascii="Times New Roman" w:cs="Times New Roman" w:eastAsia="Times New Roman" w:hAnsi="Times New Roman"/>
          <w:sz w:val="20"/>
          <w:szCs w:val="20"/>
          <w:u w:val="single" w:color="auto"/>
          <w:color w:val="auto"/>
        </w:rPr>
        <w:t>Section 5.6.1(a)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7.7.1(a)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the rentable area of the balance of the Premises, and the rentable area of any Offering Space (defined in </w:t>
      </w:r>
      <w:r>
        <w:rPr>
          <w:rFonts w:ascii="Times New Roman" w:cs="Times New Roman" w:eastAsia="Times New Roman" w:hAnsi="Times New Roman"/>
          <w:sz w:val="20"/>
          <w:szCs w:val="20"/>
          <w:u w:val="single" w:color="auto"/>
          <w:color w:val="auto"/>
        </w:rPr>
        <w:t>Section 6.6.1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shall be determined in accordance with the BOMA Standard and shall not therafter be re-measured during the Term. At any time, Landlord may deliver to Tenant a notice</w:t>
      </w:r>
    </w:p>
    <w:p>
      <w:pPr>
        <w:sectPr>
          <w:pgSz w:w="11900" w:h="16838" w:orient="portrait"/>
          <w:cols w:equalWidth="0" w:num="1">
            <w:col w:w="11240"/>
          </w:cols>
          <w:pgMar w:left="320" w:top="1440" w:right="339" w:bottom="1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160" w:gutter="0" w:footer="0" w:header="0"/>
          <w:type w:val="continuous"/>
        </w:sectPr>
      </w:pPr>
    </w:p>
    <w:bookmarkStart w:id="116" w:name="page117"/>
    <w:bookmarkEnd w:id="116"/>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substantially in the form of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as a confirmation of the information set forth therein. Tenant shall execute and return (or, by notice to Landlord, reasonably object to) such notice within 10 business days after receiving it.</w:t>
      </w:r>
    </w:p>
    <w:p>
      <w:pPr>
        <w:spacing w:after="0" w:line="152" w:lineRule="exact"/>
        <w:rPr>
          <w:sz w:val="20"/>
          <w:szCs w:val="20"/>
          <w:color w:val="auto"/>
        </w:rPr>
      </w:pPr>
    </w:p>
    <w:p>
      <w:pPr>
        <w:jc w:val="both"/>
        <w:ind w:firstLine="1137"/>
        <w:spacing w:after="0" w:line="247" w:lineRule="auto"/>
        <w:rPr>
          <w:sz w:val="20"/>
          <w:szCs w:val="20"/>
          <w:color w:val="auto"/>
        </w:rPr>
      </w:pPr>
      <w:r>
        <w:rPr>
          <w:rFonts w:ascii="Times New Roman" w:cs="Times New Roman" w:eastAsia="Times New Roman" w:hAnsi="Times New Roman"/>
          <w:sz w:val="20"/>
          <w:szCs w:val="20"/>
          <w:color w:val="auto"/>
        </w:rPr>
        <w:t xml:space="preserve">ii.Except as expressly provided herein (including in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the Premises are accepted by Tenant in their “as is”, “where is” configuration and condition existing on the date hereof, without any obligation of Landlord to perform or pay for any alterations to the Premises, and without any representation or warranty regarding the configuration or condition of the Premises, the Building or the Project or their suitability for Tenant’s business. Landlord shall deliver the Premises to Tenant broom-clean and free of debris and movable personal property.</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iii.This Lease is solely a lease of space in the Building and does not constitute a lease of any land.</w:t>
      </w:r>
    </w:p>
    <w:p>
      <w:pPr>
        <w:spacing w:after="0" w:line="212" w:lineRule="exact"/>
        <w:rPr>
          <w:sz w:val="20"/>
          <w:szCs w:val="20"/>
          <w:color w:val="auto"/>
        </w:rPr>
      </w:pPr>
    </w:p>
    <w:p>
      <w:pPr>
        <w:ind w:firstLine="656"/>
        <w:spacing w:after="0" w:line="300" w:lineRule="auto"/>
        <w:tabs>
          <w:tab w:leader="none" w:pos="1296"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Common Areas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Tenant may use, in common with Landlord and other parties and subject to the Rules and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(defined in </w:t>
      </w:r>
      <w:r>
        <w:rPr>
          <w:rFonts w:ascii="Times New Roman" w:cs="Times New Roman" w:eastAsia="Times New Roman" w:hAnsi="Times New Roman"/>
          <w:sz w:val="19"/>
          <w:szCs w:val="19"/>
          <w:b w:val="1"/>
          <w:bCs w:val="1"/>
          <w:u w:val="single" w:color="auto"/>
          <w:color w:val="auto"/>
        </w:rPr>
        <w:t>Exhibit E</w:t>
      </w:r>
      <w:r>
        <w:rPr>
          <w:rFonts w:ascii="Times New Roman" w:cs="Times New Roman" w:eastAsia="Times New Roman" w:hAnsi="Times New Roman"/>
          <w:sz w:val="19"/>
          <w:szCs w:val="19"/>
          <w:color w:val="auto"/>
        </w:rPr>
        <w:t>), any portions of the Property that are designated from time to time by Landlord for such use (the “</w:t>
      </w:r>
      <w:r>
        <w:rPr>
          <w:rFonts w:ascii="Times New Roman" w:cs="Times New Roman" w:eastAsia="Times New Roman" w:hAnsi="Times New Roman"/>
          <w:sz w:val="19"/>
          <w:szCs w:val="19"/>
          <w:b w:val="1"/>
          <w:bCs w:val="1"/>
          <w:color w:val="auto"/>
        </w:rPr>
        <w:t>Common Areas</w:t>
      </w:r>
      <w:r>
        <w:rPr>
          <w:rFonts w:ascii="Times New Roman" w:cs="Times New Roman" w:eastAsia="Times New Roman" w:hAnsi="Times New Roman"/>
          <w:sz w:val="19"/>
          <w:szCs w:val="19"/>
          <w:color w:val="auto"/>
        </w:rPr>
        <w:t>”).</w:t>
      </w:r>
    </w:p>
    <w:p>
      <w:pPr>
        <w:spacing w:after="0" w:line="128"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29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pay all Base Rent and Additional Rent (defined below) (collectively,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to Landlord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Landlord’s agent, without prior notice or demand (except to the extent expressly provided herein) or any setoff or deduction, at the place Landlord may designate from time to time, in money of the United States of America that, at the time of payment, is legal tender for the payment of all obligations. “</w:t>
      </w:r>
      <w:r>
        <w:rPr>
          <w:rFonts w:ascii="Times New Roman" w:cs="Times New Roman" w:eastAsia="Times New Roman" w:hAnsi="Times New Roman"/>
          <w:sz w:val="20"/>
          <w:szCs w:val="20"/>
          <w:b w:val="1"/>
          <w:bCs w:val="1"/>
          <w:color w:val="auto"/>
        </w:rPr>
        <w:t>Additional Rent</w:t>
      </w:r>
      <w:r>
        <w:rPr>
          <w:rFonts w:ascii="Times New Roman" w:cs="Times New Roman" w:eastAsia="Times New Roman" w:hAnsi="Times New Roman"/>
          <w:sz w:val="20"/>
          <w:szCs w:val="20"/>
          <w:color w:val="auto"/>
        </w:rPr>
        <w:t xml:space="preserve">” means all amounts, other than Base Rent, that Tenant is required to pay Landlord hereunder. Monthly payments of Base Rent and monthly payments of Additional Rent for Expenses (defined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Taxes (defined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and parking (collectively, “</w:t>
      </w:r>
      <w:r>
        <w:rPr>
          <w:rFonts w:ascii="Times New Roman" w:cs="Times New Roman" w:eastAsia="Times New Roman" w:hAnsi="Times New Roman"/>
          <w:sz w:val="20"/>
          <w:szCs w:val="20"/>
          <w:b w:val="1"/>
          <w:bCs w:val="1"/>
          <w:color w:val="auto"/>
        </w:rPr>
        <w:t>Monthly Rent</w:t>
      </w:r>
      <w:r>
        <w:rPr>
          <w:rFonts w:ascii="Times New Roman" w:cs="Times New Roman" w:eastAsia="Times New Roman" w:hAnsi="Times New Roman"/>
          <w:sz w:val="20"/>
          <w:szCs w:val="20"/>
          <w:color w:val="auto"/>
        </w:rPr>
        <w:t>”) shall be paid in advance on or before the first day of each calendar month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provided, however, that the installment of Base Rent for the first full calendar month for which Base Rent is payable hereunder (“</w:t>
      </w:r>
      <w:r>
        <w:rPr>
          <w:rFonts w:ascii="Times New Roman" w:cs="Times New Roman" w:eastAsia="Times New Roman" w:hAnsi="Times New Roman"/>
          <w:sz w:val="20"/>
          <w:szCs w:val="20"/>
          <w:b w:val="1"/>
          <w:bCs w:val="1"/>
          <w:color w:val="auto"/>
        </w:rPr>
        <w:t>Prepaid Base Rent</w:t>
      </w:r>
      <w:r>
        <w:rPr>
          <w:rFonts w:ascii="Times New Roman" w:cs="Times New Roman" w:eastAsia="Times New Roman" w:hAnsi="Times New Roman"/>
          <w:sz w:val="20"/>
          <w:szCs w:val="20"/>
          <w:color w:val="auto"/>
        </w:rPr>
        <w:t>”) shall be paid within two (2) business days after the mutual execution and delivery hereof. Except as otherwise provided herein, all other items of Additional Rent shall be paid within 30 days after Landlord’s request for payment. Rent for any partial calendar month shall be prorated based on the actual number of days in such month. Without limiting Landlord’s other rights or remedies,</w:t>
      </w:r>
    </w:p>
    <w:p>
      <w:pPr>
        <w:spacing w:after="0" w:line="2" w:lineRule="exact"/>
        <w:rPr>
          <w:rFonts w:ascii="Times New Roman" w:cs="Times New Roman" w:eastAsia="Times New Roman" w:hAnsi="Times New Roman"/>
          <w:sz w:val="20"/>
          <w:szCs w:val="20"/>
          <w:color w:val="auto"/>
        </w:rPr>
      </w:pPr>
    </w:p>
    <w:p>
      <w:pPr>
        <w:jc w:val="both"/>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if any payment of Rent is not received by Landlord or its designee within 5 business days after its due date, Tenant shall pay Landlord a late charge equal to 5% of the overdue amount (provided, however, that such late charge shall not apply to any such delinquency unless either</w:t>
      </w: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such delinquency is not cured within five (5) business days after notice from Landlord, or (ii) Tenant previously received notice from Landlord of a delinquency that occurred earlier in the same calendar year); and (b) any Rent that is not paid within 10 days after its due date shall bear interest, from its due date until paid, at the lesser of 10% per annum or the highest rate permitted by Law (defined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Tenant’s covenant to pay Rent is independent of every other covenant herein.</w:t>
      </w:r>
    </w:p>
    <w:p>
      <w:pPr>
        <w:spacing w:after="0" w:line="18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Expenses and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pay Tenant’s Share of Expenses and Taxes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COMPLIANCE WITH LAWS.</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1" w:lineRule="auto"/>
        <w:tabs>
          <w:tab w:leader="none" w:pos="1279"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not (a) use the Premises for any purpose other than the Permitted Use, or (b) do anything in or about the Premises that violates any of the Rules and Regulations, unreasonably interferes with, injures or annoys other occupants of the Project, or constitutes a nuisance. Subject to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Tenant, at its expense, shall comply with all Laws relating to (i) the operation of its business at the Project, (ii) the use, condition, configuration or occupancy of the Premises, (iii) any Supplemental Systems (defined below) serving the Premises, whether located inside or outside of the Premises, or (iv) the portions of Base Building Systems (defined below) located in or exclusively serving the Premises; provided, however, that nothing in this sentence shall be deemed to require Tenant to make any change to any Common Area or the Base Building (other than portions of Base Building Systems located in the Premises). If, in order to comply with any such Law, Tenant must obtain or deliver any permit, certificate or other document evidencing such compliance, Tenant shall provide a copy of such document to Landlord promptly after obtaining or delivering it. Tenant shall promptly provide Landlord with a copy of any notice it receives regarding any alleged violation of Law with respect to the Premises or Tenant’s use or occupancy thereof. Subject to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if a change to the Common Areas or the Base Building (defined below) (other than any portion of a Base Building System located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or exclusively serving the Premises, which shall be governed by the second sentence of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becomes required under Law (or if any such requirement is enforced) as a result of any Tenant-Insured Improvement (defined in </w:t>
      </w:r>
      <w:r>
        <w:rPr>
          <w:rFonts w:ascii="Times New Roman" w:cs="Times New Roman" w:eastAsia="Times New Roman" w:hAnsi="Times New Roman"/>
          <w:sz w:val="20"/>
          <w:szCs w:val="20"/>
          <w:u w:val="single" w:color="auto"/>
          <w:color w:val="auto"/>
        </w:rPr>
        <w:t>Section 9.2.2</w:t>
      </w:r>
      <w:r>
        <w:rPr>
          <w:rFonts w:ascii="Times New Roman" w:cs="Times New Roman" w:eastAsia="Times New Roman" w:hAnsi="Times New Roman"/>
          <w:sz w:val="20"/>
          <w:szCs w:val="20"/>
          <w:color w:val="auto"/>
        </w:rPr>
        <w:t xml:space="preserve">) (other than a Tenant Improvement that is customary for general office use and does not become subject to such Law by reason of a Tenant Delay (defined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type w:val="continuous"/>
        </w:sectPr>
      </w:pPr>
    </w:p>
    <w:bookmarkStart w:id="117" w:name="page118"/>
    <w:bookmarkEnd w:id="117"/>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installation of any trade fixture (other than a trade fixture that is customary for general office use and is installed within 90 days after the Delivery Date), any particular use of the Premises (as distinguished from general office use), any “assembly occupancy” of the Premises or any breach of Tenant’s obligations under this Lease, then Tenant, upon demand, shall (x) at Landlord’s option, either make such change at Tenant’s cost or pay Landlord the cost of making such change, and (y) pay Landlord a coordination fee equal to 5% of the cost of such change.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existing or future law, ordinance, regulation or requirement of any governmental authority having jurisdiction over the Project or the parties. “</w:t>
      </w:r>
      <w:r>
        <w:rPr>
          <w:rFonts w:ascii="Times New Roman" w:cs="Times New Roman" w:eastAsia="Times New Roman" w:hAnsi="Times New Roman"/>
          <w:sz w:val="20"/>
          <w:szCs w:val="20"/>
          <w:b w:val="1"/>
          <w:bCs w:val="1"/>
          <w:color w:val="auto"/>
        </w:rPr>
        <w:t>Supplemental System</w:t>
      </w:r>
      <w:r>
        <w:rPr>
          <w:rFonts w:ascii="Times New Roman" w:cs="Times New Roman" w:eastAsia="Times New Roman" w:hAnsi="Times New Roman"/>
          <w:sz w:val="20"/>
          <w:szCs w:val="20"/>
          <w:color w:val="auto"/>
        </w:rPr>
        <w:t xml:space="preserve">” means any Unit (defined in </w:t>
      </w:r>
      <w:r>
        <w:rPr>
          <w:rFonts w:ascii="Times New Roman" w:cs="Times New Roman" w:eastAsia="Times New Roman" w:hAnsi="Times New Roman"/>
          <w:sz w:val="20"/>
          <w:szCs w:val="20"/>
          <w:u w:val="single" w:color="auto"/>
          <w:color w:val="auto"/>
        </w:rPr>
        <w:t>Section 23.5</w:t>
      </w:r>
      <w:r>
        <w:rPr>
          <w:rFonts w:ascii="Times New Roman" w:cs="Times New Roman" w:eastAsia="Times New Roman" w:hAnsi="Times New Roman"/>
          <w:sz w:val="20"/>
          <w:szCs w:val="20"/>
          <w:color w:val="auto"/>
        </w:rPr>
        <w:t>), supplemental fire-suppression system, kitchen (including any hot water heater, dishwasher, garbage disposal, insta-hot dispenser, or plumbing), shower or similar facility, or any other system that would not customarily be considered part of the base building of a first-class multi-tenant office building. “</w:t>
      </w:r>
      <w:r>
        <w:rPr>
          <w:rFonts w:ascii="Times New Roman" w:cs="Times New Roman" w:eastAsia="Times New Roman" w:hAnsi="Times New Roman"/>
          <w:sz w:val="20"/>
          <w:szCs w:val="20"/>
          <w:b w:val="1"/>
          <w:bCs w:val="1"/>
          <w:color w:val="auto"/>
        </w:rPr>
        <w:t>Base Building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System</w:t>
      </w:r>
      <w:r>
        <w:rPr>
          <w:rFonts w:ascii="Times New Roman" w:cs="Times New Roman" w:eastAsia="Times New Roman" w:hAnsi="Times New Roman"/>
          <w:sz w:val="20"/>
          <w:szCs w:val="20"/>
          <w:color w:val="auto"/>
        </w:rPr>
        <w:t>” means any mechanical (including HVAC), electrical, plumbing or fire/life-safety system serving the Building, other than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Supplemental System. “</w:t>
      </w:r>
      <w:r>
        <w:rPr>
          <w:rFonts w:ascii="Times New Roman" w:cs="Times New Roman" w:eastAsia="Times New Roman" w:hAnsi="Times New Roman"/>
          <w:sz w:val="20"/>
          <w:szCs w:val="20"/>
          <w:b w:val="1"/>
          <w:bCs w:val="1"/>
          <w:color w:val="auto"/>
        </w:rPr>
        <w:t>Base Building</w:t>
      </w:r>
      <w:r>
        <w:rPr>
          <w:rFonts w:ascii="Times New Roman" w:cs="Times New Roman" w:eastAsia="Times New Roman" w:hAnsi="Times New Roman"/>
          <w:sz w:val="20"/>
          <w:szCs w:val="20"/>
          <w:color w:val="auto"/>
        </w:rPr>
        <w:t>” means the structural portions of the Building, together with the Base Building Systems.</w:t>
      </w:r>
    </w:p>
    <w:p>
      <w:pPr>
        <w:spacing w:after="0" w:line="188" w:lineRule="exact"/>
        <w:rPr>
          <w:sz w:val="20"/>
          <w:szCs w:val="20"/>
          <w:color w:val="auto"/>
        </w:rPr>
      </w:pPr>
    </w:p>
    <w:p>
      <w:pPr>
        <w:jc w:val="both"/>
        <w:ind w:firstLine="656"/>
        <w:spacing w:after="0" w:line="243" w:lineRule="auto"/>
        <w:tabs>
          <w:tab w:leader="none" w:pos="128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at its expense (subject to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shall cause the Base Building (other than portions of Base Building Systems located in or exclusively serving the Premises, which shall be governed by the second sentence of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and the Common Areas to comply with all Laws (including the Americans with Disabilities Act) to the extent that such compliance is necessary for Tenant to use the Premises for general office use in a normal and customary manner and for Tenant’s employees and visitors to have reasonably safe access to and from the Premises; provided, however, that Landlord shall not be required to cause or pay for such compliance to the extent that Tenant is required to cause or pay for such compliance under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or any other provision hereof. Notwithstanding the foregoing, Landlord may contest any alleged violation in good faith, including by applying for and obtaining a waiver or deferment of compliance, asserting any defense allowed by Law, and appealing any order or judgment to the extent permitted by Law; provided, however, that after exhausting any rights to contest or appeal, Landlord shall perform any work necessary to comply with any final order or judgment.</w:t>
      </w:r>
    </w:p>
    <w:p>
      <w:pPr>
        <w:spacing w:after="0" w:line="18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6" w:lineRule="auto"/>
        <w:tabs>
          <w:tab w:leader="none" w:pos="1292"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Standard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Landlord shall provide the following services on all days (unless otherwise stated below): (a)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limitations imposed by Law, Building-standard heating, ventilation and air conditioning (“</w:t>
      </w:r>
      <w:r>
        <w:rPr>
          <w:rFonts w:ascii="Times New Roman" w:cs="Times New Roman" w:eastAsia="Times New Roman" w:hAnsi="Times New Roman"/>
          <w:sz w:val="19"/>
          <w:szCs w:val="19"/>
          <w:b w:val="1"/>
          <w:bCs w:val="1"/>
          <w:color w:val="auto"/>
        </w:rPr>
        <w:t>HVAC</w:t>
      </w:r>
      <w:r>
        <w:rPr>
          <w:rFonts w:ascii="Times New Roman" w:cs="Times New Roman" w:eastAsia="Times New Roman" w:hAnsi="Times New Roman"/>
          <w:sz w:val="19"/>
          <w:szCs w:val="19"/>
          <w:color w:val="auto"/>
        </w:rPr>
        <w:t xml:space="preserve">”) in season during Building HVAC Hours (defined below), stubbed to the Premises; (b) electricity supplied by the applicable public utility, stubbed to the Premises (it being understood that the distribution of such electricity within the Premises shall be governed by </w:t>
      </w:r>
      <w:r>
        <w:rPr>
          <w:rFonts w:ascii="Times New Roman" w:cs="Times New Roman" w:eastAsia="Times New Roman" w:hAnsi="Times New Roman"/>
          <w:sz w:val="19"/>
          <w:szCs w:val="19"/>
          <w:u w:val="single" w:color="auto"/>
          <w:color w:val="auto"/>
        </w:rPr>
        <w:t>Sections 2.1.2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u w:val="single" w:color="auto"/>
          <w:color w:val="auto"/>
        </w:rPr>
        <w:t>Exhibit C</w:t>
      </w:r>
      <w:r>
        <w:rPr>
          <w:rFonts w:ascii="Times New Roman" w:cs="Times New Roman" w:eastAsia="Times New Roman" w:hAnsi="Times New Roman"/>
          <w:sz w:val="19"/>
          <w:szCs w:val="19"/>
          <w:color w:val="auto"/>
        </w:rPr>
        <w:t>), with (i) a capacity of not less than 4.0 watts per rentable square foot of connected load for Tenant’s incidental use equipment (excluding Base Building lighting and Base Building HVAC), and (ii) a capacity of not less than 2.0 watts per rentable square foot of connected load for Base Building lighting;</w:t>
      </w:r>
    </w:p>
    <w:p>
      <w:pPr>
        <w:spacing w:after="0" w:line="4" w:lineRule="exact"/>
        <w:rPr>
          <w:rFonts w:ascii="Times New Roman" w:cs="Times New Roman" w:eastAsia="Times New Roman" w:hAnsi="Times New Roman"/>
          <w:sz w:val="19"/>
          <w:szCs w:val="19"/>
          <w:color w:val="auto"/>
        </w:rPr>
      </w:pP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(c) water supplied by the applicable public utility (i) for use in lavatories and any drinking facilities located in Common Areas within the Building, and (ii) stubbed to the Building core for use in any plumbing fixtures located in the Premises; (d) janitorial services to the Premises, except on weekends and Holidays (defined below), including those services listed on </w:t>
      </w:r>
      <w:r>
        <w:rPr>
          <w:rFonts w:ascii="Times New Roman" w:cs="Times New Roman" w:eastAsia="Times New Roman" w:hAnsi="Times New Roman"/>
          <w:sz w:val="20"/>
          <w:szCs w:val="20"/>
          <w:b w:val="1"/>
          <w:bCs w:val="1"/>
          <w:u w:val="single" w:color="auto"/>
          <w:color w:val="auto"/>
        </w:rPr>
        <w:t>Exhibit I</w:t>
      </w:r>
      <w:r>
        <w:rPr>
          <w:rFonts w:ascii="Times New Roman" w:cs="Times New Roman" w:eastAsia="Times New Roman" w:hAnsi="Times New Roman"/>
          <w:sz w:val="20"/>
          <w:szCs w:val="20"/>
          <w:color w:val="auto"/>
        </w:rPr>
        <w:t xml:space="preserve"> attached hereto, in a manner customarily performed within the janitorial industry in office buildings of similar age, size, class and composition as the Building in the Playa Vista market, or such other reasonably comparable janitorial services designated by Landlord from time to time; (e) elevator service (subject to scheduling by Landlord for any freight service); and (f) access to the Building for Tenant and its employees, 24 hours per day/7 days per week, subject to the terms hereof and such security or monitoring systems as Landlord may reasonably impose, including sign-in procedures and/or presentation of identification cards. “</w:t>
      </w:r>
      <w:r>
        <w:rPr>
          <w:rFonts w:ascii="Times New Roman" w:cs="Times New Roman" w:eastAsia="Times New Roman" w:hAnsi="Times New Roman"/>
          <w:sz w:val="20"/>
          <w:szCs w:val="20"/>
          <w:b w:val="1"/>
          <w:bCs w:val="1"/>
          <w:color w:val="auto"/>
        </w:rPr>
        <w:t>Building HVAC Hours</w:t>
      </w:r>
      <w:r>
        <w:rPr>
          <w:rFonts w:ascii="Times New Roman" w:cs="Times New Roman" w:eastAsia="Times New Roman" w:hAnsi="Times New Roman"/>
          <w:sz w:val="20"/>
          <w:szCs w:val="20"/>
          <w:color w:val="auto"/>
        </w:rPr>
        <w:t xml:space="preserve">” means 8:00 a.m. to 6:00 p.m., Monday through Friday, and 9:00 a.m. to 1:00 p.m. Saturday, excluding the day of observation of New Year’s Day, Presidents Day, Memorial Day, Independence Day, Labor Day, Thanksgiving Day, Christmas Day, and, at Landlord’s discretion, any other locally or nationally recognized holiday that is observed by other Comparable Buildings (defined in </w:t>
      </w:r>
      <w:r>
        <w:rPr>
          <w:rFonts w:ascii="Times New Roman" w:cs="Times New Roman" w:eastAsia="Times New Roman" w:hAnsi="Times New Roman"/>
          <w:sz w:val="20"/>
          <w:szCs w:val="20"/>
          <w:u w:val="single" w:color="auto"/>
          <w:color w:val="auto"/>
        </w:rPr>
        <w:t>Section 23.9</w:t>
      </w:r>
      <w:r>
        <w:rPr>
          <w:rFonts w:ascii="Times New Roman" w:cs="Times New Roman" w:eastAsia="Times New Roman" w:hAnsi="Times New Roman"/>
          <w:sz w:val="20"/>
          <w:szCs w:val="20"/>
          <w:color w:val="auto"/>
        </w:rPr>
        <w:t>) (collectively, “</w:t>
      </w:r>
      <w:r>
        <w:rPr>
          <w:rFonts w:ascii="Times New Roman" w:cs="Times New Roman" w:eastAsia="Times New Roman" w:hAnsi="Times New Roman"/>
          <w:sz w:val="20"/>
          <w:szCs w:val="20"/>
          <w:b w:val="1"/>
          <w:bCs w:val="1"/>
          <w:color w:val="auto"/>
        </w:rPr>
        <w:t>Holidays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19"/>
          <w:szCs w:val="19"/>
          <w:color w:val="auto"/>
        </w:rPr>
      </w:pPr>
    </w:p>
    <w:p>
      <w:pPr>
        <w:jc w:val="both"/>
        <w:ind w:firstLine="656"/>
        <w:spacing w:after="0" w:line="243" w:lineRule="auto"/>
        <w:tabs>
          <w:tab w:leader="none" w:pos="129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Above-Standard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provide Building-standard HVAC service outside of Building HVAC Hours if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gives Landlord reasonable prior notice thereof and pays Landlord’s standard charge therefor. The parties acknowledge that, as of the date hereof, Landlord’s charge for HVAC service outside Building HVAC Hours is $55.00 per hour per zone, subject to change from time to time to reflect any increase in Landlord’s actual cost of providing such excess service, excluding any profit or overhead but including any increased cost of wear and tear on Landlord’s equipment. If any other tenant requests HVAC Service outside Building HVAC Service Hours during the same time period and for the same zone as Tenant, Landlord’s charge therefor shall be allocated equitably between Tenant and such other tenant based upon the rentable areas in such zone leased by Tenant and such other tenant. The connected electrical load of Tenant’s incidental-use equipment shall not exceed the Building-standard electrical design load or be distributed within the Premises in a manner that violates applicable Law. If Tenant’s consumption of electricity or water exceeds the rate Landlord reasonably deems to be standard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type w:val="continuous"/>
        </w:sectPr>
      </w:pPr>
    </w:p>
    <w:bookmarkStart w:id="118" w:name="page119"/>
    <w:bookmarkEnd w:id="118"/>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Building, Tenant shall pay Landlord, upon billing, the cost of such excess consumption, including any costs of installing, operating and maintaining any equipment that is installed in order to supply or measure such excess electricity or water. Tenant shall reimburse Landlord for any additional or above-standard cleaning costs incurred by Landlord (whether in the Premises or elsewhere in and around the Building) which are performed at the request of Tenant.</w:t>
      </w:r>
    </w:p>
    <w:p>
      <w:pPr>
        <w:spacing w:after="0" w:line="176" w:lineRule="exact"/>
        <w:rPr>
          <w:sz w:val="20"/>
          <w:szCs w:val="20"/>
          <w:color w:val="auto"/>
        </w:rPr>
      </w:pPr>
    </w:p>
    <w:p>
      <w:pPr>
        <w:jc w:val="both"/>
        <w:ind w:firstLine="656"/>
        <w:spacing w:after="0" w:line="243" w:lineRule="auto"/>
        <w:tabs>
          <w:tab w:leader="none" w:pos="128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Interruption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any failure to furnish, delay in furnishing, or diminution in the quality or quantity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resulting from any application of Law, failure of equipment, performance of maintenance, repairs, improvements or alterations, utility interruption, or event of Force Majeure (each, a “</w:t>
      </w:r>
      <w:r>
        <w:rPr>
          <w:rFonts w:ascii="Times New Roman" w:cs="Times New Roman" w:eastAsia="Times New Roman" w:hAnsi="Times New Roman"/>
          <w:sz w:val="20"/>
          <w:szCs w:val="20"/>
          <w:b w:val="1"/>
          <w:bCs w:val="1"/>
          <w:color w:val="auto"/>
        </w:rPr>
        <w:t>Service Interruption</w:t>
      </w:r>
      <w:r>
        <w:rPr>
          <w:rFonts w:ascii="Times New Roman" w:cs="Times New Roman" w:eastAsia="Times New Roman" w:hAnsi="Times New Roman"/>
          <w:sz w:val="20"/>
          <w:szCs w:val="20"/>
          <w:color w:val="auto"/>
        </w:rPr>
        <w:t xml:space="preserve">”) shall not render Landlord liable to Tenant, constitute a constructive eviction, or excuse Tenant from any obligation hereunder. Notwithstanding the foregoing, if all or a material portion of the Premises is made untenantable or inaccessible for more than five (5) consecutive business days after notice from Tenant to Landlord as a result of a Service Interruption that can be corrected through Landlord’s reasonable efforts and does not result from a Casualty (defined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a Taking (defined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or an Act of Tenant (defined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then, as Tenant’s sole remedy, Monthly Rent shall abate for the period beginning on the day immediately following such 5-business-day period and ending on the day such Service Interruption ends, but only in proportion to the percentage of the rentable square footage of the Premises made untenantable or inaccessible and not occupied by Tenant for the conduct of business.</w:t>
      </w:r>
    </w:p>
    <w:p>
      <w:pPr>
        <w:spacing w:after="0" w:line="18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REPAIRS AND ALTERATIONS.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6" w:lineRule="auto"/>
        <w:tabs>
          <w:tab w:leader="none" w:pos="1273"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Repairs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Tenant, at its expense, shall perform all maintenance and repairs (including replacements)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Premises that are not Landlord’s express responsibility hereunder, and shall keep the Premises in as good condition and repair as when Tenant took possession and as thereafter improved, except for reasonable wear and tear and repairs that are Landlord’s express responsibility hereunder. Tenant’s maintenance and repair obligations shall include (a) all leasehold improvements in the Premises, including any Tenant Improvements (defined in </w:t>
      </w:r>
      <w:r>
        <w:rPr>
          <w:rFonts w:ascii="Times New Roman" w:cs="Times New Roman" w:eastAsia="Times New Roman" w:hAnsi="Times New Roman"/>
          <w:sz w:val="19"/>
          <w:szCs w:val="19"/>
          <w:b w:val="1"/>
          <w:bCs w:val="1"/>
          <w:u w:val="single" w:color="auto"/>
          <w:color w:val="auto"/>
        </w:rPr>
        <w:t>Exhibit C</w:t>
      </w:r>
      <w:r>
        <w:rPr>
          <w:rFonts w:ascii="Times New Roman" w:cs="Times New Roman" w:eastAsia="Times New Roman" w:hAnsi="Times New Roman"/>
          <w:sz w:val="19"/>
          <w:szCs w:val="19"/>
          <w:color w:val="auto"/>
        </w:rPr>
        <w:t xml:space="preserve">, if any), any Alterations (defined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and any leasehold improvements installed pursuant to any prior lease (the “</w:t>
      </w:r>
      <w:r>
        <w:rPr>
          <w:rFonts w:ascii="Times New Roman" w:cs="Times New Roman" w:eastAsia="Times New Roman" w:hAnsi="Times New Roman"/>
          <w:sz w:val="19"/>
          <w:szCs w:val="19"/>
          <w:b w:val="1"/>
          <w:bCs w:val="1"/>
          <w:color w:val="auto"/>
        </w:rPr>
        <w:t>Leasehold Improvements</w:t>
      </w:r>
      <w:r>
        <w:rPr>
          <w:rFonts w:ascii="Times New Roman" w:cs="Times New Roman" w:eastAsia="Times New Roman" w:hAnsi="Times New Roman"/>
          <w:sz w:val="19"/>
          <w:szCs w:val="19"/>
          <w:color w:val="auto"/>
        </w:rPr>
        <w:t xml:space="preserve">”), but excluding the Base Building; (b) any Supplemental Systems serving the Premises, whether located inside or outside of the Premises; and (c) all Lines (defined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and trade fixtures. Notwithstanding the foregoing, if a Default (defined in </w:t>
      </w:r>
      <w:r>
        <w:rPr>
          <w:rFonts w:ascii="Times New Roman" w:cs="Times New Roman" w:eastAsia="Times New Roman" w:hAnsi="Times New Roman"/>
          <w:sz w:val="19"/>
          <w:szCs w:val="19"/>
          <w:u w:val="single" w:color="auto"/>
          <w:color w:val="auto"/>
        </w:rPr>
        <w:t>Section 18.1</w:t>
      </w:r>
      <w:r>
        <w:rPr>
          <w:rFonts w:ascii="Times New Roman" w:cs="Times New Roman" w:eastAsia="Times New Roman" w:hAnsi="Times New Roman"/>
          <w:sz w:val="19"/>
          <w:szCs w:val="19"/>
          <w:color w:val="auto"/>
        </w:rPr>
        <w:t>) or an emergency exists, Landlord may, at its option, perform such maintenance and repairs on Tenant’s behalf, in which case Tenant shall pay Landlord, upon demand, the cost of such work plus a coordination fee equal to 7.5% of the first $10,000.00 of such cost plus 5% of any remaining portion of such cost. Landlord shall perform all maintenance and repairs to (i) the roof and exterior walls and windows of the Building, (ii) the Base Building, and (iii) the Common Areas.</w:t>
      </w:r>
    </w:p>
    <w:p>
      <w:pPr>
        <w:spacing w:after="0" w:line="177" w:lineRule="exact"/>
        <w:rPr>
          <w:rFonts w:ascii="Times New Roman" w:cs="Times New Roman" w:eastAsia="Times New Roman" w:hAnsi="Times New Roman"/>
          <w:sz w:val="19"/>
          <w:szCs w:val="19"/>
          <w:color w:val="auto"/>
        </w:rPr>
      </w:pPr>
    </w:p>
    <w:p>
      <w:pPr>
        <w:jc w:val="both"/>
        <w:ind w:firstLine="656"/>
        <w:spacing w:after="0" w:line="256" w:lineRule="auto"/>
        <w:tabs>
          <w:tab w:leader="none" w:pos="129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Alterations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Tenant may not make any improvement, alteration, addition or change to the Premises or to any mechanical,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plumbing or HVAC facility or other system (an “</w:t>
      </w:r>
      <w:r>
        <w:rPr>
          <w:rFonts w:ascii="Times New Roman" w:cs="Times New Roman" w:eastAsia="Times New Roman" w:hAnsi="Times New Roman"/>
          <w:sz w:val="19"/>
          <w:szCs w:val="19"/>
          <w:b w:val="1"/>
          <w:bCs w:val="1"/>
          <w:color w:val="auto"/>
        </w:rPr>
        <w:t>Alteration</w:t>
      </w:r>
      <w:r>
        <w:rPr>
          <w:rFonts w:ascii="Times New Roman" w:cs="Times New Roman" w:eastAsia="Times New Roman" w:hAnsi="Times New Roman"/>
          <w:sz w:val="19"/>
          <w:szCs w:val="19"/>
          <w:color w:val="auto"/>
        </w:rPr>
        <w:t>”) without Landlord’s prior consent, which consent shall not be unreasonably withheld by Landlord. Notwithstanding the foregoing, Landlord’s prior consent shall not be required for any Alteration that is decorative only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carpet installation or painting), is not visible from outside the Premises, and does not affect the Base Building or require a governmental permit (a “</w:t>
      </w:r>
      <w:r>
        <w:rPr>
          <w:rFonts w:ascii="Times New Roman" w:cs="Times New Roman" w:eastAsia="Times New Roman" w:hAnsi="Times New Roman"/>
          <w:sz w:val="19"/>
          <w:szCs w:val="19"/>
          <w:b w:val="1"/>
          <w:bCs w:val="1"/>
          <w:color w:val="auto"/>
        </w:rPr>
        <w:t>Cosmetic Alteration</w:t>
      </w:r>
      <w:r>
        <w:rPr>
          <w:rFonts w:ascii="Times New Roman" w:cs="Times New Roman" w:eastAsia="Times New Roman" w:hAnsi="Times New Roman"/>
          <w:sz w:val="19"/>
          <w:szCs w:val="19"/>
          <w:color w:val="auto"/>
        </w:rPr>
        <w:t>”). For any Alteration other than a Cosmetic Alteration, (a) Tenant, before beginning work, shall deliver to Landlord, and obtain Landlord’s approval of, plans and specifications; (b) Tenant shall deliver to Landlord “as built” drawings (in CAD format, if requested by Landlord), completion affidavits, and governmental approvals; and (c) Tenant shall pay Landlord upon demand</w:t>
      </w:r>
    </w:p>
    <w:p>
      <w:pPr>
        <w:spacing w:after="0" w:line="1" w:lineRule="exact"/>
        <w:rPr>
          <w:rFonts w:ascii="Times New Roman" w:cs="Times New Roman" w:eastAsia="Times New Roman" w:hAnsi="Times New Roman"/>
          <w:sz w:val="19"/>
          <w:szCs w:val="19"/>
          <w:color w:val="auto"/>
        </w:rPr>
      </w:pPr>
    </w:p>
    <w:p>
      <w:pPr>
        <w:jc w:val="both"/>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Landlord’s reasonable out-of-pocket expenses incurred in reviewing the work, and (ii) a coordination fee equal to 3% of the cost of the work; provided, however, that this clause (c) shall not apply to any Tenant Improvements. For any Alteration, Tenant shall deliver to Landlord full and final lien waivers.</w:t>
      </w:r>
    </w:p>
    <w:p>
      <w:pPr>
        <w:spacing w:after="0" w:line="182" w:lineRule="exact"/>
        <w:rPr>
          <w:rFonts w:ascii="Times New Roman" w:cs="Times New Roman" w:eastAsia="Times New Roman" w:hAnsi="Times New Roman"/>
          <w:sz w:val="19"/>
          <w:szCs w:val="19"/>
          <w:color w:val="auto"/>
        </w:rPr>
      </w:pPr>
    </w:p>
    <w:p>
      <w:pPr>
        <w:jc w:val="both"/>
        <w:ind w:firstLine="656"/>
        <w:spacing w:after="0" w:line="266" w:lineRule="auto"/>
        <w:tabs>
          <w:tab w:leader="none" w:pos="1283"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Tenant Work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Before beginning any repair or Alteration or any work affecting Lines (collectively, “</w:t>
      </w:r>
      <w:r>
        <w:rPr>
          <w:rFonts w:ascii="Times New Roman" w:cs="Times New Roman" w:eastAsia="Times New Roman" w:hAnsi="Times New Roman"/>
          <w:sz w:val="19"/>
          <w:szCs w:val="19"/>
          <w:b w:val="1"/>
          <w:bCs w:val="1"/>
          <w:color w:val="auto"/>
        </w:rPr>
        <w:t>Tenant Work</w:t>
      </w:r>
      <w:r>
        <w:rPr>
          <w:rFonts w:ascii="Times New Roman" w:cs="Times New Roman" w:eastAsia="Times New Roman" w:hAnsi="Times New Roman"/>
          <w:sz w:val="19"/>
          <w:szCs w:val="19"/>
          <w:color w:val="auto"/>
        </w:rPr>
        <w:t>”), Tenant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deliver to Landlord, and obtain Landlord’s approval of, (a) names of contractors, subcontractors, mechanics, laborers and materialmen;</w:t>
      </w: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evidence of contractors’ and subcontractors’ insurance; and (c) any required governmental permits. Such approval shall not be unreasonably withheld provided that Landlord may designate specific contractors for work relating to mechanical, electrical, plumbing, HVAC, fire/life-safety and sprinkler systems and for vertical Lines. Tenant shall perform all Tenant Work (i) in a good and workmanlike manner using materials of a quality reasonably approved by Landlord; (ii) in compliance with any approved plans and specifications and any approved modifications thereto, all Laws, the National Electric Code, and Landlord’s reasonable construction rules and regulations; and (iii) in a manner that does not impair the Base Building. Tenant shall notify Landlord at least 10 business days before commencing any work in the Premises. If, as a result of any Tenant Work, Landlord becomes required under Law to perform any inspection, give any notice, or cause such Tenant Work to be performed in any particular manner, Tenant shall comply with such requirement and promptly provide Landlord with reasonable documentation of such compliance.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type w:val="continuous"/>
        </w:sectPr>
      </w:pPr>
    </w:p>
    <w:bookmarkStart w:id="119" w:name="page120"/>
    <w:bookmarkEnd w:id="119"/>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Landlord’s approval of Tenant’s plans and specifications shall not relieve Tenant from any obligation under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In performing any Tenant Work, Tenant shall not use contractors, services, labor, materials or equipment that, in Landlord’s reasonable judgment, would cause labor disharmony with any workforce or trades engaged in performing other work or services at the Project, and Tenant shall take all actions necessary to resolve any such labor disharmony, including, immediately upon Landlord’s request, termination of any work in the Premises giving rise to such labor disharmony.</w:t>
      </w:r>
    </w:p>
    <w:p>
      <w:pPr>
        <w:spacing w:after="0" w:line="181" w:lineRule="exact"/>
        <w:rPr>
          <w:sz w:val="20"/>
          <w:szCs w:val="20"/>
          <w:color w:val="auto"/>
        </w:rPr>
      </w:pPr>
    </w:p>
    <w:p>
      <w:pPr>
        <w:jc w:val="both"/>
        <w:ind w:firstLine="8"/>
        <w:spacing w:after="0" w:line="241" w:lineRule="auto"/>
        <w:tabs>
          <w:tab w:leader="none" w:pos="636"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LANDLORD’S PROPERTY. All Leasehold Improvements shall become Landlord’s property upon installation and without compensation to Tenant. Notwithstanding the foregoing, if any Tenant-Insured Improvements (other than any Unit, which shall be governed by </w:t>
      </w:r>
      <w:r>
        <w:rPr>
          <w:rFonts w:ascii="Times New Roman" w:cs="Times New Roman" w:eastAsia="Times New Roman" w:hAnsi="Times New Roman"/>
          <w:sz w:val="20"/>
          <w:szCs w:val="20"/>
          <w:b w:val="1"/>
          <w:bCs w:val="1"/>
          <w:u w:val="single" w:color="auto"/>
          <w:color w:val="auto"/>
        </w:rPr>
        <w:t>Section 23.5</w:t>
      </w:r>
      <w:r>
        <w:rPr>
          <w:rFonts w:ascii="Times New Roman" w:cs="Times New Roman" w:eastAsia="Times New Roman" w:hAnsi="Times New Roman"/>
          <w:sz w:val="20"/>
          <w:szCs w:val="20"/>
          <w:b w:val="1"/>
          <w:bCs w:val="1"/>
          <w:color w:val="auto"/>
        </w:rPr>
        <w:t xml:space="preserve">) are not, in Landlord’s reasonable judgment, Building-standard, then before the expiration or earlier termination hereof, Tenant shall, at Landlord’s election, either (a) at Tenant’s expense, and except as otherwise notified by Landlord, remove such Tenant-Insured Improvements, repair any resulting damage to the Premises or Building, and restore the affected portion of the Premises to its configuration and condition existing before the installation of such Tenant-Insured Improvements (or, at Landlord’s election, to a Building-standard tenant-improved configuration and condition as determined by Landlord), or (b) pay Landlord an amount equal to the estimated cost of such work, as reasonably determined by Landlord. If Tenant fails to timely perform any work required under clause (a) of the preceding sentence, Landlord may perform such work at Tenant’s expense. For purposes of this </w:t>
      </w:r>
      <w:r>
        <w:rPr>
          <w:rFonts w:ascii="Times New Roman" w:cs="Times New Roman" w:eastAsia="Times New Roman" w:hAnsi="Times New Roman"/>
          <w:sz w:val="20"/>
          <w:szCs w:val="20"/>
          <w:b w:val="1"/>
          <w:bCs w:val="1"/>
          <w:u w:val="single" w:color="auto"/>
          <w:color w:val="auto"/>
        </w:rPr>
        <w:t>Section 7</w:t>
      </w:r>
      <w:r>
        <w:rPr>
          <w:rFonts w:ascii="Times New Roman" w:cs="Times New Roman" w:eastAsia="Times New Roman" w:hAnsi="Times New Roman"/>
          <w:sz w:val="20"/>
          <w:szCs w:val="20"/>
          <w:b w:val="1"/>
          <w:bCs w:val="1"/>
          <w:color w:val="auto"/>
        </w:rPr>
        <w:t xml:space="preserve">, the Tenant Improvements shown or described in the Approved Space Plan (defined in </w:t>
      </w:r>
      <w:r>
        <w:rPr>
          <w:rFonts w:ascii="Times New Roman" w:cs="Times New Roman" w:eastAsia="Times New Roman" w:hAnsi="Times New Roman"/>
          <w:sz w:val="20"/>
          <w:szCs w:val="20"/>
          <w:b w:val="1"/>
          <w:bCs w:val="1"/>
          <w:u w:val="single" w:color="auto"/>
          <w:color w:val="auto"/>
        </w:rPr>
        <w:t>Section 2.2</w:t>
      </w:r>
      <w:r>
        <w:rPr>
          <w:rFonts w:ascii="Times New Roman" w:cs="Times New Roman" w:eastAsia="Times New Roman" w:hAnsi="Times New Roman"/>
          <w:sz w:val="20"/>
          <w:szCs w:val="20"/>
          <w:b w:val="1"/>
          <w:bCs w:val="1"/>
          <w:color w:val="auto"/>
        </w:rPr>
        <w:t xml:space="preserve"> of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b w:val="1"/>
          <w:bCs w:val="1"/>
          <w:color w:val="auto"/>
        </w:rPr>
        <w:t xml:space="preserve">) or the Approved Additional Information (defined in </w:t>
      </w:r>
      <w:r>
        <w:rPr>
          <w:rFonts w:ascii="Times New Roman" w:cs="Times New Roman" w:eastAsia="Times New Roman" w:hAnsi="Times New Roman"/>
          <w:sz w:val="20"/>
          <w:szCs w:val="20"/>
          <w:b w:val="1"/>
          <w:bCs w:val="1"/>
          <w:u w:val="single" w:color="auto"/>
          <w:color w:val="auto"/>
        </w:rPr>
        <w:t>Section 2.3</w:t>
      </w:r>
      <w:r>
        <w:rPr>
          <w:rFonts w:ascii="Times New Roman" w:cs="Times New Roman" w:eastAsia="Times New Roman" w:hAnsi="Times New Roman"/>
          <w:sz w:val="20"/>
          <w:szCs w:val="20"/>
          <w:b w:val="1"/>
          <w:bCs w:val="1"/>
          <w:color w:val="auto"/>
        </w:rPr>
        <w:t xml:space="preserve"> of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b w:val="1"/>
          <w:bCs w:val="1"/>
          <w:color w:val="auto"/>
        </w:rPr>
        <w:t xml:space="preserve">) shall be deemed Building-standard. Notwithstanding the foregoing, not later than when consenting to (or approving pursuant to </w:t>
      </w:r>
      <w:r>
        <w:rPr>
          <w:rFonts w:ascii="Times New Roman" w:cs="Times New Roman" w:eastAsia="Times New Roman" w:hAnsi="Times New Roman"/>
          <w:sz w:val="20"/>
          <w:szCs w:val="20"/>
          <w:b w:val="1"/>
          <w:bCs w:val="1"/>
          <w:u w:val="single" w:color="auto"/>
          <w:color w:val="auto"/>
        </w:rPr>
        <w:t>Section 2.7</w:t>
      </w:r>
      <w:r>
        <w:rPr>
          <w:rFonts w:ascii="Times New Roman" w:cs="Times New Roman" w:eastAsia="Times New Roman" w:hAnsi="Times New Roman"/>
          <w:sz w:val="20"/>
          <w:szCs w:val="20"/>
          <w:b w:val="1"/>
          <w:bCs w:val="1"/>
          <w:color w:val="auto"/>
        </w:rPr>
        <w:t xml:space="preserve"> of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b w:val="1"/>
          <w:bCs w:val="1"/>
          <w:color w:val="auto"/>
        </w:rPr>
        <w:t xml:space="preserve">) any Tenant Improvements or Alterations (or, in the case of any Tenant Improvements or Alterations that do not require Landlord’s consent, not later than 10 business days after receiving from Tenant a reasonably specific description of such Tenant Improvements or Alterations together with Tenant’s specific request for such identification), Landlord shall identify any such Tenant Improvements or Alterations that, in Landlord’s judgment, are not Building-standard, and such identification shall be binding upon Landlord for purposes of the second sentence of this </w:t>
      </w:r>
      <w:r>
        <w:rPr>
          <w:rFonts w:ascii="Times New Roman" w:cs="Times New Roman" w:eastAsia="Times New Roman" w:hAnsi="Times New Roman"/>
          <w:sz w:val="20"/>
          <w:szCs w:val="20"/>
          <w:b w:val="1"/>
          <w:bCs w:val="1"/>
          <w:u w:val="single" w:color="auto"/>
          <w:color w:val="auto"/>
        </w:rPr>
        <w:t>Section 7</w:t>
      </w:r>
      <w:r>
        <w:rPr>
          <w:rFonts w:ascii="Times New Roman" w:cs="Times New Roman" w:eastAsia="Times New Roman" w:hAnsi="Times New Roman"/>
          <w:sz w:val="20"/>
          <w:szCs w:val="20"/>
          <w:b w:val="1"/>
          <w:bCs w:val="1"/>
          <w:color w:val="auto"/>
        </w:rPr>
        <w:t>.</w:t>
      </w:r>
    </w:p>
    <w:p>
      <w:pPr>
        <w:spacing w:after="0" w:line="191"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636"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LIENS. Tenant shall keep the Project free from any lien arising out of any work performed, material furnished or obligation incurred by or on behalf of Tenant or its subtenants or transferees. Tenant shall remove any such lien within 10 business days after written notice from Landlord, and if Tenant fails to do so, Tenant shall be deemed in Default under this Lease, and in addition, Landlord, without limiting its remedies, may bond, insure over or otherwise pay the amount necessary to cause such removal, whether or not such lien is valid. The amount so paid, together with reasonable attorneys’ fees and expenses, shall be reimbursed by Tenant upon demand.</w:t>
      </w:r>
    </w:p>
    <w:p>
      <w:pPr>
        <w:spacing w:after="0" w:line="178"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INSURANCE.</w:t>
      </w:r>
    </w:p>
    <w:p>
      <w:pPr>
        <w:spacing w:after="0" w:line="215" w:lineRule="exact"/>
        <w:rPr>
          <w:rFonts w:ascii="Times New Roman" w:cs="Times New Roman" w:eastAsia="Times New Roman" w:hAnsi="Times New Roman"/>
          <w:sz w:val="20"/>
          <w:szCs w:val="20"/>
          <w:b w:val="1"/>
          <w:bCs w:val="1"/>
          <w:color w:val="auto"/>
        </w:rPr>
      </w:pPr>
    </w:p>
    <w:p>
      <w:pPr>
        <w:jc w:val="both"/>
        <w:ind w:firstLine="648"/>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 xml:space="preserve">z. </w:t>
      </w:r>
      <w:r>
        <w:rPr>
          <w:rFonts w:ascii="Times New Roman" w:cs="Times New Roman" w:eastAsia="Times New Roman" w:hAnsi="Times New Roman"/>
          <w:sz w:val="19"/>
          <w:szCs w:val="19"/>
          <w:b w:val="1"/>
          <w:bCs w:val="1"/>
          <w:u w:val="single" w:color="auto"/>
          <w:color w:val="auto"/>
        </w:rPr>
        <w:t>Waiver and Indemnification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Tenant waives all claims against Landlord, its Security Holders (defined in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Landlord’s managing agent(s), their (direct or indirect) owners, and the beneficiaries, trustees, managers, members, principals, partners, officers, directors, employees and agents of each of the foregoing (including Landlord, the “</w:t>
      </w:r>
      <w:r>
        <w:rPr>
          <w:rFonts w:ascii="Times New Roman" w:cs="Times New Roman" w:eastAsia="Times New Roman" w:hAnsi="Times New Roman"/>
          <w:sz w:val="19"/>
          <w:szCs w:val="19"/>
          <w:b w:val="1"/>
          <w:bCs w:val="1"/>
          <w:color w:val="auto"/>
        </w:rPr>
        <w:t>Landlord Parties</w:t>
      </w:r>
      <w:r>
        <w:rPr>
          <w:rFonts w:ascii="Times New Roman" w:cs="Times New Roman" w:eastAsia="Times New Roman" w:hAnsi="Times New Roman"/>
          <w:sz w:val="19"/>
          <w:szCs w:val="19"/>
          <w:color w:val="auto"/>
        </w:rPr>
        <w:t xml:space="preserve">”) for (i) any damage to person or property (or resulting from the loss of use thereof), except (subject to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to the extent such damage is caused by any negligence, willful misconduct or breach of this Lease of or by any Landlord Party, or (ii) any failure to prevent or control any criminal or otherwise wrongful conduct by any third party or to apprehend any third party who has engaged in such conduct. Tenant shall indemnify, defend, protect, and hold the Landlord Parties harmless from and against any obligation, loss, claim, action, liability, penalty, damage, cost, charge or expense (including reasonable attorneys’ and consultants’ fees and expenses) (each, a “</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that is imposed or asserted by any third party and arises from (a) any cause occurring in, on or about the Premises, or (b) any negligence, willful misconduct or breach of this Lease of or by Tenant, any party claiming by, through or under Tenant, their (direct or indirect) owners, or any of their respective beneficiaries, trustees, managers, members, principals, partners, officers, directors, employees, agents, contractors, licensees or invitees (each, an “</w:t>
      </w:r>
      <w:r>
        <w:rPr>
          <w:rFonts w:ascii="Times New Roman" w:cs="Times New Roman" w:eastAsia="Times New Roman" w:hAnsi="Times New Roman"/>
          <w:sz w:val="19"/>
          <w:szCs w:val="19"/>
          <w:b w:val="1"/>
          <w:bCs w:val="1"/>
          <w:color w:val="auto"/>
        </w:rPr>
        <w:t>Act of Tenant</w:t>
      </w:r>
      <w:r>
        <w:rPr>
          <w:rFonts w:ascii="Times New Roman" w:cs="Times New Roman" w:eastAsia="Times New Roman" w:hAnsi="Times New Roman"/>
          <w:sz w:val="19"/>
          <w:szCs w:val="19"/>
          <w:color w:val="auto"/>
        </w:rPr>
        <w:t>”), except to the extent such Claim arises from any negligence, willful misconduct or breach of this Lease of or by any Landlord Party.</w:t>
      </w:r>
    </w:p>
    <w:p>
      <w:pPr>
        <w:spacing w:after="0" w:line="174"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s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maintain the following coverages in the following amounts:</w:t>
      </w:r>
    </w:p>
    <w:p>
      <w:pPr>
        <w:spacing w:after="0" w:line="220" w:lineRule="exact"/>
        <w:rPr>
          <w:sz w:val="20"/>
          <w:szCs w:val="20"/>
          <w:color w:val="auto"/>
        </w:rPr>
      </w:pPr>
    </w:p>
    <w:p>
      <w:pPr>
        <w:jc w:val="both"/>
        <w:ind w:firstLine="1192"/>
        <w:spacing w:after="0" w:line="254" w:lineRule="auto"/>
        <w:rPr>
          <w:sz w:val="20"/>
          <w:szCs w:val="20"/>
          <w:color w:val="auto"/>
        </w:rPr>
      </w:pPr>
      <w:r>
        <w:rPr>
          <w:rFonts w:ascii="Times New Roman" w:cs="Times New Roman" w:eastAsia="Times New Roman" w:hAnsi="Times New Roman"/>
          <w:sz w:val="20"/>
          <w:szCs w:val="20"/>
          <w:color w:val="auto"/>
        </w:rPr>
        <w:t>i.Commercial General Liability Insurance covering claims of bodily injury, personal injury and property damage arising out of Tenant’s operations and contractual liabilities, including coverage formerly known as broad form, on an occurrence basis, with combined primary and excess/umbrella limits of at least $3,000,000 each occurrence and $4,000,000 annual aggregate.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type w:val="continuous"/>
        </w:sectPr>
      </w:pPr>
    </w:p>
    <w:bookmarkStart w:id="120" w:name="page121"/>
    <w:bookmarkEnd w:id="120"/>
    <w:p>
      <w:pPr>
        <w:spacing w:after="0" w:line="189" w:lineRule="exact"/>
        <w:rPr>
          <w:sz w:val="20"/>
          <w:szCs w:val="20"/>
          <w:color w:val="auto"/>
        </w:rPr>
      </w:pPr>
    </w:p>
    <w:p>
      <w:pPr>
        <w:jc w:val="both"/>
        <w:ind w:firstLine="1137"/>
        <w:spacing w:after="0" w:line="243" w:lineRule="auto"/>
        <w:rPr>
          <w:sz w:val="20"/>
          <w:szCs w:val="20"/>
          <w:color w:val="auto"/>
        </w:rPr>
      </w:pPr>
      <w:r>
        <w:rPr>
          <w:rFonts w:ascii="Times New Roman" w:cs="Times New Roman" w:eastAsia="Times New Roman" w:hAnsi="Times New Roman"/>
          <w:sz w:val="20"/>
          <w:szCs w:val="20"/>
          <w:color w:val="auto"/>
        </w:rPr>
        <w:t>ii.Property Insurance covering (i) all office furniture, trade fixtures, office equipment, free-standing cabinet work, movable partitions, merchandise and all other items of Tenant’s property in the Premises installed by, for, or at the expense of Tenant, and (ii) any Leasehold Improvements installed by or for the benefit of Tenant, whether pursuant to this Lease or pursuant to any prior lease or other agreement to which Tenant was a party (“</w:t>
      </w:r>
      <w:r>
        <w:rPr>
          <w:rFonts w:ascii="Times New Roman" w:cs="Times New Roman" w:eastAsia="Times New Roman" w:hAnsi="Times New Roman"/>
          <w:sz w:val="20"/>
          <w:szCs w:val="20"/>
          <w:b w:val="1"/>
          <w:bCs w:val="1"/>
          <w:color w:val="auto"/>
        </w:rPr>
        <w:t>Tenant-Insured Improvements</w:t>
      </w:r>
      <w:r>
        <w:rPr>
          <w:rFonts w:ascii="Times New Roman" w:cs="Times New Roman" w:eastAsia="Times New Roman" w:hAnsi="Times New Roman"/>
          <w:sz w:val="20"/>
          <w:szCs w:val="20"/>
          <w:color w:val="auto"/>
        </w:rPr>
        <w:t>”). Such insurance shall be written on a special cause of loss or all risk form for physical loss or damage,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and providing business interruption coverage for a period of one year.</w:t>
      </w:r>
    </w:p>
    <w:p>
      <w:pPr>
        <w:spacing w:after="0" w:line="1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iii.Workers’ Compensation with limits required by statute and Employers’ Liability limits of $1,000,000.</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ab. </w:t>
      </w:r>
      <w:r>
        <w:rPr>
          <w:rFonts w:ascii="Times New Roman" w:cs="Times New Roman" w:eastAsia="Times New Roman" w:hAnsi="Times New Roman"/>
          <w:sz w:val="20"/>
          <w:szCs w:val="20"/>
          <w:b w:val="1"/>
          <w:bCs w:val="1"/>
          <w:u w:val="single" w:color="auto"/>
          <w:color w:val="auto"/>
        </w:rPr>
        <w:t>Form of Policies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minimum limits of insurance required to be carried by Tenant shall not limit Tenant’s liability. Such insurance shall be issued by an insurance company that has an A.M. Best rating of not less than A-VIII. Tenant’s Commercial General Liability Insurance shall (a) name the Landlord Parties and any other party reasonably designated by Landlord (“</w:t>
      </w:r>
      <w:r>
        <w:rPr>
          <w:rFonts w:ascii="Times New Roman" w:cs="Times New Roman" w:eastAsia="Times New Roman" w:hAnsi="Times New Roman"/>
          <w:sz w:val="20"/>
          <w:szCs w:val="20"/>
          <w:b w:val="1"/>
          <w:bCs w:val="1"/>
          <w:color w:val="auto"/>
        </w:rPr>
        <w:t>Additional Insured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as additional insureds; and (b) be primary insurance as to all claims thereunder and provide that any insurance carried by Landlord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excess and non-contributing with Tenant’s insurance. Landlord shall be designated as a loss payee with respect to Tenant’s Property Insurance on any Tenant-Insured Improvements. Tenant shall deliver to Landlord, on or before the Commencement Date and at least 15 days before the expiration dates thereof, certificates from Tenant’s insurance company on the forms currently designated “ACORD 25” (Certificate of Liability Insurance) and “ACORD 28” (Evidence of Commercial Property Insurance) or the equivalent. Attached to the ACORD 25 (or equivalent) there shall be an endorsement (or an excerpt from the policy) naming the Additional Insured Parties as additional insureds, and attached to the ACORD 28 (or equivalent) there shall be an endorsement (or an excerpt from the policy) designating Landlord as a loss payee with respect to Tenant’s Property Insurance on any Tenant-Insured Improvements, and each such endorsement (or policy excerpt) shall be binding on Tenant’s insurance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ac. </w:t>
      </w:r>
      <w:r>
        <w:rPr>
          <w:rFonts w:ascii="Times New Roman" w:cs="Times New Roman" w:eastAsia="Times New Roman" w:hAnsi="Times New Roman"/>
          <w:sz w:val="19"/>
          <w:szCs w:val="19"/>
          <w:b w:val="1"/>
          <w:bCs w:val="1"/>
          <w:u w:val="single" w:color="auto"/>
          <w:color w:val="auto"/>
        </w:rPr>
        <w:t>Subrogation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each party waives, and shall cause its insurance carrier to waive, any right of recovery against the other party, any of its (direct or indirect) owners, or any of their respective beneficiaries, trustees, managers, members, principals, partners, officers, directors, employees or agents for any loss of or damage to property which loss or damage is (or, if the insurance required hereunder had been carried, would have been) covered by the waiving party’s property insurance. For purposes of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only,</w:t>
      </w:r>
    </w:p>
    <w:p>
      <w:pPr>
        <w:spacing w:after="0" w:line="1" w:lineRule="exact"/>
        <w:rPr>
          <w:sz w:val="20"/>
          <w:szCs w:val="20"/>
          <w:color w:val="auto"/>
        </w:rPr>
      </w:pPr>
    </w:p>
    <w:p>
      <w:pPr>
        <w:jc w:val="both"/>
        <w:ind w:firstLine="8"/>
        <w:spacing w:after="0" w:line="242" w:lineRule="auto"/>
        <w:tabs>
          <w:tab w:leader="none" w:pos="27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deductible with respect to a party’s insurance shall be deemed covered by, and recoverable by such party under, valid and collectable policies of insurance, and (b) any contractor retained by Landlord to install, maintain or monitor a fire or security alarm for the Building shall be deemed an agent of Landlord.</w:t>
      </w:r>
    </w:p>
    <w:p>
      <w:pPr>
        <w:spacing w:after="0" w:line="183" w:lineRule="exact"/>
        <w:rPr>
          <w:sz w:val="20"/>
          <w:szCs w:val="20"/>
          <w:color w:val="auto"/>
        </w:rPr>
      </w:pPr>
    </w:p>
    <w:p>
      <w:pPr>
        <w:jc w:val="both"/>
        <w:ind w:firstLine="8"/>
        <w:spacing w:after="0" w:line="254" w:lineRule="auto"/>
        <w:tabs>
          <w:tab w:leader="none" w:pos="636"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CASUALTY DAMAGE. With reasonable promptness after discovering any damage to the Premises (other than trade fixtures), or to any Common Area or portion of the Base Building necessary for access to or tenantability of the Premises, resulting from any fire or other casualty (a “Casualty”), Landlord shall notify Tenant of Landlord’s reasonable estimate of the time required to substantially complete repair of such damage (the “Landlord Repairs”). If, according to such estimate, the Landlord Repairs cannot be substantially completed within 180 days after the date of occurrence of the Casualty, either party may terminate this Lease upon 60 days’ notice to the other party delivered within 10 days after Landlord’s delivery of such estimate. Within 90 days after discovering any damage to the Project resulting from any Casualty, Landlord may, whether or not the Premises are affected, terminate this Lease by notifying Tenant if (i) any Security Holder terminates any ground lease or requires that any insurance proceeds be used to pay any mortgage debt; (ii) any damage to Landlord’s property is not fully covered by Landlord’s insurance policies plus any applicable deductibles (other than any earthquake insurance deductible that Landlord does not elect to fund in order to perform the Landlord Repairs); (iii) Landlord decides to rebuild the Building or Common Areas so that it or they will be substantially different structurally or architecturally; or (iv) the damage occurs during the last 12 months of the Term. If this Lease is not terminated pursuant to this </w:t>
      </w:r>
      <w:r>
        <w:rPr>
          <w:rFonts w:ascii="Times New Roman" w:cs="Times New Roman" w:eastAsia="Times New Roman" w:hAnsi="Times New Roman"/>
          <w:sz w:val="19"/>
          <w:szCs w:val="19"/>
          <w:b w:val="1"/>
          <w:bCs w:val="1"/>
          <w:u w:val="single" w:color="auto"/>
          <w:color w:val="auto"/>
        </w:rPr>
        <w:t>Section 10</w:t>
      </w:r>
      <w:r>
        <w:rPr>
          <w:rFonts w:ascii="Times New Roman" w:cs="Times New Roman" w:eastAsia="Times New Roman" w:hAnsi="Times New Roman"/>
          <w:sz w:val="19"/>
          <w:szCs w:val="19"/>
          <w:b w:val="1"/>
          <w:bCs w:val="1"/>
          <w:color w:val="auto"/>
        </w:rPr>
        <w:t>, Landlord shall promptly and diligently perform the Landlord Repairs, subject to reasonable delays for insurance adjustment and other events of Force Majeure. The Landlord Repairs shall restore the Premises (other than trade fixtures) and any Common Area or portion of the Base Building necessary for access to or tenantability of the Premises to substantially the same condition that existed when the Casualty occurred, except for (a) any modifications required by Law or any Security Holder, and (b) any modifications to the Common Areas that are deemed desirable by Landlord, are consistent with the character of the Project, and do not materially impair access to or tenantability of the Premises. Notwithstanding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u w:val="single" w:color="auto"/>
          <w:color w:val="auto"/>
        </w:rPr>
        <w:t>Section 9.4</w:t>
      </w:r>
      <w:r>
        <w:rPr>
          <w:rFonts w:ascii="Times New Roman" w:cs="Times New Roman" w:eastAsia="Times New Roman" w:hAnsi="Times New Roman"/>
          <w:sz w:val="20"/>
          <w:szCs w:val="20"/>
          <w:b w:val="1"/>
          <w:bCs w:val="1"/>
          <w:color w:val="auto"/>
        </w:rPr>
        <w:t xml:space="preserve">, Tenant shall assign to Landlord (or its designee) all insurance proceeds payable to Tenant under Tenant’s insurance required under </w:t>
      </w:r>
      <w:r>
        <w:rPr>
          <w:rFonts w:ascii="Times New Roman" w:cs="Times New Roman" w:eastAsia="Times New Roman" w:hAnsi="Times New Roman"/>
          <w:sz w:val="20"/>
          <w:szCs w:val="20"/>
          <w:b w:val="1"/>
          <w:bCs w:val="1"/>
          <w:u w:val="single" w:color="auto"/>
          <w:color w:val="auto"/>
        </w:rPr>
        <w:t>Section 9.2</w:t>
      </w:r>
      <w:r>
        <w:rPr>
          <w:rFonts w:ascii="Times New Roman" w:cs="Times New Roman" w:eastAsia="Times New Roman" w:hAnsi="Times New Roman"/>
          <w:sz w:val="20"/>
          <w:szCs w:val="20"/>
          <w:b w:val="1"/>
          <w:bCs w:val="1"/>
          <w:color w:val="auto"/>
        </w:rPr>
        <w:t xml:space="preserve"> with respect to any Tenant-Insured Improvements (the “Assigned Tenant Proceeds”), and if the estimated or actual cost of restoring any Tenant-Insured Improvements exceeds the Assigned Tenant Proceeds received by Landlord, Tenant shall pay such excess to Landlord (the “Tenant Excess”) within 15 days after Landlord’s demand. In no event shall Landlord be required to spend more for the restoration of any Tenant-Insured Improvements than the applicable Assigned Tenant Proceeds and Tenant Excess (if any) actually received by Landlord. No Casualty and no restoration performed as required hereunder shall render Landlord liable to Tenant, constitute a constructive eviction, or excuse Tenant from any obligation hereunder; provided, however, that if the Premises or a portion thereof (other than trade fixtures) or any Common Area or portion of the Base Building necessary for access to or tenantability of the Premises is damaged by a Casualty, then, during any time that, as a result of such damage, any portion of the Premises is inaccessible or untenantable and is not occupied by Tenant, Monthly Rent shall be abated in proportion to the rentable area of such portion of the Premises.</w:t>
      </w:r>
    </w:p>
    <w:p>
      <w:pPr>
        <w:spacing w:after="0" w:line="190" w:lineRule="exact"/>
        <w:rPr>
          <w:sz w:val="20"/>
          <w:szCs w:val="20"/>
          <w:color w:val="auto"/>
        </w:rPr>
      </w:pPr>
    </w:p>
    <w:p>
      <w:pPr>
        <w:jc w:val="both"/>
        <w:ind w:firstLine="8"/>
        <w:spacing w:after="0" w:line="243" w:lineRule="auto"/>
        <w:tabs>
          <w:tab w:leader="none" w:pos="63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NONWAIVER. No provision hereof shall be deemed waived by either party unless it is waived by such party expressly and in writing, and no waiver of any breach of any provision hereof shall be deemed a waiver of any subsequent breach of such provision or any other provision hereof. Landlord’s acceptance of Rent shall not be deemed a waiver of any preceding breach of any provision hereof, other than Tenant’s failure to pay the particular Rent so accepted, regardless of Landlord’s knowledge of such preceding breach at the time of such acceptance. Any acceptance by Landlord of payment of less than the full amount of Rent due hereunder shall not be deemed a waiver of Landlord’s right to receive the full amount of Rent due and shall be applied first to the oldest Rent obligation then due and next to any current Rent obligation then due, in each case notwithstanding any statement to the contrary contained on or accompanying such payment from Tenant. No receipt of monies by Landlord from Tenant after the giving of any notice, the commencement of any suit, the issuance of any final judgment, or the termination hereof shall affect such notice, suit or judgment, or reinstate or extend the Term or Tenant’s right of possession hereunder.</w:t>
      </w:r>
    </w:p>
    <w:p>
      <w:pPr>
        <w:spacing w:after="0" w:line="182"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63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CONDEMNATION. If any material part of the Premises, Building or Project is to be taken for any public or quasi-public use by power of eminent domain or by private purchase in lieu thereof (a “Taking”) for more than 180 consecutive days, Landlord may terminate this Lease; provided, however, that Landlord may not terminate this Lease pursuant to this sentence unless more than 25% of the rentable area of the Premises has been Taken or Landlord also exercises all rights it may have acquired as a result of the Taking to terminate any other similarly situated leases of space in the Building. If more than 25% of the rentable area of the Premises, or if any Common Area or portion of the Base Building necessary for access to or tenantability of the Premises, is to be Taken for more than 180 consecutive days, Tenant may terminate this Lease. Any such termination shall be effective as of the date possession must be surrendered to the authority, and the terminating party shall provide termination notice to the other party within 45 days after receiving written notice of such surrender date. Except as provided above in this </w:t>
      </w:r>
      <w:r>
        <w:rPr>
          <w:rFonts w:ascii="Times New Roman" w:cs="Times New Roman" w:eastAsia="Times New Roman" w:hAnsi="Times New Roman"/>
          <w:sz w:val="20"/>
          <w:szCs w:val="20"/>
          <w:b w:val="1"/>
          <w:bCs w:val="1"/>
          <w:u w:val="single" w:color="auto"/>
          <w:color w:val="auto"/>
        </w:rPr>
        <w:t>Section 12</w:t>
      </w:r>
      <w:r>
        <w:rPr>
          <w:rFonts w:ascii="Times New Roman" w:cs="Times New Roman" w:eastAsia="Times New Roman" w:hAnsi="Times New Roman"/>
          <w:sz w:val="20"/>
          <w:szCs w:val="20"/>
          <w:b w:val="1"/>
          <w:bCs w:val="1"/>
          <w:color w:val="auto"/>
        </w:rPr>
        <w:t xml:space="preserve">, neither party may terminate this Lease as a result of a Taking. Tenant shall not assert, and hereby assigns to Landlord, any claim it may have for compensation because of any Taking; provided, however, that Tenant may file a separate claim for any Taking of Tenant’s personal property or any trade fixtures that Tenant is entitled to remove upon the expiration hereof, and for moving expenses, so long as such claim does not diminish the award available to Landlord or any Security Holder and is payable separately to Tenant. If this Lease is terminated pursuant to this </w:t>
      </w:r>
      <w:r>
        <w:rPr>
          <w:rFonts w:ascii="Times New Roman" w:cs="Times New Roman" w:eastAsia="Times New Roman" w:hAnsi="Times New Roman"/>
          <w:sz w:val="20"/>
          <w:szCs w:val="20"/>
          <w:b w:val="1"/>
          <w:bCs w:val="1"/>
          <w:u w:val="single" w:color="auto"/>
          <w:color w:val="auto"/>
        </w:rPr>
        <w:t>Section 12</w:t>
      </w:r>
      <w:r>
        <w:rPr>
          <w:rFonts w:ascii="Times New Roman" w:cs="Times New Roman" w:eastAsia="Times New Roman" w:hAnsi="Times New Roman"/>
          <w:sz w:val="20"/>
          <w:szCs w:val="20"/>
          <w:b w:val="1"/>
          <w:bCs w:val="1"/>
          <w:color w:val="auto"/>
        </w:rPr>
        <w:t>, all Rent shall be apportioned as of the date of such termination. If a Taking occurs and this Lease is not so terminated, Monthly Rent shall be abated for the period of such Taking in proportion to the percentage of the rentable area of the Premises, if any, that is subject to, or rendered inaccessible or untenantable by, such Taking and not occupied by Tenant.</w:t>
      </w:r>
    </w:p>
    <w:p>
      <w:pPr>
        <w:spacing w:after="0" w:line="191"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SUBLETTING.</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 xml:space="preserve">ad. </w:t>
      </w:r>
      <w:r>
        <w:rPr>
          <w:rFonts w:ascii="Times New Roman" w:cs="Times New Roman" w:eastAsia="Times New Roman" w:hAnsi="Times New Roman"/>
          <w:sz w:val="19"/>
          <w:szCs w:val="19"/>
          <w:b w:val="1"/>
          <w:bCs w:val="1"/>
          <w:u w:val="single" w:color="auto"/>
          <w:color w:val="auto"/>
        </w:rPr>
        <w:t>Transfers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Tenant shall not, without Landlord’s prior consent (subject to </w:t>
      </w:r>
      <w:r>
        <w:rPr>
          <w:rFonts w:ascii="Times New Roman" w:cs="Times New Roman" w:eastAsia="Times New Roman" w:hAnsi="Times New Roman"/>
          <w:sz w:val="19"/>
          <w:szCs w:val="19"/>
          <w:u w:val="single" w:color="auto"/>
          <w:color w:val="auto"/>
        </w:rPr>
        <w:t>Sections 13.2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13.8</w:t>
      </w:r>
      <w:r>
        <w:rPr>
          <w:rFonts w:ascii="Times New Roman" w:cs="Times New Roman" w:eastAsia="Times New Roman" w:hAnsi="Times New Roman"/>
          <w:sz w:val="19"/>
          <w:szCs w:val="19"/>
          <w:color w:val="auto"/>
        </w:rPr>
        <w:t xml:space="preserve">), assign, mortgage, pledge, hypothecate, encumber, permit any lien to attach to, or otherwise transfer this Lease or any interest hereunder, permit any assignment or other transfer hereof or any interest hereunder by operation of law, enter into any sublease or license agreement, otherwise permit the occupancy or use of any part of the Premises by any persons other than Tenant and its employees and contractors, or permit a Change of Control (defined in </w:t>
      </w:r>
      <w:r>
        <w:rPr>
          <w:rFonts w:ascii="Times New Roman" w:cs="Times New Roman" w:eastAsia="Times New Roman" w:hAnsi="Times New Roman"/>
          <w:sz w:val="19"/>
          <w:szCs w:val="19"/>
          <w:u w:val="single" w:color="auto"/>
          <w:color w:val="auto"/>
        </w:rPr>
        <w:t>Section 13.6</w:t>
      </w:r>
      <w:r>
        <w:rPr>
          <w:rFonts w:ascii="Times New Roman" w:cs="Times New Roman" w:eastAsia="Times New Roman" w:hAnsi="Times New Roman"/>
          <w:sz w:val="19"/>
          <w:szCs w:val="19"/>
          <w:color w:val="auto"/>
        </w:rPr>
        <w:t>) to occur (each, a “</w:t>
      </w:r>
      <w:r>
        <w:rPr>
          <w:rFonts w:ascii="Times New Roman" w:cs="Times New Roman" w:eastAsia="Times New Roman" w:hAnsi="Times New Roman"/>
          <w:sz w:val="19"/>
          <w:szCs w:val="19"/>
          <w:b w:val="1"/>
          <w:bCs w:val="1"/>
          <w:color w:val="auto"/>
        </w:rPr>
        <w:t>Transfer</w:t>
      </w:r>
      <w:r>
        <w:rPr>
          <w:rFonts w:ascii="Times New Roman" w:cs="Times New Roman" w:eastAsia="Times New Roman" w:hAnsi="Times New Roman"/>
          <w:sz w:val="19"/>
          <w:szCs w:val="19"/>
          <w:color w:val="auto"/>
        </w:rPr>
        <w:t>”). If Tenant desires Landlord’s consent to any Transfer, Tenant shall provide Landlord with</w:t>
      </w:r>
    </w:p>
    <w:p>
      <w:pPr>
        <w:spacing w:after="0" w:line="4" w:lineRule="exact"/>
        <w:rPr>
          <w:sz w:val="20"/>
          <w:szCs w:val="20"/>
          <w:color w:val="auto"/>
        </w:rPr>
      </w:pPr>
    </w:p>
    <w:p>
      <w:pPr>
        <w:jc w:val="both"/>
        <w:ind w:firstLine="8"/>
        <w:spacing w:after="0" w:line="242" w:lineRule="auto"/>
        <w:tabs>
          <w:tab w:leader="none" w:pos="24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the terms of the proposed Transfer, including its proposed effective date (the “</w:t>
      </w:r>
      <w:r>
        <w:rPr>
          <w:rFonts w:ascii="Times New Roman" w:cs="Times New Roman" w:eastAsia="Times New Roman" w:hAnsi="Times New Roman"/>
          <w:sz w:val="20"/>
          <w:szCs w:val="20"/>
          <w:b w:val="1"/>
          <w:bCs w:val="1"/>
          <w:color w:val="auto"/>
        </w:rPr>
        <w:t>Contemplated Effective Date</w:t>
      </w:r>
      <w:r>
        <w:rPr>
          <w:rFonts w:ascii="Times New Roman" w:cs="Times New Roman" w:eastAsia="Times New Roman" w:hAnsi="Times New Roman"/>
          <w:sz w:val="20"/>
          <w:szCs w:val="20"/>
          <w:color w:val="auto"/>
        </w:rPr>
        <w:t>”), a description of the portion of the Premises to be transferred (the “</w:t>
      </w:r>
      <w:r>
        <w:rPr>
          <w:rFonts w:ascii="Times New Roman" w:cs="Times New Roman" w:eastAsia="Times New Roman" w:hAnsi="Times New Roman"/>
          <w:sz w:val="20"/>
          <w:szCs w:val="20"/>
          <w:b w:val="1"/>
          <w:bCs w:val="1"/>
          <w:color w:val="auto"/>
        </w:rPr>
        <w:t>Contemplated Transfer Space</w:t>
      </w:r>
      <w:r>
        <w:rPr>
          <w:rFonts w:ascii="Times New Roman" w:cs="Times New Roman" w:eastAsia="Times New Roman" w:hAnsi="Times New Roman"/>
          <w:sz w:val="20"/>
          <w:szCs w:val="20"/>
          <w:color w:val="auto"/>
        </w:rPr>
        <w:t xml:space="preserve">”), a calculation of the Transfer Premium (defined in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and a copy of all existing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executed and/or proposed documentation effecting the proposed Transfer, and (ii) current financial statements of the proposed transferee (or, in the case of a Change of Control, of the proposed new controlling party(ies)) certified by an officer or owner thereof and any other information reasonably required by Landlord in order to evaluate the proposed Transfer (collectively, the “</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xml:space="preserve">”). Within 15 business days after receiving the Transfer Notice, Landlord shall notify Tenant of (a) its consent to the proposed Transfer, or (b) its refusal to consent to the proposed Transfer. Any Transfer made without Landlord’s prior consent shall, at Landlord’s option, be void and shall, at Landlord’s option, constitute a Default. Tenant shall pay Landlord a fee of $1,500.00 for Landlord’s review of any proposed Transfer, whether or not Landlord consents to it. No review fee shall be payable in connection with a Permitted Transfer (defined in </w:t>
      </w:r>
      <w:r>
        <w:rPr>
          <w:rFonts w:ascii="Times New Roman" w:cs="Times New Roman" w:eastAsia="Times New Roman" w:hAnsi="Times New Roman"/>
          <w:sz w:val="20"/>
          <w:szCs w:val="20"/>
          <w:u w:val="single" w:color="auto"/>
          <w:color w:val="auto"/>
        </w:rPr>
        <w:t>Section 13.8</w:t>
      </w:r>
      <w:r>
        <w:rPr>
          <w:rFonts w:ascii="Times New Roman" w:cs="Times New Roman" w:eastAsia="Times New Roman" w:hAnsi="Times New Roman"/>
          <w:sz w:val="20"/>
          <w:szCs w:val="20"/>
          <w:color w:val="auto"/>
        </w:rPr>
        <w:t xml:space="preserve"> below), provided Landlord is not required to modify this Lease or execute any documents in connection with such Permitted Transfer.</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ae. </w:t>
      </w: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s Consent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 xml:space="preserve">, Landlord shall not unreasonably withhold its consent to any proposed Transfer. Without limitation, it shall be deemed reasonable for Landlord to withhold its consent to a proposed Transfer if (i) the proposed transferee is a governmental entity or a nonprofit organization, or is engaged in a business that is not consistent with the quality of the Building; or (ii) the proposed transferee or any of its Affiliates, on the date the Transfer Notice is received, leases or occupies (or, at any time during the 2-month period ending on the date the Transfer Notice is received, has provided Landlord with a written proposal or counterproposal to lease) space in the portion of the Project consting of the Building and the buildings located at 6060 and 6100 Center Drive, and Landlord has (or believes in good faith, based on the scheduled expiration dates of existing leases and/or its rights to relocate existing tenants, that it will have) space available that, in its good faith judgment, will meet the proposed transferee’s leasing needs. Notwithstanding any contrary provision hereof, (a) if Landlord consents to any Transfer pursuant to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but Tenant does not enter into such Transfer within 6 months thereafter, such consent shall no longer apply and such Transfer shall not be permitted unless Tenant again obtains Landlord’s consent thereto pursuant and subject to the terms of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and (b) if Landlord withholds its consent in breach of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Tenant’s sole remedies shall be contract damages (subject to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or specific performance, and Tenant waives all other remedies, including any right to terminate this Lease.</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af. </w:t>
      </w:r>
      <w:r>
        <w:rPr>
          <w:rFonts w:ascii="Times New Roman" w:cs="Times New Roman" w:eastAsia="Times New Roman" w:hAnsi="Times New Roman"/>
          <w:sz w:val="20"/>
          <w:szCs w:val="20"/>
          <w:b w:val="1"/>
          <w:bCs w:val="1"/>
          <w:u w:val="single" w:color="auto"/>
          <w:color w:val="auto"/>
        </w:rPr>
        <w:t>Transfer Premium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Landlord consents to a Transfer (other than a Change of Control), Tenant shall pay Landlord an amount equal to 50% of any Transfer Premium (defined below). “</w:t>
      </w:r>
      <w:r>
        <w:rPr>
          <w:rFonts w:ascii="Times New Roman" w:cs="Times New Roman" w:eastAsia="Times New Roman" w:hAnsi="Times New Roman"/>
          <w:sz w:val="20"/>
          <w:szCs w:val="20"/>
          <w:b w:val="1"/>
          <w:bCs w:val="1"/>
          <w:color w:val="auto"/>
        </w:rPr>
        <w:t>Transfer Premium</w:t>
      </w:r>
      <w:r>
        <w:rPr>
          <w:rFonts w:ascii="Times New Roman" w:cs="Times New Roman" w:eastAsia="Times New Roman" w:hAnsi="Times New Roman"/>
          <w:sz w:val="20"/>
          <w:szCs w:val="20"/>
          <w:color w:val="auto"/>
        </w:rPr>
        <w:t xml:space="preserve">” means (a) in the case of an assignment, any consideration (including payment for Leasehold Improvements) paid by the assignee for such assignment, less any reasonable and customary expenses directly incurred by Tenant on account of such assignment, including brokerage fees, legal fees, and Landlord’s review fee, and (b) in the case of a sublease, license or other occupancy agreement, for each month of the term of such agreement, the amount by which all rent and other consideration paid by the transferee to Tenant pursuant to such agreement (less all reasonable and customary expenses directly incurred by Tenant on account of such agreement, including brokerage fees, legal fees, construction costs and Landlord’s review fee, as amortized on a monthly, straight-line basis over the term of such agreement) exceeds the Monthly Rent payable by Tenant hereunder with respect to the Contemplated Transfer Space. Payment of Landlord’s share of the Transfer Premium shall be made (x) in the case of an assignment, within 10 business days after Tenant receives the consideration described above, and (y) in the case of a sublease, license or other occupancy agreement, for each month of the term of such agreement, within 10 business days after Tenant receives the rent and other consideration described above. For the avoidance of doubt, Tenant shall not be requird to pay a Transfer Premium with respect to a Change of Control or a Permitted Transfer (defined in </w:t>
      </w:r>
      <w:r>
        <w:rPr>
          <w:rFonts w:ascii="Times New Roman" w:cs="Times New Roman" w:eastAsia="Times New Roman" w:hAnsi="Times New Roman"/>
          <w:sz w:val="20"/>
          <w:szCs w:val="20"/>
          <w:u w:val="single" w:color="auto"/>
          <w:color w:val="auto"/>
        </w:rPr>
        <w:t>Section 13.8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ag.</w:t>
      </w:r>
      <w:r>
        <w:rPr>
          <w:sz w:val="20"/>
          <w:szCs w:val="20"/>
          <w:color w:val="auto"/>
        </w:rPr>
        <w:tab/>
      </w:r>
      <w:r>
        <w:rPr>
          <w:rFonts w:ascii="Times New Roman" w:cs="Times New Roman" w:eastAsia="Times New Roman" w:hAnsi="Times New Roman"/>
          <w:sz w:val="20"/>
          <w:szCs w:val="20"/>
          <w:color w:val="auto"/>
        </w:rPr>
        <w:t>Intentionally Omitted.</w:t>
      </w:r>
    </w:p>
    <w:p>
      <w:pPr>
        <w:spacing w:after="0" w:line="2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ah.</w:t>
      </w:r>
      <w:r>
        <w:rPr>
          <w:sz w:val="20"/>
          <w:szCs w:val="20"/>
          <w:color w:val="auto"/>
        </w:rPr>
        <w:tab/>
      </w:r>
      <w:r>
        <w:rPr>
          <w:rFonts w:ascii="Times New Roman" w:cs="Times New Roman" w:eastAsia="Times New Roman" w:hAnsi="Times New Roman"/>
          <w:sz w:val="19"/>
          <w:szCs w:val="19"/>
          <w:b w:val="1"/>
          <w:bCs w:val="1"/>
          <w:u w:val="single" w:color="auto"/>
          <w:color w:val="auto"/>
        </w:rPr>
        <w:t>Effect of Consent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Landlord consents to a Transfer, (i) such consent shall not be deemed a consent to any further Transfer,</w:t>
      </w:r>
    </w:p>
    <w:p>
      <w:pPr>
        <w:spacing w:after="0" w:line="37" w:lineRule="exact"/>
        <w:rPr>
          <w:sz w:val="20"/>
          <w:szCs w:val="20"/>
          <w:color w:val="auto"/>
        </w:rPr>
      </w:pPr>
    </w:p>
    <w:p>
      <w:pPr>
        <w:jc w:val="both"/>
        <w:ind w:firstLine="8"/>
        <w:spacing w:after="0"/>
        <w:tabs>
          <w:tab w:leader="none" w:pos="33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deliver to Landlord, promptly after execution, an executed copy of all documentation effecting the Transfer in form reasonably acceptable to Landlord, and (iii) Tenant shall deliver to Landlord, upon Landlord’s request, a complete statement, certified by an independent CPA or Tenant’s chief financial officer, setting forth in detail the computation of any Transfer Premium. In the case of an assignment, the assignee shall assume in writing, for Landlord’s benefit, all of Tenant’s obligations hereunder. No Transfer, with or without Landlord’s consent, shall relieve Tenant or any guarantor hereof from any liability hereunder. Notwithstanding any contrary provision hereof, Tenant, with or without Landlord’s consent, shall not enter into, or permit any party claiming by, through or under Tenant to enter into, any sublease, license or other occupancy agreement that provides for payment based in whole or in part on the net income or profit of the subtenant, licensee or other occupant thereunder.</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ai. </w:t>
      </w:r>
      <w:r>
        <w:rPr>
          <w:rFonts w:ascii="Times New Roman" w:cs="Times New Roman" w:eastAsia="Times New Roman" w:hAnsi="Times New Roman"/>
          <w:sz w:val="20"/>
          <w:szCs w:val="20"/>
          <w:b w:val="1"/>
          <w:bCs w:val="1"/>
          <w:u w:val="single" w:color="auto"/>
          <w:color w:val="auto"/>
        </w:rPr>
        <w:t>Change of Control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(a) if Tenant is a closely held professional service firm, the withdrawal or change (whether voluntary, involuntary or by operation of law) of more than 50% of its equity owners within a 12-month period; and (b) in all other cases, 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transaction(s) resulting in the acquisition of a Controlling Interest (defined below) in Tenant by one or more parties that neither owned, nor are Affiliates (defined below) of one or more parties that owned, a Controlling Interest in Tenant immediately before such transaction(s). “</w:t>
      </w:r>
      <w:r>
        <w:rPr>
          <w:rFonts w:ascii="Times New Roman" w:cs="Times New Roman" w:eastAsia="Times New Roman" w:hAnsi="Times New Roman"/>
          <w:sz w:val="20"/>
          <w:szCs w:val="20"/>
          <w:b w:val="1"/>
          <w:bCs w:val="1"/>
          <w:color w:val="auto"/>
        </w:rPr>
        <w:t>Controlling Interest</w:t>
      </w:r>
      <w:r>
        <w:rPr>
          <w:rFonts w:ascii="Times New Roman" w:cs="Times New Roman" w:eastAsia="Times New Roman" w:hAnsi="Times New Roman"/>
          <w:sz w:val="20"/>
          <w:szCs w:val="20"/>
          <w:color w:val="auto"/>
        </w:rPr>
        <w:t>” means Control (defined below) over an entity, other than Control arising from the ownership of voting securities listed on a recognized securities exchange.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direct or indirect power to direct the ordinary management and policies of an entity, whether through the ownership of voting securities, by contract or otherwise.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party, a person or entity that controls, is under common control with, or is controlled by such party.</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aj. </w:t>
      </w:r>
      <w:r>
        <w:rPr>
          <w:rFonts w:ascii="Times New Roman" w:cs="Times New Roman" w:eastAsia="Times New Roman" w:hAnsi="Times New Roman"/>
          <w:sz w:val="20"/>
          <w:szCs w:val="20"/>
          <w:b w:val="1"/>
          <w:bCs w:val="1"/>
          <w:u w:val="single" w:color="auto"/>
          <w:color w:val="auto"/>
        </w:rPr>
        <w:t>Effect of Default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Tenant is in Default, Landlord is irrevocably authorized by Tenant to direct any transferee under any sublease, license or other occupancy agreement to make all payments under such agreement directly to Landlord (which Landlord shall apply towards Tenant’s obligations hereunder) until such Default is cured. However, by accepting such payments directly from the subtenant, Landlord does not waive any claims or release Tenant from any obligations hereunder, nor recognize the subtenant as the tenant hereunder. Such transferee shall rely upon any representation by Landlord that Tenant is in Default, whether or not confirmed by Tenant.</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ak. </w:t>
      </w:r>
      <w:r>
        <w:rPr>
          <w:rFonts w:ascii="Times New Roman" w:cs="Times New Roman" w:eastAsia="Times New Roman" w:hAnsi="Times New Roman"/>
          <w:sz w:val="20"/>
          <w:szCs w:val="20"/>
          <w:b w:val="1"/>
          <w:bCs w:val="1"/>
          <w:u w:val="single" w:color="auto"/>
          <w:color w:val="auto"/>
        </w:rPr>
        <w:t>Permitted Transfers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may (i) assign this Lease to a successor to Tenant by merger, consolidation, or the purchase of all or substantially all of Tenant’s assets, or (ii) assign this Lease or sublet all or a portion of the Premises to an Affiliate, in each case without Landlord’s consent, provided that all of the following conditions are satisfied (a “</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(a) Tenant must not be in Default;</w:t>
      </w:r>
    </w:p>
    <w:p>
      <w:pPr>
        <w:spacing w:after="0" w:line="2" w:lineRule="exact"/>
        <w:rPr>
          <w:sz w:val="20"/>
          <w:szCs w:val="20"/>
          <w:color w:val="auto"/>
        </w:rPr>
      </w:pPr>
    </w:p>
    <w:p>
      <w:pPr>
        <w:jc w:val="both"/>
        <w:ind w:firstLine="8"/>
        <w:spacing w:after="0" w:line="253" w:lineRule="auto"/>
        <w:tabs>
          <w:tab w:leader="none" w:pos="28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must give Landlord written notice at least 10 business days before such Transfer; (c) if such Transfer will result from a merger or consolidation of Tenant with another entity, or the purchase of all or substantially all of Tenant’s assets by another entity, then the Credit Requirement (defined below) must be satisfied; (d) in the case of an assignment of this Lease other than pursuant to a merger or consolidation, the assignee must execute and deliver to Landlord, at least 10 business days before the assignment, a commercially reasonable instrument pursuant to which the assignee assumes, for Landlord’s benefit, all of Tenant’s obligations hereunder; and (e) in the case of a sublease to an Affiliate, the subtenant must execute and deliver to Landlord, at least 10 business days before taking occupancy, an agreement reasonably acceptable to Landlord which requires the subtenant to (i) assume all of Tenant’s release, waiver, indemnity and insurance obligations hereunder with respect to the Contemplated Transfer Space, (ii) be bound by each provision hereof that limits the liability of any Landlord Party, and (iii) agree that if, for any reason (including any voluntary surrender by Tenant), this Lease or Tenant’s right to possession hereunder terminates with respect to all or any portion of the sublet Premises, then all rights of the subtenant in the sublet Premises (or such portion thereof) shall terminate on the date of such termination. Tenant’s notice to Landlord shall include information and documentation evidencing the Permitted Transfer and showing that each of the above conditions has been satisfied. The “</w:t>
      </w:r>
      <w:r>
        <w:rPr>
          <w:rFonts w:ascii="Times New Roman" w:cs="Times New Roman" w:eastAsia="Times New Roman" w:hAnsi="Times New Roman"/>
          <w:sz w:val="19"/>
          <w:szCs w:val="19"/>
          <w:b w:val="1"/>
          <w:bCs w:val="1"/>
          <w:color w:val="auto"/>
        </w:rPr>
        <w:t>Credit Requirement</w:t>
      </w:r>
      <w:r>
        <w:rPr>
          <w:rFonts w:ascii="Times New Roman" w:cs="Times New Roman" w:eastAsia="Times New Roman" w:hAnsi="Times New Roman"/>
          <w:sz w:val="19"/>
          <w:szCs w:val="19"/>
          <w:color w:val="auto"/>
        </w:rPr>
        <w:t>” shall be deemed satisfied if, as of the date immediately succeeding the date of the Permitted Transfer, the financial strength of either (a) the entity with which Tenant is to merge or consolidate in the event of a merger or consolidation, or (b) the entity which is purchasing all or substantially all of Tenant’s assets in the event of a sale of all or substantially all of Tenant’s assets, is not less than that of Tenant as of the date immediately preceding the Transfer as determined (x) based on credit ratings of such entity and Tenant by both Moody’s and Standard &amp; Poor’s (or by either such agency alone, if applicable ratings by the other agency do not exist), or (y) if such credit ratings do not exist, then in accordance with Moody’s KMV RiskCalc (i.e., the on-line software tool offered by Moody’s for analyzing credit risk) based on CFO-certified financial statements for such entity and Tenant covering their last two fiscal years ending before the Transfer.</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al. </w:t>
      </w:r>
      <w:r>
        <w:rPr>
          <w:rFonts w:ascii="Times New Roman" w:cs="Times New Roman" w:eastAsia="Times New Roman" w:hAnsi="Times New Roman"/>
          <w:sz w:val="20"/>
          <w:szCs w:val="20"/>
          <w:b w:val="1"/>
          <w:bCs w:val="1"/>
          <w:u w:val="single" w:color="auto"/>
          <w:color w:val="auto"/>
        </w:rPr>
        <w:t>Approved Users</w:t>
      </w:r>
      <w:r>
        <w:rPr>
          <w:rFonts w:ascii="Times New Roman" w:cs="Times New Roman" w:eastAsia="Times New Roman" w:hAnsi="Times New Roman"/>
          <w:sz w:val="20"/>
          <w:szCs w:val="20"/>
          <w:color w:val="auto"/>
        </w:rPr>
        <w:t xml:space="preserve">. Notwithstanding anything in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Tenant shall be permitted from time to time to permit its clients, contractors or Affiliates (“</w:t>
      </w:r>
      <w:r>
        <w:rPr>
          <w:rFonts w:ascii="Times New Roman" w:cs="Times New Roman" w:eastAsia="Times New Roman" w:hAnsi="Times New Roman"/>
          <w:sz w:val="20"/>
          <w:szCs w:val="20"/>
          <w:b w:val="1"/>
          <w:bCs w:val="1"/>
          <w:color w:val="auto"/>
        </w:rPr>
        <w:t>Approved Users</w:t>
      </w:r>
      <w:r>
        <w:rPr>
          <w:rFonts w:ascii="Times New Roman" w:cs="Times New Roman" w:eastAsia="Times New Roman" w:hAnsi="Times New Roman"/>
          <w:sz w:val="20"/>
          <w:szCs w:val="20"/>
          <w:color w:val="auto"/>
        </w:rPr>
        <w:t xml:space="preserve">”) to occupy space within the Premises, provided that (a) Tenant does not separately demise such space and the Approved Users utilize, in common with Tenant, one common entryway to the Premises as well as certain shared central services, such as reception, photocopying and the like; (b) the Approved Users occupy space in the Premises for the Permitted Use and for no other purpose; and (c) Tenant notifies Landlord, in writing, of the identity of any such Approved Users prior to occupancy of any portion of the Premises by such Approved Users. No further act, documentation or consent shall be required with respect to such usage by any or all of the Approved Users nor shall any transfer, premium, recapture or excess rent provisions described in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apply. If any Approved Users occupy any portion of the Premises as described herein, it is agreed that (i) the Approved Users must comply with all provisions of this Lease, and a default by any Approved Users shall be deemed a default by Tenant under this Lease; (ii) all notices required of Landlord under this Lease shall be forwarded only to Tenant in accordance with the terms of this Lease and in no event shall Landlord be required to send any notices to any Approved Users; (iii) in no event shall any use or occupancy of any portion of the Premises by any Approved User release or relieve Tenant from any of its obligations under this Lease; (iv) the Approved User and its employees, contractors and invitees visiting or occupying space in the Premises shall be deemed employees of Tenant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type w:val="continuous"/>
        </w:sectPr>
      </w:pPr>
    </w:p>
    <w:bookmarkStart w:id="124" w:name="page125"/>
    <w:bookmarkEnd w:id="124"/>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for purposes of Tenant’s indemnification obligations in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and (v) in no event shall the occupancy of any portion of the Premises by Approved Users be deemed to create a landlord/tenant relationship between Landlord and such Approved Users, and, in all instances, Tenant shall be considered the sole tenant under this Lease notwithstanding the occupancy of any portion of the Premises by the Approved Users.</w:t>
      </w:r>
    </w:p>
    <w:p>
      <w:pPr>
        <w:spacing w:after="0" w:line="152" w:lineRule="exact"/>
        <w:rPr>
          <w:sz w:val="20"/>
          <w:szCs w:val="20"/>
          <w:color w:val="auto"/>
        </w:rPr>
      </w:pPr>
    </w:p>
    <w:p>
      <w:pPr>
        <w:jc w:val="both"/>
        <w:ind w:firstLine="8"/>
        <w:spacing w:after="0" w:line="257" w:lineRule="auto"/>
        <w:tabs>
          <w:tab w:leader="none" w:pos="636"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SURRENDER. Upon the expiration or earlier termination hereof, and subject to </w:t>
      </w:r>
      <w:r>
        <w:rPr>
          <w:rFonts w:ascii="Times New Roman" w:cs="Times New Roman" w:eastAsia="Times New Roman" w:hAnsi="Times New Roman"/>
          <w:sz w:val="19"/>
          <w:szCs w:val="19"/>
          <w:b w:val="1"/>
          <w:bCs w:val="1"/>
          <w:u w:val="single" w:color="auto"/>
          <w:color w:val="auto"/>
        </w:rPr>
        <w:t>Section 7</w:t>
      </w:r>
      <w:r>
        <w:rPr>
          <w:rFonts w:ascii="Times New Roman" w:cs="Times New Roman" w:eastAsia="Times New Roman" w:hAnsi="Times New Roman"/>
          <w:sz w:val="19"/>
          <w:szCs w:val="19"/>
          <w:b w:val="1"/>
          <w:bCs w:val="1"/>
          <w:color w:val="auto"/>
        </w:rPr>
        <w:t xml:space="preserve"> and this </w:t>
      </w:r>
      <w:r>
        <w:rPr>
          <w:rFonts w:ascii="Times New Roman" w:cs="Times New Roman" w:eastAsia="Times New Roman" w:hAnsi="Times New Roman"/>
          <w:sz w:val="19"/>
          <w:szCs w:val="19"/>
          <w:b w:val="1"/>
          <w:bCs w:val="1"/>
          <w:u w:val="single" w:color="auto"/>
          <w:color w:val="auto"/>
        </w:rPr>
        <w:t>Section 14</w:t>
      </w:r>
      <w:r>
        <w:rPr>
          <w:rFonts w:ascii="Times New Roman" w:cs="Times New Roman" w:eastAsia="Times New Roman" w:hAnsi="Times New Roman"/>
          <w:sz w:val="19"/>
          <w:szCs w:val="19"/>
          <w:b w:val="1"/>
          <w:bCs w:val="1"/>
          <w:color w:val="auto"/>
        </w:rPr>
        <w:t xml:space="preserve">, Tenant shall surrender possession of the Premises to Landlord broom clean in as good condition and repair as when Tenant took possession and as thereafter improved, except for reasonable wear and tear and repairs that are Landlord’s express responsibility hereunder. Before such expiration or termination, Tenant, without expense to Landlord, shall (a) remove from the Premises all debris and rubbish and all furniture, equipment, trade fixtures, Lines, free-standing cabinet work, movable partitions and other articles of personal property that are owned or placed in the Premises by Tenant or any party claiming by, through or under Tenant (except for any Lines not required to be removed under </w:t>
      </w:r>
      <w:r>
        <w:rPr>
          <w:rFonts w:ascii="Times New Roman" w:cs="Times New Roman" w:eastAsia="Times New Roman" w:hAnsi="Times New Roman"/>
          <w:sz w:val="19"/>
          <w:szCs w:val="19"/>
          <w:b w:val="1"/>
          <w:bCs w:val="1"/>
          <w:u w:val="single" w:color="auto"/>
          <w:color w:val="auto"/>
        </w:rPr>
        <w:t>Section 22</w:t>
      </w:r>
      <w:r>
        <w:rPr>
          <w:rFonts w:ascii="Times New Roman" w:cs="Times New Roman" w:eastAsia="Times New Roman" w:hAnsi="Times New Roman"/>
          <w:sz w:val="19"/>
          <w:szCs w:val="19"/>
          <w:b w:val="1"/>
          <w:bCs w:val="1"/>
          <w:color w:val="auto"/>
        </w:rPr>
        <w:t>), and (b) repair all damage to the Premises and Building resulting from such removal. If Tenant fails to timely perform such removal and repair, Landlord may do so at Tenant’s expense (including storage costs). If Tenant fails to remove such property from the Premises, or from storage, within 30 days after notice from Landlord, any part of such property shall be deemed, at Landlord’s option, either (x) conveyed to Landlord without compensation, or (y) abandoned.</w:t>
      </w:r>
    </w:p>
    <w:p>
      <w:pPr>
        <w:spacing w:after="0" w:line="171" w:lineRule="exact"/>
        <w:rPr>
          <w:rFonts w:ascii="Times New Roman" w:cs="Times New Roman" w:eastAsia="Times New Roman" w:hAnsi="Times New Roman"/>
          <w:sz w:val="19"/>
          <w:szCs w:val="19"/>
          <w:b w:val="1"/>
          <w:bCs w:val="1"/>
          <w:color w:val="auto"/>
        </w:rPr>
      </w:pPr>
    </w:p>
    <w:p>
      <w:pPr>
        <w:jc w:val="both"/>
        <w:ind w:firstLine="8"/>
        <w:spacing w:after="0" w:line="258" w:lineRule="auto"/>
        <w:tabs>
          <w:tab w:leader="none" w:pos="636"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HOLDOVER. If Tenant fails to surrender the Premises upon the expiration or earlier termination hereof, Tenant’s tenancy shall be subject to the terms and conditions hereof; provided, however, that such tenancy shall be a tenancy at sufferance only, for the entire Premises, and Tenant shall pay Monthly Rent (on a per-diem basis) at a rate equal to the Applicable Percentage (defined below) of the Monthly Rent applicable during the last calendar month of the Term. For purposes of this </w:t>
      </w:r>
      <w:r>
        <w:rPr>
          <w:rFonts w:ascii="Times New Roman" w:cs="Times New Roman" w:eastAsia="Times New Roman" w:hAnsi="Times New Roman"/>
          <w:sz w:val="19"/>
          <w:szCs w:val="19"/>
          <w:b w:val="1"/>
          <w:bCs w:val="1"/>
          <w:u w:val="single" w:color="auto"/>
          <w:color w:val="auto"/>
        </w:rPr>
        <w:t>Section 15</w:t>
      </w:r>
      <w:r>
        <w:rPr>
          <w:rFonts w:ascii="Times New Roman" w:cs="Times New Roman" w:eastAsia="Times New Roman" w:hAnsi="Times New Roman"/>
          <w:sz w:val="19"/>
          <w:szCs w:val="19"/>
          <w:b w:val="1"/>
          <w:bCs w:val="1"/>
          <w:color w:val="auto"/>
        </w:rPr>
        <w:t xml:space="preserve">, “Applicable Percentage” means, with respect to any holdover, (a) 125% with respect to the first two (2) months of such holdover, and (b) 150% with respect to the balance of such holdover. Nothing in this </w:t>
      </w:r>
      <w:r>
        <w:rPr>
          <w:rFonts w:ascii="Times New Roman" w:cs="Times New Roman" w:eastAsia="Times New Roman" w:hAnsi="Times New Roman"/>
          <w:sz w:val="19"/>
          <w:szCs w:val="19"/>
          <w:b w:val="1"/>
          <w:bCs w:val="1"/>
          <w:u w:val="single" w:color="auto"/>
          <w:color w:val="auto"/>
        </w:rPr>
        <w:t>Section 15</w:t>
      </w:r>
      <w:r>
        <w:rPr>
          <w:rFonts w:ascii="Times New Roman" w:cs="Times New Roman" w:eastAsia="Times New Roman" w:hAnsi="Times New Roman"/>
          <w:sz w:val="19"/>
          <w:szCs w:val="19"/>
          <w:b w:val="1"/>
          <w:bCs w:val="1"/>
          <w:color w:val="auto"/>
        </w:rPr>
        <w:t xml:space="preserve"> shall be deemed a consent to any holdover or limit Landlord’s rights or remedies. If Landlord is unable to deliver possession of the Premises to, or perform improvements for, a new tenant as a result of Tenant’s holdover, Tenant shall be liable for all resulting damages, including lost profits, incurred by Landlord.</w:t>
      </w:r>
    </w:p>
    <w:p>
      <w:pPr>
        <w:spacing w:after="0" w:line="173" w:lineRule="exact"/>
        <w:rPr>
          <w:rFonts w:ascii="Times New Roman" w:cs="Times New Roman" w:eastAsia="Times New Roman" w:hAnsi="Times New Roman"/>
          <w:sz w:val="19"/>
          <w:szCs w:val="19"/>
          <w:b w:val="1"/>
          <w:bCs w:val="1"/>
          <w:color w:val="auto"/>
        </w:rPr>
      </w:pPr>
    </w:p>
    <w:p>
      <w:pPr>
        <w:ind w:left="640" w:hanging="632"/>
        <w:spacing w:after="0"/>
        <w:tabs>
          <w:tab w:leader="none" w:pos="64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SUBORDINATION; ESTOPPEL CERTIFICATES.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am. This Lease shall be subject and subordinate to all existing and future ground or underlying leases, mortgages, trust deeds and other encumbrances against the Building or Project, all renewals, extensions, modifications, refinancings, consolidations and replacements thereof (each, a “</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and all advances made upon the security of such mortgages or trust deeds, unless in each case the holder of such Security Agreement (each, a “</w:t>
      </w:r>
      <w:r>
        <w:rPr>
          <w:rFonts w:ascii="Times New Roman" w:cs="Times New Roman" w:eastAsia="Times New Roman" w:hAnsi="Times New Roman"/>
          <w:sz w:val="20"/>
          <w:szCs w:val="20"/>
          <w:b w:val="1"/>
          <w:bCs w:val="1"/>
          <w:color w:val="auto"/>
        </w:rPr>
        <w:t>Security Holder</w:t>
      </w:r>
      <w:r>
        <w:rPr>
          <w:rFonts w:ascii="Times New Roman" w:cs="Times New Roman" w:eastAsia="Times New Roman" w:hAnsi="Times New Roman"/>
          <w:sz w:val="20"/>
          <w:szCs w:val="20"/>
          <w:color w:val="auto"/>
        </w:rPr>
        <w:t>”) requires in writing that this Lease be superior thereto. Upon any termination or foreclosure (or any delivery of a deed in lieu of foreclosure) of any Security Agreement, Tenant, upon request, shall attorn, without deduction or set-off, to the Security Holder or purchaser or any successor thereto and shall recognize such party as the lessor hereunder provided that such party agrees not to disturb Tenant’s occupancy so long as Tenant timely pays the Rent and otherwise performs its obligations hereunder. Within 10 business days after Landlord’s request, Tenant shall execute such further instruments as Landlord or any Security Holder may reasonably deem necessary to evidence the subordination or superiority of this Lease to any Security Agreement. Tenant waives any right it may have under Law to terminate or otherwise adversely affect this Lease or Tenant’s obligations hereunder upon a foreclosure.</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an. Landlord shall use good faith efforts to deliver to Tenant, not later than the date occurring five (5) business days after the mutual execution and delivery hereof, a Subordination, Nondisturbance and Attornment Agreement by and among Tenant, Landlord and Landlord’s existing Security Holder, in form and substance satisfactory to Tenant in its reasonable discretion. If for any reason Landlord fails to so deliver to Tenant any such agreement within five (5) business days after the mutual execution and delivery hereof, Tenant, as its sole remedy for such failure, may terminate this Lease by notifying Landlord not later than the date occurring 10 business days after the mutual execution and delivery hereof. Notwithstanding any contrary provision hereof, until the earlier of (a) the date occurring 11 business days after the mutual execution and delivery hereof, or (b) the date immediately following the date, if any, on which Tenant, by notifying Landlord, waives any right it may have to terminate this Lease pursuant to this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Landlord shall not be required to perform any Landlord Work.</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ao. Notwithstanding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Tenant’s agreement to subordinate this Lease to a future Security Agreement shall not be effective unless Landlord has provided Tenant with a commercially reasonable non-disturbance agreement from the Security Holder.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type w:val="continuous"/>
        </w:sectPr>
      </w:pPr>
    </w:p>
    <w:bookmarkStart w:id="125" w:name="page126"/>
    <w:bookmarkEnd w:id="125"/>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ap. Within 10 business days after request by the other party, each party shall execute and deliver to the requesting party a commercially reasonable estoppel certificate in favor of such unaffiliated third party as the requesting party may reasonably designate, including a prospective purchaser of the requesting party’s interest in this Lease (or, if Landlord is the requesting party, a current or prospective Security Holder). The party delivering such estoppel certificate shall be estopped, as against the third-party recipient, from asserting any fact or claim contrary to the matters set forth therein. However, such estoppel certificate shall not affect the rights or obligations of Landlord or Tenant as between each other.</w:t>
      </w:r>
    </w:p>
    <w:p>
      <w:pPr>
        <w:spacing w:after="0" w:line="180" w:lineRule="exact"/>
        <w:rPr>
          <w:sz w:val="20"/>
          <w:szCs w:val="20"/>
          <w:color w:val="auto"/>
        </w:rPr>
      </w:pPr>
    </w:p>
    <w:p>
      <w:pPr>
        <w:jc w:val="both"/>
        <w:ind w:firstLine="8"/>
        <w:spacing w:after="0" w:line="243" w:lineRule="auto"/>
        <w:tabs>
          <w:tab w:leader="none" w:pos="636"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ENTRY BY LANDLORD. At all reasonable times and upon reasonable notice to Tenant, or in an emergency, Landlord may enter the Premises to (i) inspect the Premises; (ii) show the Premises to prospective purchasers, current or prospective Security Holders or insurers, or, during the last 9 months of the Term (or while an uncured Default exists), prospective tenants; (iii) post notices of non-responsibility; or (iv) perform maintenance, repairs or alterations. At any time and without notice to Tenant, Landlord may enter the Premises to perform janitorial or other required services. If reasonably necessary, Landlord may temporarily close any portion of the Premises to perform maintenance, repairs or alterations. In an emergency, Landlord may use any means it deems proper to open doors to and in the Premises. Except in an emergency, Landlord shall use reasonable efforts (except Landlord shall not be obligated to pay overtime rates for which Tenant does not agree to reimburse Landlord) to minimize interference with Tenant’s use of the Premises. No entry into or closure of any portion of the Premises pursuant to this </w:t>
      </w:r>
      <w:r>
        <w:rPr>
          <w:rFonts w:ascii="Times New Roman" w:cs="Times New Roman" w:eastAsia="Times New Roman" w:hAnsi="Times New Roman"/>
          <w:sz w:val="20"/>
          <w:szCs w:val="20"/>
          <w:b w:val="1"/>
          <w:bCs w:val="1"/>
          <w:u w:val="single" w:color="auto"/>
          <w:color w:val="auto"/>
        </w:rPr>
        <w:t>Section 17</w:t>
      </w:r>
      <w:r>
        <w:rPr>
          <w:rFonts w:ascii="Times New Roman" w:cs="Times New Roman" w:eastAsia="Times New Roman" w:hAnsi="Times New Roman"/>
          <w:sz w:val="20"/>
          <w:szCs w:val="20"/>
          <w:b w:val="1"/>
          <w:bCs w:val="1"/>
          <w:color w:val="auto"/>
        </w:rPr>
        <w:t xml:space="preserve"> shall render Landlord liable to Tenant, constitute a constructive eviction, or excuse Tenant from any obligation hereunder.</w:t>
      </w:r>
    </w:p>
    <w:p>
      <w:pPr>
        <w:spacing w:after="0" w:line="182"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DEFAULTS; REMEDIES.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aq.</w:t>
      </w:r>
      <w:r>
        <w:rPr>
          <w:sz w:val="20"/>
          <w:szCs w:val="20"/>
          <w:color w:val="auto"/>
        </w:rPr>
        <w:tab/>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occurrence of any of the following shall constitute a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192"/>
        <w:spacing w:after="0" w:line="269" w:lineRule="auto"/>
        <w:rPr>
          <w:sz w:val="20"/>
          <w:szCs w:val="20"/>
          <w:color w:val="auto"/>
        </w:rPr>
      </w:pPr>
      <w:r>
        <w:rPr>
          <w:rFonts w:ascii="Times New Roman" w:cs="Times New Roman" w:eastAsia="Times New Roman" w:hAnsi="Times New Roman"/>
          <w:sz w:val="20"/>
          <w:szCs w:val="20"/>
          <w:color w:val="auto"/>
        </w:rPr>
        <w:t>i.Any failure by Tenant to pay any Rent (or deliver any security deposit, letter of credit, or similar credit enhancement required hereunder) when due unless such failure is cured within 3 business days after written notice; or</w:t>
      </w:r>
    </w:p>
    <w:p>
      <w:pPr>
        <w:spacing w:after="0" w:line="159" w:lineRule="exact"/>
        <w:rPr>
          <w:sz w:val="20"/>
          <w:szCs w:val="20"/>
          <w:color w:val="auto"/>
        </w:rPr>
      </w:pPr>
    </w:p>
    <w:p>
      <w:pPr>
        <w:jc w:val="both"/>
        <w:ind w:firstLine="1137"/>
        <w:spacing w:after="0" w:line="246" w:lineRule="auto"/>
        <w:rPr>
          <w:sz w:val="20"/>
          <w:szCs w:val="20"/>
          <w:color w:val="auto"/>
        </w:rPr>
      </w:pPr>
      <w:r>
        <w:rPr>
          <w:rFonts w:ascii="Times New Roman" w:cs="Times New Roman" w:eastAsia="Times New Roman" w:hAnsi="Times New Roman"/>
          <w:sz w:val="20"/>
          <w:szCs w:val="20"/>
          <w:color w:val="auto"/>
        </w:rPr>
        <w:t xml:space="preserve">ii.Except where a specific time period is otherwise set forth for Tenant’s cure herein (in which event Tenant’s failure to cure within such time period shall be a Default), and except as otherwise provided in this </w:t>
      </w:r>
      <w:r>
        <w:rPr>
          <w:rFonts w:ascii="Times New Roman" w:cs="Times New Roman" w:eastAsia="Times New Roman" w:hAnsi="Times New Roman"/>
          <w:sz w:val="20"/>
          <w:szCs w:val="20"/>
          <w:u w:val="single" w:color="auto"/>
          <w:color w:val="auto"/>
        </w:rPr>
        <w:t>Section 18.1</w:t>
      </w:r>
      <w:r>
        <w:rPr>
          <w:rFonts w:ascii="Times New Roman" w:cs="Times New Roman" w:eastAsia="Times New Roman" w:hAnsi="Times New Roman"/>
          <w:sz w:val="20"/>
          <w:szCs w:val="20"/>
          <w:color w:val="auto"/>
        </w:rPr>
        <w:t>, any breach by Tenant of any other provision hereof where such breach continues for 30 days after notice from Landlord; provided that if such breach cannot reasonably be cured within such 30-day period, Tenant shall not be in Default as a result of such breach if Tenant diligently commences such cure within such period, thereafter diligently pursues such cure, and completes such cure within 90 days after Landlord’s notice; or</w:t>
      </w:r>
    </w:p>
    <w:p>
      <w:pPr>
        <w:spacing w:after="0" w:line="185" w:lineRule="exact"/>
        <w:rPr>
          <w:sz w:val="20"/>
          <w:szCs w:val="20"/>
          <w:color w:val="auto"/>
        </w:rPr>
      </w:pPr>
    </w:p>
    <w:p>
      <w:pPr>
        <w:jc w:val="both"/>
        <w:ind w:firstLine="1082"/>
        <w:spacing w:after="0" w:line="269" w:lineRule="auto"/>
        <w:rPr>
          <w:sz w:val="20"/>
          <w:szCs w:val="20"/>
          <w:color w:val="auto"/>
        </w:rPr>
      </w:pPr>
      <w:r>
        <w:rPr>
          <w:rFonts w:ascii="Times New Roman" w:cs="Times New Roman" w:eastAsia="Times New Roman" w:hAnsi="Times New Roman"/>
          <w:sz w:val="20"/>
          <w:szCs w:val="20"/>
          <w:color w:val="auto"/>
        </w:rPr>
        <w:t xml:space="preserve">iii.Any breach by Tenant of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xml:space="preserve"> where such breach continues for more than 2 business days after written notice from Landlord; or</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 xml:space="preserve">iv.Tenant becomes in breach of </w:t>
      </w:r>
      <w:r>
        <w:rPr>
          <w:rFonts w:ascii="Times New Roman" w:cs="Times New Roman" w:eastAsia="Times New Roman" w:hAnsi="Times New Roman"/>
          <w:sz w:val="20"/>
          <w:szCs w:val="20"/>
          <w:u w:val="single" w:color="auto"/>
          <w:color w:val="auto"/>
        </w:rPr>
        <w:t>Section 23.3(c)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Tenant, by repeating substantially the same act or omission, breaches a particular provision hereof (other than a provision requiring payment of Rent), and Landlord notifies Tenant of such breach, on 3 separate occasions during any 12-month period, and if such breaches are collectively material, then Tenant’s subsequent breach of such provision by commission of substantially the same act or omission shall be, at Landlord’s option, an incurable Default. To the extent the notice periods provided herein satisfy any notice periods provided by Law, Landlord shall not be required to give any additional notice in order to be entitled to commence an unlawful detainer proceeding.</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ar. </w:t>
      </w:r>
      <w:r>
        <w:rPr>
          <w:rFonts w:ascii="Times New Roman" w:cs="Times New Roman" w:eastAsia="Times New Roman" w:hAnsi="Times New Roman"/>
          <w:sz w:val="20"/>
          <w:szCs w:val="20"/>
          <w:b w:val="1"/>
          <w:bCs w:val="1"/>
          <w:u w:val="single" w:color="auto"/>
          <w:color w:val="auto"/>
        </w:rPr>
        <w:t>Remedies Upon Default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Upon any Default, Landlord shall have, in addition to any other remedies available to Landlord at law or in equity (which shall be cumulative and nonexclusive), the option to pursue any one or more of the following remedies (which shall be cumulative and nonexclusive) without any notice or demand:</w:t>
      </w:r>
    </w:p>
    <w:p>
      <w:pPr>
        <w:spacing w:after="0" w:line="173" w:lineRule="exact"/>
        <w:rPr>
          <w:sz w:val="20"/>
          <w:szCs w:val="20"/>
          <w:color w:val="auto"/>
        </w:rPr>
      </w:pPr>
    </w:p>
    <w:p>
      <w:pPr>
        <w:jc w:val="both"/>
        <w:ind w:firstLine="1192"/>
        <w:spacing w:after="0" w:line="249" w:lineRule="auto"/>
        <w:rPr>
          <w:sz w:val="20"/>
          <w:szCs w:val="20"/>
          <w:color w:val="auto"/>
        </w:rPr>
      </w:pPr>
      <w:r>
        <w:rPr>
          <w:rFonts w:ascii="Times New Roman" w:cs="Times New Roman" w:eastAsia="Times New Roman" w:hAnsi="Times New Roman"/>
          <w:sz w:val="20"/>
          <w:szCs w:val="20"/>
          <w:color w:val="auto"/>
        </w:rPr>
        <w:t>i.Landlord may terminate this Lease, in which case Tenant shall immediately surrender the Premises to Landlord, and if Tenant fails to do so, Landlord may, without prejudice to any other remedy it may have for possession or arrearages in Rent, enter upon and take possession of the Premises and expel or remove Tenant and any other person who may be occupying the Premises or any part thereof, without being liable for prosecution or any claim of damages therefor; and Landlord may recover from Tenant the following:</w:t>
      </w:r>
    </w:p>
    <w:p>
      <w:pPr>
        <w:spacing w:after="0" w:line="180" w:lineRule="exact"/>
        <w:rPr>
          <w:sz w:val="20"/>
          <w:szCs w:val="20"/>
          <w:color w:val="auto"/>
        </w:rPr>
      </w:pPr>
    </w:p>
    <w:p>
      <w:pPr>
        <w:ind w:left="2580" w:hanging="628"/>
        <w:spacing w:after="0"/>
        <w:tabs>
          <w:tab w:leader="none" w:pos="25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unpaid Rent which had been earned at the time of such termination;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plus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type w:val="continuous"/>
        </w:sectPr>
      </w:pPr>
    </w:p>
    <w:bookmarkStart w:id="126" w:name="page127"/>
    <w:bookmarkEnd w:id="126"/>
    <w:p>
      <w:pPr>
        <w:spacing w:after="0" w:line="189" w:lineRule="exact"/>
        <w:rPr>
          <w:sz w:val="20"/>
          <w:szCs w:val="20"/>
          <w:color w:val="auto"/>
        </w:rPr>
      </w:pPr>
    </w:p>
    <w:p>
      <w:pPr>
        <w:ind w:firstLine="1952"/>
        <w:spacing w:after="0" w:line="295" w:lineRule="auto"/>
        <w:tabs>
          <w:tab w:leader="none" w:pos="259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37" w:lineRule="exact"/>
        <w:rPr>
          <w:rFonts w:ascii="Times New Roman" w:cs="Times New Roman" w:eastAsia="Times New Roman" w:hAnsi="Times New Roman"/>
          <w:sz w:val="19"/>
          <w:szCs w:val="19"/>
          <w:color w:val="auto"/>
        </w:rPr>
      </w:pPr>
    </w:p>
    <w:p>
      <w:pPr>
        <w:ind w:firstLine="1952"/>
        <w:spacing w:after="0" w:line="269" w:lineRule="auto"/>
        <w:tabs>
          <w:tab w:leader="none" w:pos="258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for the balance of the Term after the time of award exceeds the amount of such Rent loss that Tenant proves could be reasonably avoided; plus</w:t>
      </w:r>
    </w:p>
    <w:p>
      <w:pPr>
        <w:spacing w:after="0" w:line="15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necessary to compensate Landlord for all the detriment proximately caused by Tenant’s failure to perform its obligations hereunder or which in the ordinary course of things would be likely to result therefrom, including brokerage commissions, advertising expenses, expenses of remodeling any portion of the Premises for a new tenant (whether for the same or a different use), and any special concessions made to obtain a new tenant; plus</w:t>
      </w:r>
    </w:p>
    <w:p>
      <w:pPr>
        <w:spacing w:after="0" w:line="17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Landlord’s option, such other amounts in addition to or in lieu of the foregoing as may be permitted from</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time to time by Law.</w:t>
      </w:r>
    </w:p>
    <w:p>
      <w:pPr>
        <w:spacing w:after="0" w:line="189" w:lineRule="exact"/>
        <w:rPr>
          <w:rFonts w:ascii="Times New Roman" w:cs="Times New Roman" w:eastAsia="Times New Roman" w:hAnsi="Times New Roman"/>
          <w:sz w:val="19"/>
          <w:szCs w:val="19"/>
          <w:color w:val="auto"/>
        </w:rPr>
      </w:pPr>
    </w:p>
    <w:p>
      <w:pPr>
        <w:jc w:val="both"/>
        <w:ind w:firstLine="1952"/>
        <w:spacing w:after="0" w:line="246" w:lineRule="auto"/>
        <w:tabs>
          <w:tab w:leader="none" w:pos="25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w:t>
      </w:r>
      <w:r>
        <w:rPr>
          <w:rFonts w:ascii="Times New Roman" w:cs="Times New Roman" w:eastAsia="Times New Roman" w:hAnsi="Times New Roman"/>
          <w:sz w:val="20"/>
          <w:szCs w:val="20"/>
          <w:u w:val="single" w:color="auto"/>
          <w:color w:val="auto"/>
        </w:rPr>
        <w:t>Sections 18.2.1(a)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18.2.1(b)</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worth at the time of award</w:t>
      </w:r>
      <w:r>
        <w:rPr>
          <w:rFonts w:ascii="Times New Roman" w:cs="Times New Roman" w:eastAsia="Times New Roman" w:hAnsi="Times New Roman"/>
          <w:sz w:val="20"/>
          <w:szCs w:val="20"/>
          <w:color w:val="auto"/>
        </w:rPr>
        <w:t>” shall be computed by allowing interest at a rate per annum equal to the lesser of (i) the annual “</w:t>
      </w:r>
      <w:r>
        <w:rPr>
          <w:rFonts w:ascii="Times New Roman" w:cs="Times New Roman" w:eastAsia="Times New Roman" w:hAnsi="Times New Roman"/>
          <w:sz w:val="20"/>
          <w:szCs w:val="20"/>
          <w:b w:val="1"/>
          <w:bCs w:val="1"/>
          <w:color w:val="auto"/>
        </w:rPr>
        <w:t>Bank Prime Loan</w:t>
      </w:r>
      <w:r>
        <w:rPr>
          <w:rFonts w:ascii="Times New Roman" w:cs="Times New Roman" w:eastAsia="Times New Roman" w:hAnsi="Times New Roman"/>
          <w:sz w:val="20"/>
          <w:szCs w:val="20"/>
          <w:color w:val="auto"/>
        </w:rPr>
        <w:t xml:space="preserve">” rate cited in the Federal Reserve Statistical Release Publication G.13(415), published on the first Tuesday of each calendar month (or such other comparable index as Landlord shall reasonably designate if such rate ceases to be published) plus two (2) percentage points, or (ii) the highest rate permitted by Law. As used in </w:t>
      </w:r>
      <w:r>
        <w:rPr>
          <w:rFonts w:ascii="Times New Roman" w:cs="Times New Roman" w:eastAsia="Times New Roman" w:hAnsi="Times New Roman"/>
          <w:sz w:val="20"/>
          <w:szCs w:val="20"/>
          <w:u w:val="single" w:color="auto"/>
          <w:color w:val="auto"/>
        </w:rPr>
        <w:t>Section 18.2.1(c)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worth at the time of award</w:t>
      </w:r>
      <w:r>
        <w:rPr>
          <w:rFonts w:ascii="Times New Roman" w:cs="Times New Roman" w:eastAsia="Times New Roman" w:hAnsi="Times New Roman"/>
          <w:sz w:val="20"/>
          <w:szCs w:val="20"/>
          <w:color w:val="auto"/>
        </w:rPr>
        <w:t>” shall be computed by discounting such amount at the discount rate of the Federal Reserve Bank of San Francisco at the time of award plus 1%.</w:t>
      </w:r>
    </w:p>
    <w:p>
      <w:pPr>
        <w:spacing w:after="0" w:line="183" w:lineRule="exact"/>
        <w:rPr>
          <w:sz w:val="20"/>
          <w:szCs w:val="20"/>
          <w:color w:val="auto"/>
        </w:rPr>
      </w:pPr>
    </w:p>
    <w:p>
      <w:pPr>
        <w:jc w:val="both"/>
        <w:ind w:firstLine="1137"/>
        <w:spacing w:after="0" w:line="246" w:lineRule="auto"/>
        <w:rPr>
          <w:sz w:val="20"/>
          <w:szCs w:val="20"/>
          <w:color w:val="auto"/>
        </w:rPr>
      </w:pPr>
      <w:r>
        <w:rPr>
          <w:rFonts w:ascii="Times New Roman" w:cs="Times New Roman" w:eastAsia="Times New Roman" w:hAnsi="Times New Roman"/>
          <w:sz w:val="20"/>
          <w:szCs w:val="20"/>
          <w:color w:val="auto"/>
        </w:rPr>
        <w:t>ii.Landlord shall have the remedy described in California Civil Code §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hereunder, including the right to recover all Rent as it becomes due.</w:t>
      </w:r>
    </w:p>
    <w:p>
      <w:pPr>
        <w:spacing w:after="0" w:line="185" w:lineRule="exact"/>
        <w:rPr>
          <w:sz w:val="20"/>
          <w:szCs w:val="20"/>
          <w:color w:val="auto"/>
        </w:rPr>
      </w:pPr>
    </w:p>
    <w:p>
      <w:pPr>
        <w:jc w:val="both"/>
        <w:ind w:firstLine="1082"/>
        <w:spacing w:after="0" w:line="249" w:lineRule="auto"/>
        <w:rPr>
          <w:sz w:val="20"/>
          <w:szCs w:val="20"/>
          <w:color w:val="auto"/>
        </w:rPr>
      </w:pPr>
      <w:r>
        <w:rPr>
          <w:rFonts w:ascii="Times New Roman" w:cs="Times New Roman" w:eastAsia="Times New Roman" w:hAnsi="Times New Roman"/>
          <w:sz w:val="20"/>
          <w:szCs w:val="20"/>
          <w:color w:val="auto"/>
        </w:rPr>
        <w:t xml:space="preserve">iii.Landlord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20"/>
          <w:szCs w:val="20"/>
          <w:u w:val="single" w:color="auto"/>
          <w:color w:val="auto"/>
        </w:rPr>
        <w:t>Sections 18.2.1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18.2.2</w:t>
      </w:r>
      <w:r>
        <w:rPr>
          <w:rFonts w:ascii="Times New Roman" w:cs="Times New Roman" w:eastAsia="Times New Roman" w:hAnsi="Times New Roman"/>
          <w:sz w:val="20"/>
          <w:szCs w:val="20"/>
          <w:color w:val="auto"/>
        </w:rPr>
        <w:t>, or any Law or other provision hereof), without prior demand or notice except as required by Law, to seek any declaratory, injunctive or other equitable relief, and specifically enforce this Lease, or restrain or enjoin a violation or breach of any provision hereof.</w:t>
      </w:r>
    </w:p>
    <w:p>
      <w:pPr>
        <w:spacing w:after="0" w:line="180" w:lineRule="exact"/>
        <w:rPr>
          <w:sz w:val="20"/>
          <w:szCs w:val="20"/>
          <w:color w:val="auto"/>
        </w:rPr>
      </w:pPr>
    </w:p>
    <w:p>
      <w:pPr>
        <w:jc w:val="both"/>
        <w:ind w:firstLine="1092"/>
        <w:spacing w:after="0" w:line="263" w:lineRule="auto"/>
        <w:rPr>
          <w:sz w:val="20"/>
          <w:szCs w:val="20"/>
          <w:color w:val="auto"/>
        </w:rPr>
      </w:pPr>
      <w:r>
        <w:rPr>
          <w:rFonts w:ascii="Times New Roman" w:cs="Times New Roman" w:eastAsia="Times New Roman" w:hAnsi="Times New Roman"/>
          <w:sz w:val="19"/>
          <w:szCs w:val="19"/>
          <w:color w:val="auto"/>
        </w:rPr>
        <w:t>iv.If Tenant is in Default of any of its non-monetary obligations under this Lease, Landlord shall have the right to perform such obligations. Tenant shall reimburse Landlord for the cost of such performance upon demand together with an administrative charge equal to 10% of the cost of the work performed by Landlord. The repossession or re-entering of all or any part of the Premises shall not relieve Tenant of its liabilities and obligations under this Lease. No right or remedy of Landlord shall be exclusive of any other right or remedy. Each right and remedy shall be cumulative and in addition to any other right and remedy now or subsequently available to Landlord at Law or in equity.</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as. </w:t>
      </w:r>
      <w:r>
        <w:rPr>
          <w:rFonts w:ascii="Times New Roman" w:cs="Times New Roman" w:eastAsia="Times New Roman" w:hAnsi="Times New Roman"/>
          <w:sz w:val="20"/>
          <w:szCs w:val="20"/>
          <w:b w:val="1"/>
          <w:bCs w:val="1"/>
          <w:u w:val="single" w:color="auto"/>
          <w:color w:val="auto"/>
        </w:rPr>
        <w:t>Efforts to Relet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Unless Landlord provides Tenant with express notice to the contrary, no re-entry, repossession, repair, maintenance, change, alteration, addition, reletting, appointment of a receiver or other action or omission by Landlord shall (a) be construed as an election by Landlord to terminate this Lease or Tenant’s right to possession, or to accept a surrender of the Premises, or (b) operate to release Tenant from any of its obligations hereunder. Tenant waives, for Tenant and for all those claiming by, through or under Tenant, California Civil Code § 3275, California Code of Civil Procedure §§ 1174(c) and 1179, and any existing or future rights to redeem or reinstate, by order or judgment of any court or by any legal process or writ, this Lease or Tenant’s right of occupancy of the Premises after any termination hereof.</w:t>
      </w:r>
    </w:p>
    <w:p>
      <w:pPr>
        <w:spacing w:after="0" w:line="179" w:lineRule="exact"/>
        <w:rPr>
          <w:sz w:val="20"/>
          <w:szCs w:val="20"/>
          <w:color w:val="auto"/>
        </w:rPr>
      </w:pPr>
    </w:p>
    <w:p>
      <w:pPr>
        <w:jc w:val="both"/>
        <w:ind w:firstLine="8"/>
        <w:spacing w:after="0" w:line="264" w:lineRule="auto"/>
        <w:tabs>
          <w:tab w:leader="none" w:pos="636"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LANDLORD EXCULPATION. Notwithstanding any contrary provision hereof, (a) Tenant shall look solely to Landlord’s interest in the Building for the recovery of any judgment or award against any Landlord Party; (b) no Landlord Party shall have any personal liability for any judgment or deficiency, and Tenant waives and releases such personal liability on behalf of itself and all parties claiming by, through or under Tenant; and (c) no Landlord Party shall be liable for any loss of profits, loss of rents or other revenues, loss of business opportunity, loss of goodwill or loss of use, or for any form of special, indirect or consequential damages.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type w:val="continuous"/>
        </w:sectPr>
      </w:pPr>
    </w:p>
    <w:bookmarkStart w:id="127" w:name="page128"/>
    <w:bookmarkEnd w:id="127"/>
    <w:p>
      <w:pPr>
        <w:spacing w:after="0" w:line="185" w:lineRule="exact"/>
        <w:rPr>
          <w:sz w:val="20"/>
          <w:szCs w:val="20"/>
          <w:color w:val="auto"/>
        </w:rPr>
      </w:pPr>
    </w:p>
    <w:p>
      <w:pPr>
        <w:jc w:val="both"/>
        <w:ind w:firstLine="8"/>
        <w:spacing w:after="0" w:line="243" w:lineRule="auto"/>
        <w:tabs>
          <w:tab w:leader="none" w:pos="636"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 DEPOSIT. Concurrently with its execution and delivery hereof, Tenant shall deposit with Landlord the Security Deposit, if any, as security for Tenant’s performance of its obligations hereunder. If Tenant breaches any provision hereof, Landlord may, at its option, without limiting its remedies and without notice to Tenant, apply all or part of the Security Deposit to cure such breach and compensate Landlord for any loss or damage caused by such breach, including any damage for which recovery may be made under California Civil Code § 1951.2. If Landlord so applies any portion of the Security Deposit, Tenant, within 3 days after demand therefor, shall restore the Security Deposit to its original amount. The Security Deposit is not an advance payment of Rent or measure of damages. Any unapplied portion of the Security Deposit shall be returned to Tenant within 60 days after the latest to occur of (a) the expiration of the Term, (b) Tenant’s surrender of the Premises as required hereunder, or (c) determination of the final Rent due from Tenant. Landlord shall not be required to keep the Security Deposit separate from its other accounts or pay interest on the Security Deposit.</w:t>
      </w:r>
    </w:p>
    <w:p>
      <w:pPr>
        <w:spacing w:after="0" w:line="182"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INTENTIONALLY OMITTED.</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636"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COMMUNICATIONS AND COMPUTER LINES. As used herein, “Lines” means all communications or computer wires and cables serving the Premises installed by or on behalf of Tenant after the mutual execution and delivery of this Lease. All Lines shall be (a) installed in accordance with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b w:val="1"/>
          <w:bCs w:val="1"/>
          <w:color w:val="auto"/>
        </w:rPr>
        <w:t xml:space="preserve"> and (b) clearly marked with adhesive plastic labels (or plastic tags attached to such Lines with wire) to show Tenant’s name, suite number, and the purpose of such Lines (i) every 6 feet outside the Premises (including the electrical room risers and any Common Areas), and (ii) at their termination points. Sufficient spare cables and space for additional cables shall be maintained for other occupants, as reasonably determined by Landlord. Unless otherwise notified by Landlord at least 60 days before the expiration or earlier termination hereof (provided, however, that if this Lease is terminated by Landlord based upon a Default, then such notification may be given at any time not later than ten (10) business days after the notice of termination), Tenant, at its expense and not later than the expiration or earlier termination hereof, shall remove all Lines and repair any resulting damage; provided, however, that Tenant shall not be required to remove the Lines in connection with a termination of this Lease that occurs by reason of a Casualty or a Taking. Without limiting </w:t>
      </w:r>
      <w:r>
        <w:rPr>
          <w:rFonts w:ascii="Times New Roman" w:cs="Times New Roman" w:eastAsia="Times New Roman" w:hAnsi="Times New Roman"/>
          <w:sz w:val="20"/>
          <w:szCs w:val="20"/>
          <w:b w:val="1"/>
          <w:bCs w:val="1"/>
          <w:u w:val="single" w:color="auto"/>
          <w:color w:val="auto"/>
        </w:rPr>
        <w:t>Section 2.2</w:t>
      </w:r>
      <w:r>
        <w:rPr>
          <w:rFonts w:ascii="Times New Roman" w:cs="Times New Roman" w:eastAsia="Times New Roman" w:hAnsi="Times New Roman"/>
          <w:sz w:val="20"/>
          <w:szCs w:val="20"/>
          <w:b w:val="1"/>
          <w:bCs w:val="1"/>
          <w:color w:val="auto"/>
        </w:rPr>
        <w:t xml:space="preserve">, and subject to the Rules and Regulations and </w:t>
      </w:r>
      <w:r>
        <w:rPr>
          <w:rFonts w:ascii="Times New Roman" w:cs="Times New Roman" w:eastAsia="Times New Roman" w:hAnsi="Times New Roman"/>
          <w:sz w:val="20"/>
          <w:szCs w:val="20"/>
          <w:b w:val="1"/>
          <w:bCs w:val="1"/>
          <w:u w:val="single" w:color="auto"/>
          <w:color w:val="auto"/>
        </w:rPr>
        <w:t>Sections 6.2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6.3</w:t>
      </w:r>
      <w:r>
        <w:rPr>
          <w:rFonts w:ascii="Times New Roman" w:cs="Times New Roman" w:eastAsia="Times New Roman" w:hAnsi="Times New Roman"/>
          <w:sz w:val="20"/>
          <w:szCs w:val="20"/>
          <w:b w:val="1"/>
          <w:bCs w:val="1"/>
          <w:color w:val="auto"/>
        </w:rPr>
        <w:t xml:space="preserve"> and this </w:t>
      </w:r>
      <w:r>
        <w:rPr>
          <w:rFonts w:ascii="Times New Roman" w:cs="Times New Roman" w:eastAsia="Times New Roman" w:hAnsi="Times New Roman"/>
          <w:sz w:val="20"/>
          <w:szCs w:val="20"/>
          <w:b w:val="1"/>
          <w:bCs w:val="1"/>
          <w:u w:val="single" w:color="auto"/>
          <w:color w:val="auto"/>
        </w:rPr>
        <w:t>22</w:t>
      </w:r>
      <w:r>
        <w:rPr>
          <w:rFonts w:ascii="Times New Roman" w:cs="Times New Roman" w:eastAsia="Times New Roman" w:hAnsi="Times New Roman"/>
          <w:sz w:val="20"/>
          <w:szCs w:val="20"/>
          <w:b w:val="1"/>
          <w:bCs w:val="1"/>
          <w:color w:val="auto"/>
        </w:rPr>
        <w:t>, Tenant, without charge by Landlord of any access or entry fee to Tenant or its telecom provider, may use, in common with other occupants of the Building, and for the installation, maintenance, replacement, use and removal of Lines, such raceways and risers located in the Common Areas of the Building as Landlord reasonably designates for the placement of Lines linking the Premises to any point of entry to the Building that is used, with Landlord’s prior reasonable consent, by the telecommunications provider retained by Tenant to provide telecommunications to the Premises.</w:t>
      </w:r>
    </w:p>
    <w:p>
      <w:pPr>
        <w:spacing w:after="0" w:line="193"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at.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 notice, demand, statement, designation, request, consent, approval, election or other communication given hereunder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shall be binding upon either party unless (a) it is in writing; (b) it is (i) sent by certified or registered mail, postage prepaid, return receipt requested, (ii) delivered by a nationally recognized courier service, or (iii) delivered personally; and (c) it is sent or delivered to the address set forth in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1.10</w:t>
      </w:r>
      <w:r>
        <w:rPr>
          <w:rFonts w:ascii="Times New Roman" w:cs="Times New Roman" w:eastAsia="Times New Roman" w:hAnsi="Times New Roman"/>
          <w:sz w:val="20"/>
          <w:szCs w:val="20"/>
          <w:color w:val="auto"/>
        </w:rPr>
        <w:t xml:space="preserve">, as applicable, or to such other place (other than a P.O. box) as the recipient may from time to time designate in a Notice to the other party. Any Notice shall be deemed received on the earlier of the date of actual delivery or the date on which delivery is refused, or, if Tenant is the recipient and has vacated its notice address without providing a new notice address, 3 days after the date the Notice is deposited in the U.S. mail or with a courier service as described above. No provision of this Lease requiring a particular Notice to be in writing shall limit the generality of clause (a) of the first sentence of this </w:t>
      </w:r>
      <w:r>
        <w:rPr>
          <w:rFonts w:ascii="Times New Roman" w:cs="Times New Roman" w:eastAsia="Times New Roman" w:hAnsi="Times New Roman"/>
          <w:sz w:val="20"/>
          <w:szCs w:val="20"/>
          <w:u w:val="single" w:color="auto"/>
          <w:color w:val="auto"/>
        </w:rPr>
        <w:t>Section 23.1</w:t>
      </w:r>
      <w:r>
        <w:rPr>
          <w:rFonts w:ascii="Times New Roman" w:cs="Times New Roman" w:eastAsia="Times New Roman" w:hAnsi="Times New Roman"/>
          <w:sz w:val="20"/>
          <w:szCs w:val="20"/>
          <w:color w:val="auto"/>
        </w:rPr>
        <w:t>. In addition, if the Building is closed, then notices sent during such closure may be sent via e-mail or in any other practical manner reasonably designed to ensure receipt by the intended recipient.</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au. </w:t>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either party is prevented from performing any obligation hereunder by any strike, act of God, war, terrorist act, shortage of labor or materials, governmental action or orders, civil commotion, epidemic, pandemic, public health emergency or other cause beyond such party’s reasonable control (“</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xml:space="preserve">”), such obligation shall be excused during (and any time period for the performance of such obligation shall be extended by) the period of such prevention; provided, however, that this </w:t>
      </w:r>
      <w:r>
        <w:rPr>
          <w:rFonts w:ascii="Times New Roman" w:cs="Times New Roman" w:eastAsia="Times New Roman" w:hAnsi="Times New Roman"/>
          <w:sz w:val="20"/>
          <w:szCs w:val="20"/>
          <w:u w:val="single" w:color="auto"/>
          <w:color w:val="auto"/>
        </w:rPr>
        <w:t>Section 23.2</w:t>
      </w:r>
      <w:r>
        <w:rPr>
          <w:rFonts w:ascii="Times New Roman" w:cs="Times New Roman" w:eastAsia="Times New Roman" w:hAnsi="Times New Roman"/>
          <w:sz w:val="20"/>
          <w:szCs w:val="20"/>
          <w:color w:val="auto"/>
        </w:rPr>
        <w:t xml:space="preserve"> shall not</w:t>
      </w:r>
    </w:p>
    <w:p>
      <w:pPr>
        <w:spacing w:after="0" w:line="1" w:lineRule="exact"/>
        <w:rPr>
          <w:sz w:val="20"/>
          <w:szCs w:val="20"/>
          <w:color w:val="auto"/>
        </w:rPr>
      </w:pPr>
    </w:p>
    <w:p>
      <w:pPr>
        <w:jc w:val="both"/>
        <w:ind w:firstLine="8"/>
        <w:spacing w:after="0" w:line="242" w:lineRule="auto"/>
        <w:tabs>
          <w:tab w:leader="none" w:pos="27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 Tenant to hold over in the Premises after the expiration or earlier termination hereof, or (b) excuse (or extend any time period for the performance of) (i) any obligation to remit money or deliver credit enhancement, (ii) any obligation under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23.3</w:t>
      </w:r>
      <w:r>
        <w:rPr>
          <w:rFonts w:ascii="Times New Roman" w:cs="Times New Roman" w:eastAsia="Times New Roman" w:hAnsi="Times New Roman"/>
          <w:sz w:val="20"/>
          <w:szCs w:val="20"/>
          <w:color w:val="auto"/>
        </w:rPr>
        <w:t>, or (iii) any of Tenant’s obligations whose breach would interfere with another occupant’s use, occupancy or enjoyment of its premises or the Project.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type w:val="continuous"/>
        </w:sectPr>
      </w:pPr>
    </w:p>
    <w:bookmarkStart w:id="128" w:name="page129"/>
    <w:bookmarkEnd w:id="128"/>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av. </w:t>
      </w:r>
      <w:r>
        <w:rPr>
          <w:rFonts w:ascii="Times New Roman" w:cs="Times New Roman" w:eastAsia="Times New Roman" w:hAnsi="Times New Roman"/>
          <w:sz w:val="20"/>
          <w:szCs w:val="20"/>
          <w:b w:val="1"/>
          <w:bCs w:val="1"/>
          <w:u w:val="single" w:color="auto"/>
          <w:color w:val="auto"/>
        </w:rPr>
        <w:t>Representations and Covenants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Each party (“</w:t>
      </w:r>
      <w:r>
        <w:rPr>
          <w:rFonts w:ascii="Times New Roman" w:cs="Times New Roman" w:eastAsia="Times New Roman" w:hAnsi="Times New Roman"/>
          <w:sz w:val="20"/>
          <w:szCs w:val="20"/>
          <w:b w:val="1"/>
          <w:bCs w:val="1"/>
          <w:color w:val="auto"/>
        </w:rPr>
        <w:t>Representing Party</w:t>
      </w:r>
      <w:r>
        <w:rPr>
          <w:rFonts w:ascii="Times New Roman" w:cs="Times New Roman" w:eastAsia="Times New Roman" w:hAnsi="Times New Roman"/>
          <w:sz w:val="20"/>
          <w:szCs w:val="20"/>
          <w:color w:val="auto"/>
        </w:rPr>
        <w:t>”) represents, warrants and covenants to the other party that (a) Representing Party is, and at all times during the Term will remain, duly organized, validly existing and in good standing under the Laws of the state of its formation and qualified to do business in the state or commonwealth in which the Building is located; (b) neither Representing Party’s execution of nor its performance under this Lease will cause Representing Party to be in violation of any agreement or Law; (c) Representing Party (and if Representing Party is Tenant, any guarantor hereof) has not, and at no time during the Term will have,</w:t>
      </w:r>
    </w:p>
    <w:p>
      <w:pPr>
        <w:spacing w:after="0" w:line="4" w:lineRule="exact"/>
        <w:rPr>
          <w:sz w:val="20"/>
          <w:szCs w:val="20"/>
          <w:color w:val="auto"/>
        </w:rPr>
      </w:pPr>
    </w:p>
    <w:p>
      <w:pPr>
        <w:jc w:val="both"/>
        <w:ind w:firstLine="8"/>
        <w:spacing w:after="0" w:line="252" w:lineRule="auto"/>
        <w:tabs>
          <w:tab w:leader="none" w:pos="24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made a general assignment for the benefit of creditors, (ii) filed a voluntary petition in bankruptcy or otherwise sought relief with respect to its debts under any Law relating to bankruptcy or insolvency, (iii) suffered or sought the appointment of a receiver or other similar official to take possession of all or substantially all of its assets, (iv) suffered (A) the filing by creditors of an involuntary petition in bankruptcy that is not dismissed within 30 days, or (B) the attachment or other judicial seizure of all or substantially all of its assets, (v) admitted in writing its inability to pay its debts as they come due, or (vi) made an offer of settlement, extension or composition to its creditors generally; and</w:t>
      </w:r>
    </w:p>
    <w:p>
      <w:pPr>
        <w:ind w:firstLine="8"/>
        <w:spacing w:after="0"/>
        <w:tabs>
          <w:tab w:leader="none" w:pos="31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that (other than through the passive ownership of interests traded on a recognized securities exchange) constitutes, owns, controls, or is owned or controlled by Representing Party (or if Representing Party is Tenant, by any guarantor hereof or any subtenant of Tenant) is, or at any time during the Term will be, (i) in violation of any Laws relating to terrorism or money laundering, or (ii) among the parties identified on any list compiled pursuant to Executive Order 13224 for the purpose of identifying suspected terrorists or on the most current list published by the U.S. Treasury Department Office of Foreign Assets Control at its official website, http://www.treasury.gov/resource-center/sanctions/SDN-List/Pages/default.aspx or any replacement website or other replacement official publication of such list.</w:t>
      </w:r>
    </w:p>
    <w:p>
      <w:pPr>
        <w:spacing w:after="0" w:line="18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aw. </w:t>
      </w:r>
      <w:r>
        <w:rPr>
          <w:rFonts w:ascii="Times New Roman" w:cs="Times New Roman" w:eastAsia="Times New Roman" w:hAnsi="Times New Roman"/>
          <w:sz w:val="20"/>
          <w:szCs w:val="20"/>
          <w:b w:val="1"/>
          <w:bCs w:val="1"/>
          <w:u w:val="single" w:color="auto"/>
          <w:color w:val="auto"/>
        </w:rPr>
        <w:t>Signs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include Tenant’s name in any tenant directory located in the lobby on the first floor of the Building. If any part of the Premises is located on a multi-tenant floor, Landlord, at Tenant’s cost, shall provide identifying elevator lobby signage and suite signage for Tenant comparable to that provided by Landlord on similar floors in the Building. Tenant may not install (a) any signs outside the Premises (except as provided in </w:t>
      </w:r>
      <w:r>
        <w:rPr>
          <w:rFonts w:ascii="Times New Roman" w:cs="Times New Roman" w:eastAsia="Times New Roman" w:hAnsi="Times New Roman"/>
          <w:sz w:val="20"/>
          <w:szCs w:val="20"/>
          <w:u w:val="single" w:color="auto"/>
          <w:color w:val="auto"/>
        </w:rPr>
        <w:t>Sections 8</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or (b) without Landlord’s prior consent in its sole and absolute discretion, any signs, window coverings, blinds or similar items that are visible from outside the Premises; provided, however, that the preceding clause (b) shall not prohibit Tenant from installing, pursuant to </w:t>
      </w:r>
      <w:r>
        <w:rPr>
          <w:rFonts w:ascii="Times New Roman" w:cs="Times New Roman" w:eastAsia="Times New Roman" w:hAnsi="Times New Roman"/>
          <w:sz w:val="20"/>
          <w:szCs w:val="20"/>
          <w:u w:val="single" w:color="auto"/>
          <w:color w:val="auto"/>
        </w:rPr>
        <w:t>Sections 6.2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 sign bearing Tenant’s Name (defined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in the elevator lobby of any full-floor portion of the Premises on the wall facing the elevator doors, provided that the size, color, materials and all other aspects of the such signage, including its exact location and any provisions for illumination, shall be subject to Landlord’s approval (which shall not be unreasonably withheld, except that Landlord’s approval as to aesthetic matters may be withheld in Landlord’s sole and absolute (but good faith) discretion).</w:t>
      </w:r>
    </w:p>
    <w:p>
      <w:pPr>
        <w:spacing w:after="0" w:line="18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ax. </w:t>
      </w:r>
      <w:r>
        <w:rPr>
          <w:rFonts w:ascii="Times New Roman" w:cs="Times New Roman" w:eastAsia="Times New Roman" w:hAnsi="Times New Roman"/>
          <w:sz w:val="20"/>
          <w:szCs w:val="20"/>
          <w:b w:val="1"/>
          <w:bCs w:val="1"/>
          <w:u w:val="single" w:color="auto"/>
          <w:color w:val="auto"/>
        </w:rPr>
        <w:t>Supplemental HVAC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the Premises are served by any supplemental HVAC unit (a “</w:t>
      </w:r>
      <w:r>
        <w:rPr>
          <w:rFonts w:ascii="Times New Roman" w:cs="Times New Roman" w:eastAsia="Times New Roman" w:hAnsi="Times New Roman"/>
          <w:sz w:val="20"/>
          <w:szCs w:val="20"/>
          <w:b w:val="1"/>
          <w:bCs w:val="1"/>
          <w:color w:val="auto"/>
        </w:rPr>
        <w:t>Unit</w:t>
      </w:r>
      <w:r>
        <w:rPr>
          <w:rFonts w:ascii="Times New Roman" w:cs="Times New Roman" w:eastAsia="Times New Roman" w:hAnsi="Times New Roman"/>
          <w:sz w:val="20"/>
          <w:szCs w:val="20"/>
          <w:color w:val="auto"/>
        </w:rPr>
        <w:t xml:space="preserve">”), then (a) Tenant shall pay the costs of all electricity consumed in the Unit’s operation, together with the cost of installing a meter to measure such consumption; (b) Tenant, at its expense, shall (i) operate and maintain the Unit in compliance with all applicable Laws and such reasonable rules and procedures as Landlord may impose; and (ii) keep the Unit in as good working order and condition as existed upon installation (or, if later, when Tenant took possession of the Premises), subject to normal wear and tear and damage resulting from Casualty; (c) the Unit shall become Landlord’s property upon installation and without compensation to Tenant; provided, however, that if the Unit is installed after the Commencement Date, then unless otherwise notified by Landlord at least 60 days before the expiration or earlier termination hereof (provided, however, that if this Lease is terminated by Landlord based upon a Default or by either party based upon a Casualty or a Taking, then such notification may be given at any time not later than ten (10) business days after the notice of termination), Tenant, at its expense, shall remove the Unit and repair any resulting damage (and if Tenant fails to timely perform such work, Landlord may do so at Tenant’s expense); (d) the Unit shall be deemed (i) a Leasehold Improvement (except for purposes of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and (ii) for purposes of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part of the Premises; (e) if the Unit exists on the date of mutual execution and delivery hereof, Tenant accepts the Unit in its “as is” condition, without representation or warranty as to quality, condition, fitness for use or any other matter; (f) if the Unit connects to the Building’s condenser water loop (if any), then Tenant shall pay to Landlord, as Additional Rent, Landlord’s standard one-time fee for such connection and Landlord’s standard monthly per-ton usage fee; and (g) if any portion of the Unit is located on the roof, then (i) Tenant’s access to the roof shall be subject to such reasonable rules and procedures as Landlord may impose; (ii) Tenant shall maintain the affected portion of the roof in a clean and orderly condition and shall not interfere with use of the roof by Landlord or any other tenants or licensees; and (iii) Landlord may relocate the Unit and/or temporarily interrupt its operation, without liability to Tenant, as reasonably necessary to maintain and repair the roof or otherwise operate the Building.</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ay. </w:t>
      </w:r>
      <w:r>
        <w:rPr>
          <w:rFonts w:ascii="Times New Roman" w:cs="Times New Roman" w:eastAsia="Times New Roman" w:hAnsi="Times New Roman"/>
          <w:sz w:val="20"/>
          <w:szCs w:val="20"/>
          <w:b w:val="1"/>
          <w:bCs w:val="1"/>
          <w:u w:val="single" w:color="auto"/>
          <w:color w:val="auto"/>
        </w:rPr>
        <w:t>Attorneys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Fees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any action or proceeding between the parties, including any appellate or alternative dispute resolution proceeding, the prevailing party may recover from the other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party all of its costs and expenses in connection therewith, including reasonable attorneys’ fees and costs. Tenant shall pay all reasonable attorneys’ fees and other fees and costs that Landlord incurs in protecting its rights hereunder in any bankruptcy case, assignment for the benefit of creditors, or other insolvency, liquidation or reorganization proceeding involving Tenant or this Lease.</w:t>
      </w:r>
    </w:p>
    <w:p>
      <w:pPr>
        <w:spacing w:after="0" w:line="1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az.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represents to Landlord that it has dealt only with Tenant’s Broker as its broker, agent or finder in connection with this Lease. Tenant shall indemnify, defend, and hold the Landlord Parties harmless from all claims of any brokers, agents or finders other than Tenant’s Broker, claiming to have represented Tenant in connection with this Lease. Landlord shall indemnify, defend and hold Tenant harmless from all claims of any brokers, agents or finders, including Landlord’s Broker, claiming to have represented Landlord in connection with this Lease. Tenant acknowledges that any Affiliate of Landlord that is involved in the negotiation of this Lease is representing only Landlord, and that any assistance rendered by any agent or employee of such Affiliate in connection with this Lease or any subsequent amendment or other document related hereto has been or will be rendered as an accommodation to Tenant solely in furtherance of consummating the transaction on behalf of Landlord, and not as agent for Tenant.</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ba. </w:t>
      </w:r>
      <w:r>
        <w:rPr>
          <w:rFonts w:ascii="Times New Roman" w:cs="Times New Roman" w:eastAsia="Times New Roman" w:hAnsi="Times New Roman"/>
          <w:sz w:val="20"/>
          <w:szCs w:val="20"/>
          <w:b w:val="1"/>
          <w:bCs w:val="1"/>
          <w:u w:val="single" w:color="auto"/>
          <w:color w:val="auto"/>
        </w:rPr>
        <w:t>Governing Law; WAIVER OF TRIAL BY JURY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Lease shall be construed and enforced in accordance with the Laws of the state or commonwealth in which the Building is located and Landlord and Tenant hereby irrevocably consent to the jurisdiction and proper venue of such state or commonwealth. THE PARTIES WAIVE, TO THE FULLEST EXTENT PERMITTED BY LAW, THE RIGHT TO TRIAL BY JURY IN ANY LITIGATION ARISING OUT OF OR RELATING TO THIS LEASE, THE RELATIONSHIP OF LANDLORD AND TENANT, TENANT’S USE OR OCCUPANCY OF THE PREMISES, AND/OR ANY CLAIM FOR INJURY OR DAMAGE OR ANY EMERGENCY OR STATUTORY REMEDY.</w:t>
      </w:r>
    </w:p>
    <w:p>
      <w:pPr>
        <w:spacing w:after="0" w:line="179" w:lineRule="exact"/>
        <w:rPr>
          <w:sz w:val="20"/>
          <w:szCs w:val="20"/>
          <w:color w:val="auto"/>
        </w:rPr>
      </w:pPr>
    </w:p>
    <w:p>
      <w:pPr>
        <w:jc w:val="both"/>
        <w:ind w:firstLine="656"/>
        <w:spacing w:after="0" w:line="256" w:lineRule="auto"/>
        <w:tabs>
          <w:tab w:leader="none" w:pos="1287"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capitalized term “</w:t>
      </w:r>
      <w:r>
        <w:rPr>
          <w:rFonts w:ascii="Times New Roman" w:cs="Times New Roman" w:eastAsia="Times New Roman" w:hAnsi="Times New Roman"/>
          <w:sz w:val="19"/>
          <w:szCs w:val="19"/>
          <w:b w:val="1"/>
          <w:bCs w:val="1"/>
          <w:color w:val="auto"/>
        </w:rPr>
        <w:t>Section</w:t>
      </w:r>
      <w:r>
        <w:rPr>
          <w:rFonts w:ascii="Times New Roman" w:cs="Times New Roman" w:eastAsia="Times New Roman" w:hAnsi="Times New Roman"/>
          <w:sz w:val="19"/>
          <w:szCs w:val="19"/>
          <w:color w:val="auto"/>
        </w:rPr>
        <w:t>” refers to a section hereof unless otherwise specifically provided herein.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used in this Lease, the terms “herein,” “hereof,” “hereto” and “hereunder” refer to this Lease and the term “include” and its derivatives are not limiting. Any reference herein to “any part” or “any portion” of the Premises, the Property or any other property shall be construed to refer to all or any part of such property. In connection with insurance, the term “deductible” includes self-insured retention. Wherever this Lease requires Landlord to act in a reasonable manner (whether in incurring an expense, establishing a rule or regulation, providing an approval or consent, or performing any other act), the reasonableness of such act shall be determined by reference to the practices of owners of buildings (“</w:t>
      </w:r>
      <w:r>
        <w:rPr>
          <w:rFonts w:ascii="Times New Roman" w:cs="Times New Roman" w:eastAsia="Times New Roman" w:hAnsi="Times New Roman"/>
          <w:sz w:val="19"/>
          <w:szCs w:val="19"/>
          <w:b w:val="1"/>
          <w:bCs w:val="1"/>
          <w:color w:val="auto"/>
        </w:rPr>
        <w:t>Comparable Buildings</w:t>
      </w:r>
      <w:r>
        <w:rPr>
          <w:rFonts w:ascii="Times New Roman" w:cs="Times New Roman" w:eastAsia="Times New Roman" w:hAnsi="Times New Roman"/>
          <w:sz w:val="19"/>
          <w:szCs w:val="19"/>
          <w:color w:val="auto"/>
        </w:rPr>
        <w:t>”) that (i) are comparable to the Building in size, age, class, quality and location within the Playa Vista market, and (ii) at Landlord’s option, have been, or are being prepared to be, certified under the U.S. Green Building Council’s Leadership in Energy and Environmental Design (LEED) rating system or a similar rating system. Wherever this Lease prohibits either party from engaging in any particular conduct, this Lease shall be deemed also to require such party to cause each of its employees and agents (and, in the case of Tenant, each of its licensees, invitees and subtenants, and any other party claiming by, through or under Tenant) to refrain from engaging in such conduct. Tenant waives the benefit of any rule that a written agreement shall be construed against the drafting party.</w:t>
      </w:r>
    </w:p>
    <w:p>
      <w:pPr>
        <w:spacing w:after="0" w:line="1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bc.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Lease sets forth the entire agreement between the parties relating to the subject matter hereof and supersedes any previous agreements (none of which shall be used to interpret this Lease). Tenant acknowledges that in entering into this Lease it has not relied upon any representation, warranty or statement, whether oral or written, not expressly set forth herein. This Lease can be modified only by a written agreement signed by both parties.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bd. </w:t>
      </w:r>
      <w:r>
        <w:rPr>
          <w:rFonts w:ascii="Times New Roman" w:cs="Times New Roman" w:eastAsia="Times New Roman" w:hAnsi="Times New Roman"/>
          <w:sz w:val="20"/>
          <w:szCs w:val="20"/>
          <w:b w:val="1"/>
          <w:bCs w:val="1"/>
          <w:u w:val="single" w:color="auto"/>
          <w:color w:val="auto"/>
        </w:rPr>
        <w:t>Unrelated Business Income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Landlord is advised by its counsel at any time that any part of the payments by Tenant to Landlord under this Lease may be characterized as unrelated business income under the United States Internal Revenue Code and its regulations, then Tenant shall enter into any amendment proposed by Landlord to avoid such income, so long as the amendment does not require Tenant to make more payments or accept fewer services from Landlord, than this Lease provides.</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be. </w:t>
      </w:r>
      <w:r>
        <w:rPr>
          <w:rFonts w:ascii="Times New Roman" w:cs="Times New Roman" w:eastAsia="Times New Roman" w:hAnsi="Times New Roman"/>
          <w:sz w:val="20"/>
          <w:szCs w:val="20"/>
          <w:b w:val="1"/>
          <w:bCs w:val="1"/>
          <w:u w:val="single" w:color="auto"/>
          <w:color w:val="auto"/>
        </w:rPr>
        <w:t>Financial Statements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At Landlord’s request from time to time in connection with any potential sale or financing of the Building, Tenant shall provide to Landlord (or direct Landlord to a publicly accessible source for) the then current financial statements of Tenant and any guarantor hereof.</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bf. </w:t>
      </w:r>
      <w:r>
        <w:rPr>
          <w:rFonts w:ascii="Times New Roman" w:cs="Times New Roman" w:eastAsia="Times New Roman" w:hAnsi="Times New Roman"/>
          <w:sz w:val="20"/>
          <w:szCs w:val="20"/>
          <w:b w:val="1"/>
          <w:bCs w:val="1"/>
          <w:u w:val="single" w:color="auto"/>
          <w:color w:val="auto"/>
        </w:rPr>
        <w:t>Other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any provision hereof is void or unenforceable, no other provision shall be affected. Submission of this instrument for examination or signature by Tenant does not constitute an option or offer to lease. If Tenant is comprised of two or more persons or entities, then (a) their obligations shall be joint and several, (b) any request or demand from any one such person or entity shall be deemed to have been made by all such persons or entities; and (c) any notice given to any one such person or entity shall be deemed to have been given to all such persons or entities. Time is of the essence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with respect to the payment of Rent and Tenant’s exercise of any expansion, renewal or extension rights granted to Tenant. So long as Tenant performs its obligations hereunder, Tenant shall have peaceful and quiet possession of the Premises against any party claiming by, through or under Landlord, subject to the terms hereof. This covenant shall be binding upon Landlord and its successors only during its or their respective periods of ownership of the Building. Landlord may transfer its interest herein, in which event (a) to the extent the transferee assumes in writing Landlord’s obligations arising hereunder after the date of such transfer (including the return of any Security Deposit), Landlord shall be released from, and Tenant shall look solely to the transferee for the performance of, such obligations; and (b) Tenant shall attorn to the transferee. Landlord reserves all rights not expressly granted to Tenant hereunder, including the right to make alterations to the Project. No rights to any view or to light or air over any property are granted to Tenant hereunder. The expiration or earlier termination hereof shall not relieve either party of any obligation that accrued before, or continues to accrue after, such expiration or termination. To the extent permitted by applicable Law, this Lease may be executed in counterparts and/or executed and/or transmitted by electronic means.</w:t>
      </w:r>
    </w:p>
    <w:p>
      <w:pPr>
        <w:spacing w:after="0" w:line="177" w:lineRule="exact"/>
        <w:rPr>
          <w:sz w:val="20"/>
          <w:szCs w:val="20"/>
          <w:color w:val="auto"/>
        </w:rPr>
      </w:pPr>
    </w:p>
    <w:p>
      <w:pPr>
        <w:ind w:left="660"/>
        <w:spacing w:after="0"/>
        <w:tabs>
          <w:tab w:leader="none" w:pos="1280" w:val="left"/>
          <w:tab w:leader="none" w:pos="5700" w:val="left"/>
        </w:tabs>
        <w:rPr>
          <w:sz w:val="20"/>
          <w:szCs w:val="20"/>
          <w:color w:val="auto"/>
        </w:rPr>
      </w:pPr>
      <w:r>
        <w:rPr>
          <w:rFonts w:ascii="Times New Roman" w:cs="Times New Roman" w:eastAsia="Times New Roman" w:hAnsi="Times New Roman"/>
          <w:sz w:val="20"/>
          <w:szCs w:val="20"/>
          <w:color w:val="auto"/>
        </w:rPr>
        <w:t>bg.</w:t>
      </w:r>
      <w:r>
        <w:rPr>
          <w:sz w:val="20"/>
          <w:szCs w:val="20"/>
          <w:color w:val="auto"/>
        </w:rPr>
        <w:tab/>
      </w:r>
      <w:r>
        <w:rPr>
          <w:rFonts w:ascii="Times New Roman" w:cs="Times New Roman" w:eastAsia="Times New Roman" w:hAnsi="Times New Roman"/>
          <w:sz w:val="20"/>
          <w:szCs w:val="20"/>
          <w:b w:val="1"/>
          <w:bCs w:val="1"/>
          <w:u w:val="single" w:color="auto"/>
          <w:color w:val="auto"/>
        </w:rPr>
        <w:t>Waiver of Statutory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party waives</w:t>
      </w:r>
      <w:r>
        <w:rPr>
          <w:sz w:val="20"/>
          <w:szCs w:val="20"/>
          <w:color w:val="auto"/>
        </w:rPr>
        <w:tab/>
      </w:r>
      <w:r>
        <w:rPr>
          <w:rFonts w:ascii="Times New Roman" w:cs="Times New Roman" w:eastAsia="Times New Roman" w:hAnsi="Times New Roman"/>
          <w:sz w:val="20"/>
          <w:szCs w:val="20"/>
          <w:color w:val="auto"/>
        </w:rPr>
        <w:t>California Civil Code §§ 1932(2), 1933(4) and 1945. Tenant waives</w:t>
      </w:r>
    </w:p>
    <w:p>
      <w:pPr>
        <w:spacing w:after="0" w:line="26" w:lineRule="exact"/>
        <w:rPr>
          <w:sz w:val="20"/>
          <w:szCs w:val="20"/>
          <w:color w:val="auto"/>
        </w:rPr>
      </w:pPr>
    </w:p>
    <w:p>
      <w:pPr>
        <w:ind w:right="20" w:firstLine="8"/>
        <w:spacing w:after="0" w:line="246" w:lineRule="auto"/>
        <w:tabs>
          <w:tab w:leader="none" w:pos="31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under (i) California Civil Code §§ 1932(1), 1941, 1942, 1950.7 or any similar Law, or (ii) California Code of Civil Procedure §§ 1263.260 or 1265.130; and (b) any right to terminate this Lease under California Civil Code § 1995 310.</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bh. </w:t>
      </w:r>
      <w:r>
        <w:rPr>
          <w:rFonts w:ascii="Times New Roman" w:cs="Times New Roman" w:eastAsia="Times New Roman" w:hAnsi="Times New Roman"/>
          <w:sz w:val="20"/>
          <w:szCs w:val="20"/>
          <w:b w:val="1"/>
          <w:bCs w:val="1"/>
          <w:u w:val="single" w:color="auto"/>
          <w:color w:val="auto"/>
        </w:rPr>
        <w:t>Tax Waiver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waives all rights pursuant to all Laws to contest any taxes or other levies or protest appraised values or receive notice of reappraisal regarding the Property (including Landlord’s personalty), irrespective of whether Landlord contests same.</w:t>
      </w:r>
    </w:p>
    <w:p>
      <w:pPr>
        <w:spacing w:after="0" w:line="15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bi. </w:t>
      </w:r>
      <w:r>
        <w:rPr>
          <w:rFonts w:ascii="Times New Roman" w:cs="Times New Roman" w:eastAsia="Times New Roman" w:hAnsi="Times New Roman"/>
          <w:sz w:val="20"/>
          <w:szCs w:val="20"/>
          <w:b w:val="1"/>
          <w:bCs w:val="1"/>
          <w:u w:val="single" w:color="auto"/>
          <w:color w:val="auto"/>
        </w:rPr>
        <w:t>Underlying Documents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agrees that (i) Tenant’s rights under this Lease are subject to the Underlying Documents (defined below), (ii) Tenant shall not cause Landlord to be in breach of the Underlying Documents, and (iii) to the extent applicable to Tenant’s use and occupancy of the Premises and/or Tenant’s use of the Building and the Common Areas, Tenant shall comply with the terms of the Underlying Documents at its sole cost and expense. As used herein, “</w:t>
      </w:r>
      <w:r>
        <w:rPr>
          <w:rFonts w:ascii="Times New Roman" w:cs="Times New Roman" w:eastAsia="Times New Roman" w:hAnsi="Times New Roman"/>
          <w:sz w:val="20"/>
          <w:szCs w:val="20"/>
          <w:b w:val="1"/>
          <w:bCs w:val="1"/>
          <w:color w:val="auto"/>
        </w:rPr>
        <w:t>Underlying Documents</w:t>
      </w:r>
      <w:r>
        <w:rPr>
          <w:rFonts w:ascii="Times New Roman" w:cs="Times New Roman" w:eastAsia="Times New Roman" w:hAnsi="Times New Roman"/>
          <w:sz w:val="20"/>
          <w:szCs w:val="20"/>
          <w:color w:val="auto"/>
        </w:rPr>
        <w:t>” means the CC&amp;Rs (defined below) and any other covenants, conditions restrictions and other documents of record applicable to the Project (except for any Security Agreement, which agreements are addressed elsewhere in this Lease). As used herein, “</w:t>
      </w:r>
      <w:r>
        <w:rPr>
          <w:rFonts w:ascii="Times New Roman" w:cs="Times New Roman" w:eastAsia="Times New Roman" w:hAnsi="Times New Roman"/>
          <w:sz w:val="20"/>
          <w:szCs w:val="20"/>
          <w:b w:val="1"/>
          <w:bCs w:val="1"/>
          <w:color w:val="auto"/>
        </w:rPr>
        <w:t>CC&amp;Rs</w:t>
      </w:r>
      <w:r>
        <w:rPr>
          <w:rFonts w:ascii="Times New Roman" w:cs="Times New Roman" w:eastAsia="Times New Roman" w:hAnsi="Times New Roman"/>
          <w:sz w:val="20"/>
          <w:szCs w:val="20"/>
          <w:color w:val="auto"/>
        </w:rPr>
        <w:t>” means that certain Agreement and Declaration of Covenants, Conditions and Restrictions for Howard Hughes Center, dated March 17, 1993, which was recorded in the Official Records of Los Angeles County, California on June 24, 1993, as Instrument No. 93 1210312 (the “</w:t>
      </w:r>
      <w:r>
        <w:rPr>
          <w:rFonts w:ascii="Times New Roman" w:cs="Times New Roman" w:eastAsia="Times New Roman" w:hAnsi="Times New Roman"/>
          <w:sz w:val="20"/>
          <w:szCs w:val="20"/>
          <w:b w:val="1"/>
          <w:bCs w:val="1"/>
          <w:color w:val="auto"/>
        </w:rPr>
        <w:t>Declaration</w:t>
      </w:r>
      <w:r>
        <w:rPr>
          <w:rFonts w:ascii="Times New Roman" w:cs="Times New Roman" w:eastAsia="Times New Roman" w:hAnsi="Times New Roman"/>
          <w:sz w:val="20"/>
          <w:szCs w:val="20"/>
          <w:color w:val="auto"/>
        </w:rPr>
        <w:t>”), as amended. As used herein, “</w:t>
      </w:r>
      <w:r>
        <w:rPr>
          <w:rFonts w:ascii="Times New Roman" w:cs="Times New Roman" w:eastAsia="Times New Roman" w:hAnsi="Times New Roman"/>
          <w:sz w:val="20"/>
          <w:szCs w:val="20"/>
          <w:b w:val="1"/>
          <w:bCs w:val="1"/>
          <w:color w:val="auto"/>
        </w:rPr>
        <w:t>Governing Documents</w:t>
      </w:r>
      <w:r>
        <w:rPr>
          <w:rFonts w:ascii="Times New Roman" w:cs="Times New Roman" w:eastAsia="Times New Roman" w:hAnsi="Times New Roman"/>
          <w:sz w:val="20"/>
          <w:szCs w:val="20"/>
          <w:color w:val="auto"/>
        </w:rPr>
        <w:t>” means shall mean and refer to the Declaration and, all as more particularly defined in the Declaration, the Articles, the Bylaws, the Rules, the Design Guidelines, the Improvements Maintenance Standards and any other documents governing the operation of the Association, the use of the Lots or the Common Area, or the maintenance and repair of the Lots and Improvements, as from time to time amended, modified or supplemented. Without limiting the foregoing, (a) this Lease is subject in all respects to the Governing Documents, (b) any failure of Tenant to comply with each of the provisions of the Governing Documents shall constitute a failure of Tenant comply with a covenant under this Lease; (c) Tenant acknowledges that each Building within the Project must employ a person to act as a transportation coordinator under the Transportation Demand Management Program (“</w:t>
      </w:r>
      <w:r>
        <w:rPr>
          <w:rFonts w:ascii="Times New Roman" w:cs="Times New Roman" w:eastAsia="Times New Roman" w:hAnsi="Times New Roman"/>
          <w:sz w:val="20"/>
          <w:szCs w:val="20"/>
          <w:b w:val="1"/>
          <w:bCs w:val="1"/>
          <w:color w:val="auto"/>
        </w:rPr>
        <w:t>TDM</w:t>
      </w:r>
      <w:r>
        <w:rPr>
          <w:rFonts w:ascii="Times New Roman" w:cs="Times New Roman" w:eastAsia="Times New Roman" w:hAnsi="Times New Roman"/>
          <w:sz w:val="20"/>
          <w:szCs w:val="20"/>
          <w:color w:val="auto"/>
        </w:rPr>
        <w:t>”), as defined in the CC&amp;Rs), and that the cost of such employee shall be included in Expenses; (d) Tenant must develop an active recycling program to reduce solid waste, and must participate in any such program developed by Declarant, the Association, the Owners (each as defined in the CC&amp;Rs), or any local municipalities or governmental agencies; (e) Tenant agrees that it will use its best efforts to cooperate in programs which may be undertaken by Landlord independently, or in cooperation with local municipalities or governmental agencies or other property owners in the vicinity of Playa District (formerly known as Howard Hughes Center), to reduce peak levels of commuter traffic. Such programs may include, but shall not be 1imited to, carpools, vanpools and other ride sharing programs, public and private transit, and flexible work hours. In addition, Tenant shall not permit any use of the Premises to cause or produce a nuisance or disturbance to any individual, partnership, corporation, trust, estate or other legal entity and activities on other portions of the Project and the public streets, including, but not limited to, vibration, sound, odor, electro-mechanical disturbance and radiation, electromagnetic disturbance and radiation, air or water pollution, dust and emission of odorous, toxic or non-toxic matter.</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 ARE ON THE FOLLOWING PAGE]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Landlord and Tenant have caused this Lease to be executed the day and date first above written.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25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LANDLORD:</w:t>
      </w:r>
    </w:p>
    <w:p>
      <w:pPr>
        <w:spacing w:after="0" w:line="200" w:lineRule="exact"/>
        <w:rPr>
          <w:sz w:val="20"/>
          <w:szCs w:val="20"/>
          <w:color w:val="auto"/>
        </w:rPr>
      </w:pPr>
    </w:p>
    <w:p>
      <w:pPr>
        <w:spacing w:after="0" w:line="34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b w:val="1"/>
          <w:bCs w:val="1"/>
          <w:color w:val="auto"/>
        </w:rPr>
        <w:t>BRE HH PROPERTY OWNER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60"/>
        <w:spacing w:after="0"/>
        <w:tabs>
          <w:tab w:leader="none" w:pos="3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_________/s/Spencer Rose__________________</w:t>
      </w:r>
    </w:p>
    <w:p>
      <w:pPr>
        <w:spacing w:after="0" w:line="21" w:lineRule="exact"/>
        <w:rPr>
          <w:sz w:val="20"/>
          <w:szCs w:val="20"/>
          <w:color w:val="auto"/>
        </w:rPr>
      </w:pPr>
    </w:p>
    <w:p>
      <w:pPr>
        <w:ind w:left="3060"/>
        <w:spacing w:after="0"/>
        <w:tabs>
          <w:tab w:leader="none" w:pos="37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__________Spencer Rose____________</w:t>
      </w:r>
    </w:p>
    <w:p>
      <w:pPr>
        <w:ind w:left="3060"/>
        <w:spacing w:after="0"/>
        <w:tabs>
          <w:tab w:leader="none" w:pos="3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___________Managing Director____________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TENANT:</w:t>
      </w:r>
    </w:p>
    <w:p>
      <w:pPr>
        <w:spacing w:after="0" w:line="3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MAGNITE, INC., a Delaware corporation</w:t>
      </w:r>
    </w:p>
    <w:p>
      <w:pPr>
        <w:spacing w:after="0" w:line="200" w:lineRule="exact"/>
        <w:rPr>
          <w:sz w:val="20"/>
          <w:szCs w:val="20"/>
          <w:color w:val="auto"/>
        </w:rPr>
      </w:pPr>
    </w:p>
    <w:p>
      <w:pPr>
        <w:spacing w:after="0" w:line="261" w:lineRule="exact"/>
        <w:rPr>
          <w:sz w:val="20"/>
          <w:szCs w:val="20"/>
          <w:color w:val="auto"/>
        </w:rPr>
      </w:pPr>
    </w:p>
    <w:p>
      <w:pPr>
        <w:ind w:left="3060"/>
        <w:spacing w:after="0"/>
        <w:tabs>
          <w:tab w:leader="none" w:pos="3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________/s/ David Day_____________</w:t>
      </w:r>
    </w:p>
    <w:p>
      <w:pPr>
        <w:spacing w:after="0" w:line="21" w:lineRule="exact"/>
        <w:rPr>
          <w:sz w:val="20"/>
          <w:szCs w:val="20"/>
          <w:color w:val="auto"/>
        </w:rPr>
      </w:pPr>
    </w:p>
    <w:p>
      <w:pPr>
        <w:ind w:left="3060"/>
        <w:spacing w:after="0"/>
        <w:tabs>
          <w:tab w:leader="none" w:pos="37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_______David Day________________</w:t>
      </w:r>
    </w:p>
    <w:p>
      <w:pPr>
        <w:ind w:left="3060"/>
        <w:spacing w:after="0"/>
        <w:tabs>
          <w:tab w:leader="none" w:pos="3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_______Chief Financial Officer _________</w:t>
      </w:r>
    </w:p>
    <w:p>
      <w:pPr>
        <w:spacing w:after="0" w:line="194" w:lineRule="exact"/>
        <w:rPr>
          <w:sz w:val="20"/>
          <w:szCs w:val="20"/>
          <w:color w:val="auto"/>
        </w:rPr>
      </w:pPr>
    </w:p>
    <w:p>
      <w:pPr>
        <w:ind w:left="3060"/>
        <w:spacing w:after="0"/>
        <w:tabs>
          <w:tab w:leader="none" w:pos="3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________/s/ Aaron Saltz_____________</w:t>
      </w:r>
    </w:p>
    <w:p>
      <w:pPr>
        <w:spacing w:after="0" w:line="21" w:lineRule="exact"/>
        <w:rPr>
          <w:sz w:val="20"/>
          <w:szCs w:val="20"/>
          <w:color w:val="auto"/>
        </w:rPr>
      </w:pPr>
    </w:p>
    <w:p>
      <w:pPr>
        <w:ind w:left="3060"/>
        <w:spacing w:after="0"/>
        <w:tabs>
          <w:tab w:leader="none" w:pos="37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_______Aaron Saltz</w:t>
      </w:r>
    </w:p>
    <w:p>
      <w:pPr>
        <w:ind w:left="3060"/>
        <w:spacing w:after="0"/>
        <w:tabs>
          <w:tab w:leader="none" w:pos="3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_______General Counsel 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440"/>
          </w:cols>
          <w:pgMar w:left="1440" w:top="1440" w:right="10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PLAYA DISTRICT, 6080 CENTER DRIVE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OUTLINE OF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w:t>
      </w:r>
    </w:p>
    <w:p>
      <w:pPr>
        <w:sectPr>
          <w:pgSz w:w="11900" w:h="16838" w:orient="portrait"/>
          <w:cols w:equalWidth="0" w:num="1">
            <w:col w:w="9019"/>
          </w:cols>
          <w:pgMar w:left="1440" w:top="1409"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EXPENSES AND TAXES</w:t>
      </w:r>
    </w:p>
    <w:p>
      <w:pPr>
        <w:spacing w:after="0" w:line="200" w:lineRule="exact"/>
        <w:rPr>
          <w:sz w:val="20"/>
          <w:szCs w:val="20"/>
          <w:color w:val="auto"/>
        </w:rPr>
      </w:pPr>
    </w:p>
    <w:p>
      <w:pPr>
        <w:spacing w:after="0" w:line="259" w:lineRule="exact"/>
        <w:rPr>
          <w:sz w:val="20"/>
          <w:szCs w:val="20"/>
          <w:color w:val="auto"/>
        </w:rPr>
      </w:pPr>
    </w:p>
    <w:p>
      <w:pPr>
        <w:jc w:val="both"/>
        <w:ind w:firstLine="8"/>
        <w:spacing w:after="0" w:line="245" w:lineRule="auto"/>
        <w:tabs>
          <w:tab w:leader="none" w:pos="6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 Terms</w:t>
      </w:r>
      <w:r>
        <w:rPr>
          <w:rFonts w:ascii="Times New Roman" w:cs="Times New Roman" w:eastAsia="Times New Roman" w:hAnsi="Times New Roman"/>
          <w:sz w:val="20"/>
          <w:szCs w:val="20"/>
          <w:color w:val="auto"/>
        </w:rPr>
        <w:t>. In addition to Base Rent, Tenant shall pay,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Lease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each Expense Year (defined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below), an amount equal to the sum of (a) Tenant’s Share of any amount (the “</w:t>
      </w:r>
      <w:r>
        <w:rPr>
          <w:rFonts w:ascii="Times New Roman" w:cs="Times New Roman" w:eastAsia="Times New Roman" w:hAnsi="Times New Roman"/>
          <w:sz w:val="20"/>
          <w:szCs w:val="20"/>
          <w:b w:val="1"/>
          <w:bCs w:val="1"/>
          <w:color w:val="auto"/>
        </w:rPr>
        <w:t>Expense Excess</w:t>
      </w:r>
      <w:r>
        <w:rPr>
          <w:rFonts w:ascii="Times New Roman" w:cs="Times New Roman" w:eastAsia="Times New Roman" w:hAnsi="Times New Roman"/>
          <w:sz w:val="20"/>
          <w:szCs w:val="20"/>
          <w:color w:val="auto"/>
        </w:rPr>
        <w:t>”) by which Expenses for such Expense Year exceed Expenses for the Base Year, plus (b) Tenant’s Share of any amount (the “</w:t>
      </w:r>
      <w:r>
        <w:rPr>
          <w:rFonts w:ascii="Times New Roman" w:cs="Times New Roman" w:eastAsia="Times New Roman" w:hAnsi="Times New Roman"/>
          <w:sz w:val="20"/>
          <w:szCs w:val="20"/>
          <w:b w:val="1"/>
          <w:bCs w:val="1"/>
          <w:color w:val="auto"/>
        </w:rPr>
        <w:t>Tax Excess</w:t>
      </w:r>
      <w:r>
        <w:rPr>
          <w:rFonts w:ascii="Times New Roman" w:cs="Times New Roman" w:eastAsia="Times New Roman" w:hAnsi="Times New Roman"/>
          <w:sz w:val="20"/>
          <w:szCs w:val="20"/>
          <w:color w:val="auto"/>
        </w:rPr>
        <w:t>”) by which Taxes for such Expense Year exceed Taxes for the Base Year. No decrease in Expenses or Taxes for any Expense Year below the corresponding amount for the Base Year shall entitle Tenant to any decrease in Base Rent or any credit against amounts due hereunder. Tenant’s Share of the Expense Excess and Tenant’s Share of the Tax Excess for any partial Expense Year shall be prorated based on the number of days in such Expense Year.</w:t>
      </w:r>
    </w:p>
    <w:p>
      <w:pPr>
        <w:spacing w:after="0" w:line="19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656"/>
        <w:spacing w:after="0" w:line="273" w:lineRule="auto"/>
        <w:tabs>
          <w:tab w:leader="none" w:pos="128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Expense Year</w:t>
      </w:r>
      <w:r>
        <w:rPr>
          <w:rFonts w:ascii="Times New Roman" w:cs="Times New Roman" w:eastAsia="Times New Roman" w:hAnsi="Times New Roman"/>
          <w:sz w:val="20"/>
          <w:szCs w:val="20"/>
          <w:color w:val="auto"/>
        </w:rPr>
        <w:t>” means each calendar year (other than the Base Year and any preceding calendar year) in which any portion of the Term occurs.</w:t>
      </w:r>
    </w:p>
    <w:p>
      <w:pPr>
        <w:spacing w:after="0" w:line="165" w:lineRule="exact"/>
        <w:rPr>
          <w:rFonts w:ascii="Times New Roman" w:cs="Times New Roman" w:eastAsia="Times New Roman" w:hAnsi="Times New Roman"/>
          <w:sz w:val="20"/>
          <w:szCs w:val="20"/>
          <w:color w:val="auto"/>
        </w:rPr>
      </w:pPr>
    </w:p>
    <w:p>
      <w:pPr>
        <w:jc w:val="both"/>
        <w:ind w:firstLine="656"/>
        <w:spacing w:after="0" w:line="241" w:lineRule="auto"/>
        <w:tabs>
          <w:tab w:leader="none" w:pos="129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means all expenses, costs and amounts that Landlord pays or accrues during the Base Year or any Expense Year because of or in connection with the management, maintenance, security, repair, replacement, restoration or operation of the Property. Landlord shall act in a reasonable manner in incurring Expenses. Expenses shall include (i) the cost of supplying all utilities (and taxes and surcharges thereon), the cost of operating, repairing, maintaining and renovating the utility, telephone, mechanical, sanitary, storm-drainage, and elevator systems, and the cost of maintenance and service contracts in connection therewith; (ii) the cost of licenses, certificates, permits and inspections, the cost of contesting any Laws that may affect Expenses, and the costs of complying with any business improvement district, governmentally-mandated transportation-management or similar program; (iii) the cost of all insurance premiums and deductibles; (iv) the cost of landscaping and relamping and the cost of painting and/or decorating all areas of the Building not demised to tenants; (v) the cost of parking-area operation, repair, restoration, and maintenance; (vi) a management fee in the amount (which is hereby acknowledged to be reasonable) of 3% of gross annual receipts from the Building (excluding the management fee), together with other fees and costs, including consulting fees, legal fees and accounting fees, of all contractors and consultants in connection with the management, operation, maintenance and repair of the Property; (vii) the fair rental value of any management office space and the cost of equipping, staffing and operating an on-site and/or off-site management office for the Building; (viii) wages, salaries and other compensation, expenses and benefits, including taxes levied thereon, of all persons engaged in the operation, maintenance and security of the Property, and costs of training and uniforms for such persons; (ix) the costs of operation, repair, maintenance and replacement of all systems and equipment (and components thereof) of the Property; (x) the cost of janitorial, alarm, security and other services, replacement of wall and floor coverings, ceiling tiles and fixtures in Common Areas, maintenance and replacement of curbs and walkways, repair to roofs and re-roofing; (xi) the cost of services generally provided to or made available to all tenants at the Building; (xii) rental or acquisition costs (including taxes thereon) of supplies, tools, equipment, materials and personal property used in the maintenance, operation and repair of the Property; (xiii) any capital expenditure that is (A) intended to reduce current or future Expenses (an “</w:t>
      </w:r>
      <w:r>
        <w:rPr>
          <w:rFonts w:ascii="Times New Roman" w:cs="Times New Roman" w:eastAsia="Times New Roman" w:hAnsi="Times New Roman"/>
          <w:sz w:val="20"/>
          <w:szCs w:val="20"/>
          <w:b w:val="1"/>
          <w:bCs w:val="1"/>
          <w:color w:val="auto"/>
        </w:rPr>
        <w:t>Expense Savings Capital Expenditure</w:t>
      </w:r>
      <w:r>
        <w:rPr>
          <w:rFonts w:ascii="Times New Roman" w:cs="Times New Roman" w:eastAsia="Times New Roman" w:hAnsi="Times New Roman"/>
          <w:sz w:val="20"/>
          <w:szCs w:val="20"/>
          <w:color w:val="auto"/>
        </w:rPr>
        <w:t>”), or (B) required under any Law (except to the extent that such Law was in effect and required such capital expenditure before the date hereof) (a “</w:t>
      </w:r>
      <w:r>
        <w:rPr>
          <w:rFonts w:ascii="Times New Roman" w:cs="Times New Roman" w:eastAsia="Times New Roman" w:hAnsi="Times New Roman"/>
          <w:sz w:val="20"/>
          <w:szCs w:val="20"/>
          <w:b w:val="1"/>
          <w:bCs w:val="1"/>
          <w:color w:val="auto"/>
        </w:rPr>
        <w:t>Legally Required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Expenditure</w:t>
      </w:r>
      <w:r>
        <w:rPr>
          <w:rFonts w:ascii="Times New Roman" w:cs="Times New Roman" w:eastAsia="Times New Roman" w:hAnsi="Times New Roman"/>
          <w:sz w:val="20"/>
          <w:szCs w:val="20"/>
          <w:color w:val="auto"/>
        </w:rPr>
        <w:t>”); and (xiv) payments under any existing or future reciprocal easement agreement, transportation management agreement, cost-sharing agreement or other covenant, condition, restriction or similar instrument affecting the Property.</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Notwithstanding the foregoing, Expenses shall not include:</w:t>
      </w:r>
    </w:p>
    <w:p>
      <w:pPr>
        <w:spacing w:after="0" w:line="216" w:lineRule="exact"/>
        <w:rPr>
          <w:sz w:val="20"/>
          <w:szCs w:val="20"/>
          <w:color w:val="auto"/>
        </w:rPr>
      </w:pPr>
    </w:p>
    <w:p>
      <w:pPr>
        <w:jc w:val="both"/>
        <w:ind w:firstLine="1192"/>
        <w:spacing w:after="0" w:line="244" w:lineRule="auto"/>
        <w:rPr>
          <w:sz w:val="20"/>
          <w:szCs w:val="20"/>
          <w:color w:val="auto"/>
        </w:rPr>
      </w:pPr>
      <w:r>
        <w:rPr>
          <w:rFonts w:ascii="Times New Roman" w:cs="Times New Roman" w:eastAsia="Times New Roman" w:hAnsi="Times New Roman"/>
          <w:sz w:val="20"/>
          <w:szCs w:val="20"/>
          <w:color w:val="auto"/>
        </w:rPr>
        <w:t>i.capital expenditures not described in clauses (xii) or (xiii) above (in addition, any capital expenditure described in clauses (xii) or (xiii) above shall be included in Expenses only if paid or accrued after the Base Year and shall be amortized including actual or imputed interest on the amortized cost over the lesser of (i) the useful life of the item purchased through such capital expenditure, as reasonably determined by Landlord, or (ii) the period of time that Landlord reasonably estimates will be required for any Expense savings resulting from such capital expenditure to equal such capital expenditure; provided, however, that any capital expenditure that is included in Expenses solely on the grounds that it is intended to reduce current or future Expenses shall be so amortized over the period of time described in the preceding clause (ii));</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 - 1</w:t>
      </w:r>
    </w:p>
    <w:p>
      <w:pPr>
        <w:sectPr>
          <w:pgSz w:w="11900" w:h="16838" w:orient="portrait"/>
          <w:cols w:equalWidth="0" w:num="1">
            <w:col w:w="11240"/>
          </w:cols>
          <w:pgMar w:left="320" w:top="1409" w:right="339" w:bottom="1440" w:gutter="0" w:footer="0" w:header="0"/>
          <w:type w:val="continuous"/>
        </w:sectPr>
      </w:pPr>
    </w:p>
    <w:bookmarkStart w:id="134" w:name="page135"/>
    <w:bookmarkEnd w:id="134"/>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ii.depreciation;</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iii.payments of mortgage or other non-operating debts of Landlord;</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iv.costs of repairs to the extent Landlord is reimbursed by insurance or condemnation proceeds;</w:t>
      </w:r>
    </w:p>
    <w:p>
      <w:pPr>
        <w:spacing w:after="0" w:line="229" w:lineRule="exact"/>
        <w:rPr>
          <w:sz w:val="20"/>
          <w:szCs w:val="20"/>
          <w:color w:val="auto"/>
        </w:rPr>
      </w:pPr>
    </w:p>
    <w:p>
      <w:pPr>
        <w:jc w:val="both"/>
        <w:ind w:firstLine="1147"/>
        <w:spacing w:after="0" w:line="249" w:lineRule="auto"/>
        <w:rPr>
          <w:sz w:val="20"/>
          <w:szCs w:val="20"/>
          <w:color w:val="auto"/>
        </w:rPr>
      </w:pPr>
      <w:r>
        <w:rPr>
          <w:rFonts w:ascii="Times New Roman" w:cs="Times New Roman" w:eastAsia="Times New Roman" w:hAnsi="Times New Roman"/>
          <w:sz w:val="20"/>
          <w:szCs w:val="20"/>
          <w:color w:val="auto"/>
        </w:rPr>
        <w:t>v.costs of leasing space in the Building, including marketing costs, legal fees, space planners’ fees, advertising and promotional expenses, brokerage commissions, lease concessions, rental abatements, construction allowances granted to specific tenants, permit, license and inspection costs, incurred with respect to the installation of tenant improvements in the Project or incurred in renovating or otherwise improving, decorating, painting or redecorating vacant space for tenants or other occupants of the Project;</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vi.costs of selling, financing or refinancing the Building;</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vii.fines, penalties or interest resulting from late payment of Taxes or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viii.organizational expenses of creating or operating the entity that constitutes Landlord;</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ix.damages paid to Tenant hereunder or to other tenants of the Building under their respective leases;</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x.costs of curing defects in design or original construction of the Property;</w:t>
      </w:r>
    </w:p>
    <w:p>
      <w:pPr>
        <w:spacing w:after="0" w:line="239" w:lineRule="exact"/>
        <w:rPr>
          <w:sz w:val="20"/>
          <w:szCs w:val="20"/>
          <w:color w:val="auto"/>
        </w:rPr>
      </w:pPr>
    </w:p>
    <w:p>
      <w:pPr>
        <w:jc w:val="both"/>
        <w:ind w:firstLine="1092"/>
        <w:spacing w:after="0" w:line="247" w:lineRule="auto"/>
        <w:rPr>
          <w:sz w:val="20"/>
          <w:szCs w:val="20"/>
          <w:color w:val="auto"/>
        </w:rPr>
      </w:pPr>
      <w:r>
        <w:rPr>
          <w:rFonts w:ascii="Times New Roman" w:cs="Times New Roman" w:eastAsia="Times New Roman" w:hAnsi="Times New Roman"/>
          <w:sz w:val="20"/>
          <w:szCs w:val="20"/>
          <w:color w:val="auto"/>
        </w:rPr>
        <w:t>xi.wages, salaries, fees or fringe benefits (“</w:t>
      </w:r>
      <w:r>
        <w:rPr>
          <w:rFonts w:ascii="Times New Roman" w:cs="Times New Roman" w:eastAsia="Times New Roman" w:hAnsi="Times New Roman"/>
          <w:sz w:val="20"/>
          <w:szCs w:val="20"/>
          <w:b w:val="1"/>
          <w:bCs w:val="1"/>
          <w:color w:val="auto"/>
        </w:rPr>
        <w:t>Labor Costs</w:t>
      </w:r>
      <w:r>
        <w:rPr>
          <w:rFonts w:ascii="Times New Roman" w:cs="Times New Roman" w:eastAsia="Times New Roman" w:hAnsi="Times New Roman"/>
          <w:sz w:val="20"/>
          <w:szCs w:val="20"/>
          <w:color w:val="auto"/>
        </w:rPr>
        <w:t>”) paid to Landlord’s personnel above the level of general manager or property manager (provided, however, that if such individuals provide services directly related to the operation, maintenance or ownership of the Property that, if provided directly by a general manager or property manager or his or her general support staff, would normally be chargeable as an operating expense of a comparable office building, then the Labor Costs of such individuals may be included in Expenses to the extent of the percentage of their time that is spent providing such services to the Property);</w:t>
      </w:r>
    </w:p>
    <w:p>
      <w:pPr>
        <w:spacing w:after="0" w:line="2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xii.amounts paid as any ground rental for the Project or any portion thereof;</w:t>
      </w:r>
    </w:p>
    <w:p>
      <w:pPr>
        <w:spacing w:after="0" w:line="243" w:lineRule="exact"/>
        <w:rPr>
          <w:sz w:val="20"/>
          <w:szCs w:val="20"/>
          <w:color w:val="auto"/>
        </w:rPr>
      </w:pPr>
    </w:p>
    <w:p>
      <w:pPr>
        <w:jc w:val="both"/>
        <w:ind w:right="20" w:firstLine="983"/>
        <w:spacing w:after="0" w:line="295" w:lineRule="auto"/>
        <w:rPr>
          <w:sz w:val="20"/>
          <w:szCs w:val="20"/>
          <w:color w:val="auto"/>
        </w:rPr>
      </w:pPr>
      <w:r>
        <w:rPr>
          <w:rFonts w:ascii="Times New Roman" w:cs="Times New Roman" w:eastAsia="Times New Roman" w:hAnsi="Times New Roman"/>
          <w:sz w:val="19"/>
          <w:szCs w:val="19"/>
          <w:color w:val="auto"/>
        </w:rPr>
        <w:t>xiii.expenses of operating any commercial concession at the Project, including any restaurant, luncheon club, theatre or cafeteria, but excluding the Parking Facility and any fitness center or conference room center that is made available for use by tenants of the Building;</w:t>
      </w:r>
    </w:p>
    <w:p>
      <w:pPr>
        <w:spacing w:after="0" w:line="165" w:lineRule="exact"/>
        <w:rPr>
          <w:sz w:val="20"/>
          <w:szCs w:val="20"/>
          <w:color w:val="auto"/>
        </w:rPr>
      </w:pPr>
    </w:p>
    <w:p>
      <w:pPr>
        <w:jc w:val="both"/>
        <w:ind w:firstLine="994"/>
        <w:spacing w:after="0" w:line="246" w:lineRule="auto"/>
        <w:rPr>
          <w:sz w:val="20"/>
          <w:szCs w:val="20"/>
          <w:color w:val="auto"/>
        </w:rPr>
      </w:pPr>
      <w:r>
        <w:rPr>
          <w:rFonts w:ascii="Times New Roman" w:cs="Times New Roman" w:eastAsia="Times New Roman" w:hAnsi="Times New Roman"/>
          <w:sz w:val="20"/>
          <w:szCs w:val="20"/>
          <w:color w:val="auto"/>
        </w:rPr>
        <w:t>xiv.Parking Expenses (defined below), except to the extent Parking Expenses exceed parking revenues, if any, on an annual basis (as used herein, “</w:t>
      </w:r>
      <w:r>
        <w:rPr>
          <w:rFonts w:ascii="Times New Roman" w:cs="Times New Roman" w:eastAsia="Times New Roman" w:hAnsi="Times New Roman"/>
          <w:sz w:val="20"/>
          <w:szCs w:val="20"/>
          <w:b w:val="1"/>
          <w:bCs w:val="1"/>
          <w:color w:val="auto"/>
        </w:rPr>
        <w:t>Parking Expenses</w:t>
      </w:r>
      <w:r>
        <w:rPr>
          <w:rFonts w:ascii="Times New Roman" w:cs="Times New Roman" w:eastAsia="Times New Roman" w:hAnsi="Times New Roman"/>
          <w:sz w:val="20"/>
          <w:szCs w:val="20"/>
          <w:color w:val="auto"/>
        </w:rPr>
        <w:t>” means costs of operating, maintaining and repairing the Parking Facility, including costs of parking equipment, tickets, supplies, signs, cleaning, resurfacing, restriping, Parking Facility management fees, and the wages, salaries, employee benefits and taxes for any individuals working exclusively in the Parking Facility; provided, however, that Parking Expenses shall exclude (i) capital expenditures of any type, and (ii) costs of electricity, janitorial service, elevator maintenance and insurance);</w:t>
      </w:r>
    </w:p>
    <w:p>
      <w:pPr>
        <w:spacing w:after="0" w:line="212" w:lineRule="exact"/>
        <w:rPr>
          <w:sz w:val="20"/>
          <w:szCs w:val="20"/>
          <w:color w:val="auto"/>
        </w:rPr>
      </w:pPr>
    </w:p>
    <w:p>
      <w:pPr>
        <w:jc w:val="both"/>
        <w:ind w:firstLine="1048"/>
        <w:spacing w:after="0" w:line="246" w:lineRule="auto"/>
        <w:rPr>
          <w:sz w:val="20"/>
          <w:szCs w:val="20"/>
          <w:color w:val="auto"/>
        </w:rPr>
      </w:pPr>
      <w:r>
        <w:rPr>
          <w:rFonts w:ascii="Times New Roman" w:cs="Times New Roman" w:eastAsia="Times New Roman" w:hAnsi="Times New Roman"/>
          <w:sz w:val="20"/>
          <w:szCs w:val="20"/>
          <w:color w:val="auto"/>
        </w:rPr>
        <w:t>xv.Fitness Center Expenses (defined below), except to the extent Fitness Center Expenses exceed fitness center revenues, if any, on an annual basis (as used herein, “</w:t>
      </w:r>
      <w:r>
        <w:rPr>
          <w:rFonts w:ascii="Times New Roman" w:cs="Times New Roman" w:eastAsia="Times New Roman" w:hAnsi="Times New Roman"/>
          <w:sz w:val="20"/>
          <w:szCs w:val="20"/>
          <w:b w:val="1"/>
          <w:bCs w:val="1"/>
          <w:color w:val="auto"/>
        </w:rPr>
        <w:t>Fitness Center Expenses</w:t>
      </w:r>
      <w:r>
        <w:rPr>
          <w:rFonts w:ascii="Times New Roman" w:cs="Times New Roman" w:eastAsia="Times New Roman" w:hAnsi="Times New Roman"/>
          <w:sz w:val="20"/>
          <w:szCs w:val="20"/>
          <w:color w:val="auto"/>
        </w:rPr>
        <w:t>” means costs of operating, maintaining and repairing any fitness center that is made available to tenants of the Building, including costs of equipment, supplies, cleaning, and the wages, salaries, employee benefits and taxes for any individuals working exclusively in such fitness center; provided, however, that Fitness Center Expenses shall exclude (i) capital expenditures of any type, and (ii) costs of electricity, janitorial service, elevator maintenance and insurance);</w:t>
      </w:r>
    </w:p>
    <w:p>
      <w:pPr>
        <w:spacing w:after="0" w:line="212" w:lineRule="exact"/>
        <w:rPr>
          <w:sz w:val="20"/>
          <w:szCs w:val="20"/>
          <w:color w:val="auto"/>
        </w:rPr>
      </w:pPr>
    </w:p>
    <w:p>
      <w:pPr>
        <w:jc w:val="both"/>
        <w:ind w:firstLine="994"/>
        <w:spacing w:after="0" w:line="256" w:lineRule="auto"/>
        <w:rPr>
          <w:sz w:val="20"/>
          <w:szCs w:val="20"/>
          <w:color w:val="auto"/>
        </w:rPr>
      </w:pPr>
      <w:r>
        <w:rPr>
          <w:rFonts w:ascii="Times New Roman" w:cs="Times New Roman" w:eastAsia="Times New Roman" w:hAnsi="Times New Roman"/>
          <w:sz w:val="19"/>
          <w:szCs w:val="19"/>
          <w:color w:val="auto"/>
        </w:rPr>
        <w:t>xvi.Conference Room Center Expenses (defined below), except to the extent Conference Room Center Expenses exceed conference room center revenues, if any, on an annual basis (as used herein, “</w:t>
      </w:r>
      <w:r>
        <w:rPr>
          <w:rFonts w:ascii="Times New Roman" w:cs="Times New Roman" w:eastAsia="Times New Roman" w:hAnsi="Times New Roman"/>
          <w:sz w:val="19"/>
          <w:szCs w:val="19"/>
          <w:b w:val="1"/>
          <w:bCs w:val="1"/>
          <w:color w:val="auto"/>
        </w:rPr>
        <w:t>Conference Room Center Expenses</w:t>
      </w:r>
      <w:r>
        <w:rPr>
          <w:rFonts w:ascii="Times New Roman" w:cs="Times New Roman" w:eastAsia="Times New Roman" w:hAnsi="Times New Roman"/>
          <w:sz w:val="19"/>
          <w:szCs w:val="19"/>
          <w:color w:val="auto"/>
        </w:rPr>
        <w:t>” means costs of operating, maintaining and repairing any conference room center that is made available to tenants of the Building, including costs of furniture, equipment, supplies, cleaning, and the wages, salaries, employee benefits and taxes for any individuals working exclusively in such conference room center; provided, however, that Conference Room Center Expenses shall exclude (i) capital expenditures of any type, and</w:t>
      </w:r>
    </w:p>
    <w:p>
      <w:pPr>
        <w:spacing w:after="0" w:line="4"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electricity, janitorial service, elevator maintenance and insurance);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8" w:lineRule="exact"/>
        <w:rPr>
          <w:rFonts w:ascii="Times New Roman" w:cs="Times New Roman" w:eastAsia="Times New Roman" w:hAnsi="Times New Roman"/>
          <w:sz w:val="20"/>
          <w:szCs w:val="20"/>
          <w:color w:val="auto"/>
        </w:rPr>
      </w:pPr>
    </w:p>
    <w:p>
      <w:pPr>
        <w:ind w:left="5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Exhibit B - 2</w:t>
      </w:r>
    </w:p>
    <w:p>
      <w:pPr>
        <w:sectPr>
          <w:pgSz w:w="11900" w:h="16838" w:orient="portrait"/>
          <w:cols w:equalWidth="0" w:num="1">
            <w:col w:w="11240"/>
          </w:cols>
          <w:pgMar w:left="320" w:top="1440" w:right="339" w:bottom="1440" w:gutter="0" w:footer="0" w:header="0"/>
        </w:sectPr>
      </w:pPr>
    </w:p>
    <w:bookmarkStart w:id="135" w:name="page136"/>
    <w:bookmarkEnd w:id="135"/>
    <w:p>
      <w:pPr>
        <w:jc w:val="both"/>
        <w:ind w:right="20" w:firstLine="939"/>
        <w:spacing w:after="0" w:line="269" w:lineRule="auto"/>
        <w:rPr>
          <w:sz w:val="20"/>
          <w:szCs w:val="20"/>
          <w:color w:val="auto"/>
        </w:rPr>
      </w:pPr>
      <w:r>
        <w:rPr>
          <w:rFonts w:ascii="Times New Roman" w:cs="Times New Roman" w:eastAsia="Times New Roman" w:hAnsi="Times New Roman"/>
          <w:sz w:val="20"/>
          <w:szCs w:val="20"/>
          <w:color w:val="auto"/>
        </w:rPr>
        <w:t>xvii.costs of purchasing or leasing major sculptures, paintings or other artwork (as opposed to holiday decorations purchased or leased by Landlord for display in the Common Areas of the Building);</w:t>
      </w:r>
    </w:p>
    <w:p>
      <w:pPr>
        <w:spacing w:after="0" w:line="186" w:lineRule="exact"/>
        <w:rPr>
          <w:sz w:val="20"/>
          <w:szCs w:val="20"/>
          <w:color w:val="auto"/>
        </w:rPr>
      </w:pPr>
    </w:p>
    <w:p>
      <w:pPr>
        <w:jc w:val="both"/>
        <w:ind w:firstLine="884"/>
        <w:spacing w:after="0" w:line="254" w:lineRule="auto"/>
        <w:rPr>
          <w:sz w:val="20"/>
          <w:szCs w:val="20"/>
          <w:color w:val="auto"/>
        </w:rPr>
      </w:pPr>
      <w:r>
        <w:rPr>
          <w:rFonts w:ascii="Times New Roman" w:cs="Times New Roman" w:eastAsia="Times New Roman" w:hAnsi="Times New Roman"/>
          <w:sz w:val="20"/>
          <w:szCs w:val="20"/>
          <w:color w:val="auto"/>
        </w:rPr>
        <w:t>xviii.any management fee exceeding the amount described in clause (vi) above (it being agreed that, as used herein, “management fee” does not include any costs – such as salaries, hourly labor costs, and telephone bills – that would customarily be reimbursed to the manager under a third-party management agreement);</w:t>
      </w:r>
    </w:p>
    <w:p>
      <w:pPr>
        <w:spacing w:after="0" w:line="201" w:lineRule="exact"/>
        <w:rPr>
          <w:sz w:val="20"/>
          <w:szCs w:val="20"/>
          <w:color w:val="auto"/>
        </w:rPr>
      </w:pPr>
    </w:p>
    <w:p>
      <w:pPr>
        <w:jc w:val="both"/>
        <w:ind w:right="20" w:firstLine="994"/>
        <w:spacing w:after="0" w:line="254" w:lineRule="auto"/>
        <w:rPr>
          <w:sz w:val="20"/>
          <w:szCs w:val="20"/>
          <w:color w:val="auto"/>
        </w:rPr>
      </w:pPr>
      <w:r>
        <w:rPr>
          <w:rFonts w:ascii="Times New Roman" w:cs="Times New Roman" w:eastAsia="Times New Roman" w:hAnsi="Times New Roman"/>
          <w:sz w:val="20"/>
          <w:szCs w:val="20"/>
          <w:color w:val="auto"/>
        </w:rPr>
        <w:t>xix.rent for any office space occupied by Project management personnel to the extent the size or rental rate of such office space exceeds the size or fair market rental value of office space occupied by management personnel of Comparable Buildings in the Playa Vista market, with adjustment where appropriate for the size of the applicable project;</w:t>
      </w:r>
    </w:p>
    <w:p>
      <w:pPr>
        <w:spacing w:after="0" w:line="201" w:lineRule="exact"/>
        <w:rPr>
          <w:sz w:val="20"/>
          <w:szCs w:val="20"/>
          <w:color w:val="auto"/>
        </w:rPr>
      </w:pPr>
    </w:p>
    <w:p>
      <w:pPr>
        <w:jc w:val="both"/>
        <w:ind w:firstLine="1048"/>
        <w:spacing w:after="0" w:line="269" w:lineRule="auto"/>
        <w:rPr>
          <w:sz w:val="20"/>
          <w:szCs w:val="20"/>
          <w:color w:val="auto"/>
        </w:rPr>
      </w:pPr>
      <w:r>
        <w:rPr>
          <w:rFonts w:ascii="Times New Roman" w:cs="Times New Roman" w:eastAsia="Times New Roman" w:hAnsi="Times New Roman"/>
          <w:sz w:val="20"/>
          <w:szCs w:val="20"/>
          <w:color w:val="auto"/>
        </w:rPr>
        <w:t>xx.costs (other than insurance deductibles under property insurance policies) arising from the adjudicated or admitted negligence or willful misconduct of Landlord or its agents, employees, vendors, contractors, or providers of materials or services;</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xxi.costs of curing defects in design or original construction of the Property;</w:t>
      </w:r>
    </w:p>
    <w:p>
      <w:pPr>
        <w:spacing w:after="0" w:line="239" w:lineRule="exact"/>
        <w:rPr>
          <w:sz w:val="20"/>
          <w:szCs w:val="20"/>
          <w:color w:val="auto"/>
        </w:rPr>
      </w:pPr>
    </w:p>
    <w:p>
      <w:pPr>
        <w:jc w:val="both"/>
        <w:ind w:firstLine="939"/>
        <w:spacing w:after="0" w:line="273" w:lineRule="auto"/>
        <w:rPr>
          <w:sz w:val="20"/>
          <w:szCs w:val="20"/>
          <w:color w:val="auto"/>
        </w:rPr>
      </w:pPr>
      <w:r>
        <w:rPr>
          <w:rFonts w:ascii="Times New Roman" w:cs="Times New Roman" w:eastAsia="Times New Roman" w:hAnsi="Times New Roman"/>
          <w:sz w:val="20"/>
          <w:szCs w:val="20"/>
          <w:color w:val="auto"/>
        </w:rPr>
        <w:t xml:space="preserve">xxii.costs of cleaning up Hazardous Materials (defined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except for immaterial costs of routine cleanup performed as part of the ordinary operation and maintenance of the Property;</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xxiii.Landlord’s charitable and political contributions;</w:t>
      </w:r>
    </w:p>
    <w:p>
      <w:pPr>
        <w:spacing w:after="0" w:line="243" w:lineRule="exact"/>
        <w:rPr>
          <w:sz w:val="20"/>
          <w:szCs w:val="20"/>
          <w:color w:val="auto"/>
        </w:rPr>
      </w:pPr>
    </w:p>
    <w:p>
      <w:pPr>
        <w:jc w:val="both"/>
        <w:ind w:firstLine="895"/>
        <w:spacing w:after="0" w:line="249" w:lineRule="auto"/>
        <w:rPr>
          <w:sz w:val="20"/>
          <w:szCs w:val="20"/>
          <w:color w:val="auto"/>
        </w:rPr>
      </w:pPr>
      <w:r>
        <w:rPr>
          <w:rFonts w:ascii="Times New Roman" w:cs="Times New Roman" w:eastAsia="Times New Roman" w:hAnsi="Times New Roman"/>
          <w:sz w:val="20"/>
          <w:szCs w:val="20"/>
          <w:color w:val="auto"/>
        </w:rPr>
        <w:t>xxiv.attorney’s fees and other expenses incurred in connection with any negotiation or dispute with (i) any existing or prospective tenant or other occupant of the Building (whether relating to a violation of its lease or occupancy agreement, or otherwise), or (ii) any holder of an interest in the Property superior to this Lease, including the securing or defense of Landlord’s title to the Building or other portions of the Project</w:t>
      </w:r>
    </w:p>
    <w:p>
      <w:pPr>
        <w:spacing w:after="0" w:line="207" w:lineRule="exact"/>
        <w:rPr>
          <w:sz w:val="20"/>
          <w:szCs w:val="20"/>
          <w:color w:val="auto"/>
        </w:rPr>
      </w:pPr>
    </w:p>
    <w:p>
      <w:pPr>
        <w:jc w:val="both"/>
        <w:ind w:firstLine="949"/>
        <w:spacing w:after="0" w:line="249" w:lineRule="auto"/>
        <w:rPr>
          <w:sz w:val="20"/>
          <w:szCs w:val="20"/>
          <w:color w:val="auto"/>
        </w:rPr>
      </w:pPr>
      <w:r>
        <w:rPr>
          <w:rFonts w:ascii="Times New Roman" w:cs="Times New Roman" w:eastAsia="Times New Roman" w:hAnsi="Times New Roman"/>
          <w:sz w:val="20"/>
          <w:szCs w:val="20"/>
          <w:color w:val="auto"/>
        </w:rPr>
        <w:t>xxv.any cost of repairing damage resulting from a Casualty, other than (i) any insurance deductible (subject to clause (26) below), and (ii) if such damage is not covered by Landlord’s insurance (as determined without regard to any deductible), any portion of such cost that does not exceed the amount that would have been the maximum amount of the insurance deductible permitted to be included in Expenses for such damage pursuant to clause (26) below if such damage had been covered by Landlord’s insurance;</w:t>
      </w:r>
    </w:p>
    <w:p>
      <w:pPr>
        <w:spacing w:after="0" w:line="203" w:lineRule="exact"/>
        <w:rPr>
          <w:sz w:val="20"/>
          <w:szCs w:val="20"/>
          <w:color w:val="auto"/>
        </w:rPr>
      </w:pPr>
    </w:p>
    <w:p>
      <w:pPr>
        <w:jc w:val="both"/>
        <w:ind w:firstLine="895"/>
        <w:spacing w:after="0" w:line="243" w:lineRule="auto"/>
        <w:rPr>
          <w:sz w:val="20"/>
          <w:szCs w:val="20"/>
          <w:color w:val="auto"/>
        </w:rPr>
      </w:pPr>
      <w:r>
        <w:rPr>
          <w:rFonts w:ascii="Times New Roman" w:cs="Times New Roman" w:eastAsia="Times New Roman" w:hAnsi="Times New Roman"/>
          <w:sz w:val="20"/>
          <w:szCs w:val="20"/>
          <w:color w:val="auto"/>
        </w:rPr>
        <w:t>xxvi.insurance deductibles other than (i) earthquake insurance deductibles up to the amount (the “</w:t>
      </w:r>
      <w:r>
        <w:rPr>
          <w:rFonts w:ascii="Times New Roman" w:cs="Times New Roman" w:eastAsia="Times New Roman" w:hAnsi="Times New Roman"/>
          <w:sz w:val="20"/>
          <w:szCs w:val="20"/>
          <w:b w:val="1"/>
          <w:bCs w:val="1"/>
          <w:color w:val="auto"/>
        </w:rPr>
        <w:t>Annual Limit</w:t>
      </w:r>
      <w:r>
        <w:rPr>
          <w:rFonts w:ascii="Times New Roman" w:cs="Times New Roman" w:eastAsia="Times New Roman" w:hAnsi="Times New Roman"/>
          <w:sz w:val="20"/>
          <w:szCs w:val="20"/>
          <w:color w:val="auto"/>
        </w:rPr>
        <w:t>”) of 0.5% of the total insurable value of the Property per occurrence (provided, however, that, notwithstanding any contrary provision hereof, if, for any occurrence, the earthquake insurance deductible exceeds the Annual Limit, then, after such deductible is included (up to the Annual Limit) in Expenses for the applicable Expense Year, such excess may be included (up to the Annual Limit) in Expenses for the immediately succeeding Expense Year, and any portion of such excess that is not so included in Expenses for such immediately succeeding Expense Year may be included (up to the Annual Limit) in Expenses for the next succeeding Expense Year, and so on with respect to each Expense Year; provided further, however, that in no event shall the portions of such deductible that are included in Expenses for any one or more Expense Years exceed, in the aggregate, 5.0% of the total insurable value of the Property), and (ii) any other insurance deductibles up to $50,000.00 per occurrence;</w:t>
      </w: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xxvii.reserves of any kind; or</w:t>
      </w:r>
    </w:p>
    <w:p>
      <w:pPr>
        <w:spacing w:after="0" w:line="243" w:lineRule="exact"/>
        <w:rPr>
          <w:sz w:val="20"/>
          <w:szCs w:val="20"/>
          <w:color w:val="auto"/>
        </w:rPr>
      </w:pPr>
    </w:p>
    <w:p>
      <w:pPr>
        <w:jc w:val="both"/>
        <w:ind w:firstLine="785"/>
        <w:spacing w:after="0" w:line="254" w:lineRule="auto"/>
        <w:rPr>
          <w:sz w:val="20"/>
          <w:szCs w:val="20"/>
          <w:color w:val="auto"/>
        </w:rPr>
      </w:pPr>
      <w:r>
        <w:rPr>
          <w:rFonts w:ascii="Times New Roman" w:cs="Times New Roman" w:eastAsia="Times New Roman" w:hAnsi="Times New Roman"/>
          <w:sz w:val="20"/>
          <w:szCs w:val="20"/>
          <w:color w:val="auto"/>
        </w:rPr>
        <w:t>xxviii.the cost of electric power for which any tenant of the Building directly contracts with the local public utility company or for which any tenant of the Building pays Landlord on a separately measured basis and not through payment of operating costs or expenses (subject to the next succeeding paragraph).</w:t>
      </w:r>
    </w:p>
    <w:p>
      <w:pPr>
        <w:spacing w:after="0" w:line="20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If, during any portion of the Base Year or any Expense Year, the Building is not 100% occupied (or a service provided by Landlord to Tenant is not provided by Landlord to a tenant that provides such service itself, or any tenant of the Building is entitled to free rent, rent abatement or the like), Expenses for such year that vary based upon occupancy (or upon whether a service provided by Landlord to Tenant is not provided by Landlord to a tenant that provides such service itself, or upon whether any tenant of the Building is entitled to free rent, rent abatement or the like) shall be determined as if the Building had been 100% occupied (and all services provided by Landlord to Tenant had been provided by Landlord to all tenants, and no tenant of the Building had been entitled to free rent, rent abatement or the like) throughout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 - 3</w:t>
      </w:r>
    </w:p>
    <w:p>
      <w:pPr>
        <w:sectPr>
          <w:pgSz w:w="11900" w:h="16838" w:orient="portrait"/>
          <w:cols w:equalWidth="0" w:num="1">
            <w:col w:w="11240"/>
          </w:cols>
          <w:pgMar w:left="320" w:top="1413" w:right="339" w:bottom="1440" w:gutter="0" w:footer="0" w:header="0"/>
          <w:type w:val="continuous"/>
        </w:sectPr>
      </w:pPr>
    </w:p>
    <w:bookmarkStart w:id="136" w:name="page137"/>
    <w:bookmarkEnd w:id="136"/>
    <w:p>
      <w:pPr>
        <w:jc w:val="both"/>
        <w:spacing w:after="0" w:line="242" w:lineRule="auto"/>
        <w:rPr>
          <w:sz w:val="20"/>
          <w:szCs w:val="20"/>
          <w:color w:val="auto"/>
        </w:rPr>
      </w:pPr>
      <w:r>
        <w:rPr>
          <w:rFonts w:ascii="Times New Roman" w:cs="Times New Roman" w:eastAsia="Times New Roman" w:hAnsi="Times New Roman"/>
          <w:sz w:val="20"/>
          <w:szCs w:val="20"/>
          <w:color w:val="auto"/>
        </w:rPr>
        <w:t>such year. If a tenant of the Building reimburses Landlord on a separately measured basis, and not through payment of operating costs or expenses, for a service that is provided by Landlord to Tenant without reimbursement outside of Expenses, then for purposes of the preceding sentence, such service shall be deemed to be provided to such tenant by such tenant itself and not by Landlord. Notwithstanding any contrary provision hereof, Expenses for the Base Year shall exclude (a) any market-wide cost increases resulting from extraordinary circumstances, including Force Majeure, boycotts, strikes, conservation surcharges, embargoes or shortages, and (b) at Landlord’s option, the cost of any repair or replacement that Landlord reasonably expects will not recur on an annual or more frequent basis; provided, however, that if (i) any amounts of a given type (as determined in good faith by Landlord) that would otherwise be included in Expenses for the Base Year are excluded from such Expenses pursuant to the preceding clause (a) or (b) (collectively, an “</w:t>
      </w:r>
      <w:r>
        <w:rPr>
          <w:rFonts w:ascii="Times New Roman" w:cs="Times New Roman" w:eastAsia="Times New Roman" w:hAnsi="Times New Roman"/>
          <w:sz w:val="20"/>
          <w:szCs w:val="20"/>
          <w:b w:val="1"/>
          <w:bCs w:val="1"/>
          <w:color w:val="auto"/>
        </w:rPr>
        <w:t>Excluded Base Year Amount</w:t>
      </w:r>
      <w:r>
        <w:rPr>
          <w:rFonts w:ascii="Times New Roman" w:cs="Times New Roman" w:eastAsia="Times New Roman" w:hAnsi="Times New Roman"/>
          <w:sz w:val="20"/>
          <w:szCs w:val="20"/>
          <w:color w:val="auto"/>
        </w:rPr>
        <w:t>”), and (ii) any amounts of the same type (as determined in good faith by Landlord) are incurred in, and would otherwise be included in Expenses for, any Expense Year, then such amounts incurred in such Expense Year shall be included in Expenses for such Expense Year only to the extent, if any, that they collectively exceed such Excluded Base Year Amount.</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Notwithstanding the foregoing, for purposes of computing Tenant’s Share of Expenses, the Controllable Expenses (hereinafter defined) shall not increase by more than 5% per Expense Year on a compounding and cumulative basis over the course of the Term. In other words, Controllable Expenses for the first Expense Year after the Base Year shall not exceed 105% of the Controllable Expenses for the Base Year. Controllable Expenses for the second Expense Year after the Base Year shall not exceed 105% of the limit on Controllable Expenses for the first Expense Year after the Base Year, etc. By way of illustration, if Controllable Expenses were $10.00 per rentable square foot for the Base Year, then Controllable Expenses for the first Expense Year following the Base Year shall not exceed $10.50 per rentable square foot, and Controllable Expenses for the second Expense Year following the Base Year shall not exceed $11.03 per rentable square foot. Any Controllable Expenses that are not included as part of Expenses during any Expense Year due to the application of this cap may be included as part of Controllable Expenses in any subsequent Expense Year subject to the cap applicable to the calculation of Controllable Expenses for such subsequent Expense Year. “</w:t>
      </w:r>
      <w:r>
        <w:rPr>
          <w:rFonts w:ascii="Times New Roman" w:cs="Times New Roman" w:eastAsia="Times New Roman" w:hAnsi="Times New Roman"/>
          <w:sz w:val="20"/>
          <w:szCs w:val="20"/>
          <w:b w:val="1"/>
          <w:bCs w:val="1"/>
          <w:color w:val="auto"/>
        </w:rPr>
        <w:t>Controllable Expenses</w:t>
      </w:r>
      <w:r>
        <w:rPr>
          <w:rFonts w:ascii="Times New Roman" w:cs="Times New Roman" w:eastAsia="Times New Roman" w:hAnsi="Times New Roman"/>
          <w:sz w:val="20"/>
          <w:szCs w:val="20"/>
          <w:color w:val="auto"/>
        </w:rPr>
        <w:t>” shall mean all Expenses other than (i) costs of utilities, (ii) insurance premiums and deductibles, (iii) any capital expenditure that is (a) an Expense Savings Capital Expenditure intended to reduce current or future Expenses other than Controllable Expenses, or (b) a Legally Required Capital Expenditure, (iv) any market-wide cost increases resulting from extraordinary circumstances, including Force Majeure, boycotts, strikes, conservation surcharges, embargoes or shortages, (v) the cost of any repair or replacement that Landlord reasonably expects will not recur on an annual or more frequent basis, (vi) costs of union labor (including labor that is unionized after the date hereof), and (vii) any non-capital expenditure that is incurred to comply with Law. For purposes of determining Controllable Expenses, any management fee shall be calculated without regard to any free rent, abated rent, or the like, or any increase in gross annual receipts from the Building.</w:t>
      </w:r>
    </w:p>
    <w:p>
      <w:pPr>
        <w:spacing w:after="0" w:line="201" w:lineRule="exact"/>
        <w:rPr>
          <w:sz w:val="20"/>
          <w:szCs w:val="20"/>
          <w:color w:val="auto"/>
        </w:rPr>
      </w:pPr>
    </w:p>
    <w:p>
      <w:pPr>
        <w:jc w:val="both"/>
        <w:ind w:firstLine="656"/>
        <w:spacing w:after="0" w:line="259" w:lineRule="auto"/>
        <w:tabs>
          <w:tab w:leader="none" w:pos="1285"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all federal, state, county or local governmental or municipal taxes, fees, charges, assessments, levies, licenses or other impositions, whether general, special, ordinary or extraordinary, that are paid or accrued during the Base Year or any Expense Year (without regard to any different fiscal year used by such governmental or municipal authority) because of or in connection with the ownership, leasing or operation of the Property. Taxes shall include (a) real estate taxes; (b) general and special assessments; (c) transit taxes;</w:t>
      </w:r>
    </w:p>
    <w:p>
      <w:pPr>
        <w:jc w:val="both"/>
        <w:ind w:firstLine="8"/>
        <w:spacing w:after="0" w:line="239" w:lineRule="auto"/>
        <w:tabs>
          <w:tab w:leader="none" w:pos="32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leasehold taxes; (e) personal property taxes imposed upon the fixtures, machinery, equipment, apparatus, systems, appurtenances, furniture and other personal property used in connection with the Property; (f) any tax on the rent, right to rent or other income from any portion of the Property or as against the business of leasing any portion of the Property; (g) any assessment, tax, fee, levy or charge imposed by any governmental agency, or by any non-governmental entity pursuant to any private cost-sharing agreement, in order to fund the provision or enhancement of any fire-protection, street-, sidewalk- or road-maintenance, refuse-removal or other service that is (or, before the enactment of Proposition 13, was) normally provided by governmental agencies to property owners or occupants without charge (other than through real property taxes); and (h) payments in lieu of taxes under any tax increment financing agreement, abatement agreement, agreement to construct improvements, or other agreement with any governmental body or agency or taxing authority. Any costs and expenses (including reasonable attorneys’ and consultants’ fees) incurred in attempting to protest, reduce or minimize Taxes shall be included in Taxes for the year in which they are incurred. Notwithstanding any contrary provision hereof, Taxes shall be determined without regard to any “</w:t>
      </w:r>
      <w:r>
        <w:rPr>
          <w:rFonts w:ascii="Times New Roman" w:cs="Times New Roman" w:eastAsia="Times New Roman" w:hAnsi="Times New Roman"/>
          <w:sz w:val="20"/>
          <w:szCs w:val="20"/>
          <w:b w:val="1"/>
          <w:bCs w:val="1"/>
          <w:color w:val="auto"/>
        </w:rPr>
        <w:t>green building</w:t>
      </w:r>
      <w:r>
        <w:rPr>
          <w:rFonts w:ascii="Times New Roman" w:cs="Times New Roman" w:eastAsia="Times New Roman" w:hAnsi="Times New Roman"/>
          <w:sz w:val="20"/>
          <w:szCs w:val="20"/>
          <w:color w:val="auto"/>
        </w:rPr>
        <w:t>” credit and shall exclude (i) all excess profits taxes, franchise taxes, gift taxes, capital stock taxes, inheritance and succession taxes, transfer taxes, estate taxes, federal and state income taxes, and other taxes to the extent (x) applicable to Landlord’s general or net income (as opposed to rents, receipts or income attributable to operations at the Property), or (y) measured solely by the square footage, rent, fees, services, tenant allowances or similar amounts, rights or obligations described or provided in or under any particular lease, license or similar agreement or transaction at the Building; (ii) any Expenses;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 - 4</w:t>
      </w:r>
    </w:p>
    <w:p>
      <w:pPr>
        <w:sectPr>
          <w:pgSz w:w="11900" w:h="16838" w:orient="portrait"/>
          <w:cols w:equalWidth="0" w:num="1">
            <w:col w:w="11240"/>
          </w:cols>
          <w:pgMar w:left="320" w:top="1413" w:right="339" w:bottom="1440" w:gutter="0" w:footer="0" w:header="0"/>
          <w:type w:val="continuous"/>
        </w:sectPr>
      </w:pPr>
    </w:p>
    <w:bookmarkStart w:id="137" w:name="page138"/>
    <w:bookmarkEnd w:id="137"/>
    <w:p>
      <w:pPr>
        <w:jc w:val="both"/>
        <w:ind w:firstLine="8"/>
        <w:spacing w:after="0" w:line="254" w:lineRule="auto"/>
        <w:tabs>
          <w:tab w:leader="none" w:pos="36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items required to be paid or reimbursed by Tenant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and (iv) fines, penalties or interest resulting from late payment of Taxes. Notwithstanding any contrary provision hereof, Taxes shall be calculated without taking into account any reduction achieved under California Revenue and Taxation Code § 51.</w:t>
      </w:r>
    </w:p>
    <w:p>
      <w:pPr>
        <w:spacing w:after="0" w:line="19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Property Tax Protection.</w:t>
      </w:r>
    </w:p>
    <w:p>
      <w:pPr>
        <w:spacing w:after="0" w:line="24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2.4.1 </w:t>
      </w:r>
      <w:r>
        <w:rPr>
          <w:rFonts w:ascii="Times New Roman" w:cs="Times New Roman" w:eastAsia="Times New Roman" w:hAnsi="Times New Roman"/>
          <w:sz w:val="20"/>
          <w:szCs w:val="20"/>
          <w:b w:val="1"/>
          <w:bCs w:val="1"/>
          <w:u w:val="single" w:color="auto"/>
          <w:color w:val="auto"/>
        </w:rPr>
        <w:t>Protection</w:t>
      </w:r>
      <w:r>
        <w:rPr>
          <w:rFonts w:ascii="Times New Roman" w:cs="Times New Roman" w:eastAsia="Times New Roman" w:hAnsi="Times New Roman"/>
          <w:sz w:val="20"/>
          <w:szCs w:val="20"/>
          <w:b w:val="1"/>
          <w:bCs w:val="1"/>
          <w:color w:val="auto"/>
        </w:rPr>
        <w:t xml:space="preserve">. Notwithstanding any contrary provision hereof, Taxes for each period of the Term shown below (each, a “Protection Period”) shall exclude the corresponding percentage shown below of any Tax increase caused solely by one or more Protected Events (defined below) occurring during such Protected Period or any preceding Protected Period. As used herein, “Protected Event” means each of (a) any Eligible Change in Ownership (defined in </w:t>
      </w:r>
      <w:r>
        <w:rPr>
          <w:rFonts w:ascii="Times New Roman" w:cs="Times New Roman" w:eastAsia="Times New Roman" w:hAnsi="Times New Roman"/>
          <w:sz w:val="20"/>
          <w:szCs w:val="20"/>
          <w:b w:val="1"/>
          <w:bCs w:val="1"/>
          <w:u w:val="single" w:color="auto"/>
          <w:color w:val="auto"/>
        </w:rPr>
        <w:t>Section 2.4.2</w:t>
      </w:r>
      <w:r>
        <w:rPr>
          <w:rFonts w:ascii="Times New Roman" w:cs="Times New Roman" w:eastAsia="Times New Roman" w:hAnsi="Times New Roman"/>
          <w:sz w:val="20"/>
          <w:szCs w:val="20"/>
          <w:b w:val="1"/>
          <w:bCs w:val="1"/>
          <w:color w:val="auto"/>
        </w:rPr>
        <w:t xml:space="preserve"> below), or (b) the First Alternative Reassessment (defined in </w:t>
      </w:r>
      <w:r>
        <w:rPr>
          <w:rFonts w:ascii="Times New Roman" w:cs="Times New Roman" w:eastAsia="Times New Roman" w:hAnsi="Times New Roman"/>
          <w:sz w:val="20"/>
          <w:szCs w:val="20"/>
          <w:b w:val="1"/>
          <w:bCs w:val="1"/>
          <w:u w:val="single" w:color="auto"/>
          <w:color w:val="auto"/>
        </w:rPr>
        <w:t>Section 2.4.3</w:t>
      </w:r>
      <w:r>
        <w:rPr>
          <w:rFonts w:ascii="Times New Roman" w:cs="Times New Roman" w:eastAsia="Times New Roman" w:hAnsi="Times New Roman"/>
          <w:sz w:val="20"/>
          <w:szCs w:val="20"/>
          <w:b w:val="1"/>
          <w:bCs w:val="1"/>
          <w:color w:val="auto"/>
        </w:rPr>
        <w:t xml:space="preserve"> below).</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Protection Period</w:t>
            </w:r>
          </w:p>
        </w:tc>
        <w:tc>
          <w:tcPr>
            <w:tcW w:w="5520" w:type="dxa"/>
            <w:vAlign w:val="bottom"/>
            <w:tcBorders>
              <w:top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20"/>
                <w:szCs w:val="20"/>
                <w:b w:val="1"/>
                <w:bCs w:val="1"/>
                <w:color w:val="auto"/>
              </w:rPr>
              <w:t>Percentage of Tax Increase Excluded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338"/>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First (1</w:t>
            </w:r>
            <w:r>
              <w:rPr>
                <w:rFonts w:ascii="Times New Roman" w:cs="Times New Roman" w:eastAsia="Times New Roman" w:hAnsi="Times New Roman"/>
                <w:sz w:val="25"/>
                <w:szCs w:val="25"/>
                <w:color w:val="auto"/>
                <w:w w:val="96"/>
                <w:vertAlign w:val="superscript"/>
              </w:rPr>
              <w:t>st</w:t>
            </w:r>
            <w:r>
              <w:rPr>
                <w:rFonts w:ascii="Times New Roman" w:cs="Times New Roman" w:eastAsia="Times New Roman" w:hAnsi="Times New Roman"/>
                <w:sz w:val="20"/>
                <w:szCs w:val="20"/>
                <w:color w:val="auto"/>
                <w:w w:val="96"/>
              </w:rPr>
              <w:t>) and Second (2</w:t>
            </w:r>
            <w:r>
              <w:rPr>
                <w:rFonts w:ascii="Times New Roman" w:cs="Times New Roman" w:eastAsia="Times New Roman" w:hAnsi="Times New Roman"/>
                <w:sz w:val="25"/>
                <w:szCs w:val="25"/>
                <w:color w:val="auto"/>
                <w:w w:val="96"/>
                <w:vertAlign w:val="superscript"/>
              </w:rPr>
              <w:t>nd</w:t>
            </w:r>
            <w:r>
              <w:rPr>
                <w:rFonts w:ascii="Times New Roman" w:cs="Times New Roman" w:eastAsia="Times New Roman" w:hAnsi="Times New Roman"/>
                <w:sz w:val="20"/>
                <w:szCs w:val="20"/>
                <w:color w:val="auto"/>
                <w:w w:val="96"/>
              </w:rPr>
              <w:t>)</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334"/>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Full Calendar Years of Initial Term</w:t>
            </w:r>
          </w:p>
        </w:tc>
        <w:tc>
          <w:tcPr>
            <w:tcW w:w="5520" w:type="dxa"/>
            <w:vAlign w:val="bottom"/>
            <w:tcBorders>
              <w:right w:val="single" w:sz="8" w:color="auto"/>
            </w:tcBorders>
          </w:tcPr>
          <w:p>
            <w:pPr>
              <w:spacing w:after="0"/>
              <w:rPr>
                <w:sz w:val="24"/>
                <w:szCs w:val="24"/>
                <w:color w:val="auto"/>
              </w:rPr>
            </w:pPr>
          </w:p>
        </w:tc>
      </w:tr>
      <w:tr>
        <w:trPr>
          <w:trHeight w:val="230"/>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(together with any partial calendar month occurring at the beginning</w:t>
            </w:r>
          </w:p>
        </w:tc>
        <w:tc>
          <w:tcPr>
            <w:tcW w:w="5520" w:type="dxa"/>
            <w:vAlign w:val="bottom"/>
            <w:tcBorders>
              <w:right w:val="single" w:sz="8" w:color="auto"/>
            </w:tcBorders>
          </w:tcPr>
          <w:p>
            <w:pPr>
              <w:spacing w:after="0"/>
              <w:rPr>
                <w:sz w:val="19"/>
                <w:szCs w:val="19"/>
                <w:color w:val="auto"/>
              </w:rPr>
            </w:pPr>
          </w:p>
        </w:tc>
      </w:tr>
      <w:tr>
        <w:trPr>
          <w:trHeight w:val="258"/>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of the initial Term)</w:t>
            </w:r>
          </w:p>
        </w:tc>
        <w:tc>
          <w:tcPr>
            <w:tcW w:w="5520" w:type="dxa"/>
            <w:vAlign w:val="bottom"/>
            <w:tcBorders>
              <w:right w:val="single" w:sz="8" w:color="auto"/>
            </w:tcBorders>
          </w:tcPr>
          <w:p>
            <w:pPr>
              <w:spacing w:after="0"/>
              <w:rPr>
                <w:sz w:val="22"/>
                <w:szCs w:val="22"/>
                <w:color w:val="auto"/>
              </w:rPr>
            </w:pP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338"/>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Third (3</w:t>
            </w:r>
            <w:r>
              <w:rPr>
                <w:rFonts w:ascii="Times New Roman" w:cs="Times New Roman" w:eastAsia="Times New Roman" w:hAnsi="Times New Roman"/>
                <w:sz w:val="25"/>
                <w:szCs w:val="25"/>
                <w:color w:val="auto"/>
                <w:w w:val="96"/>
                <w:vertAlign w:val="superscript"/>
              </w:rPr>
              <w:t>rd</w:t>
            </w:r>
            <w:r>
              <w:rPr>
                <w:rFonts w:ascii="Times New Roman" w:cs="Times New Roman" w:eastAsia="Times New Roman" w:hAnsi="Times New Roman"/>
                <w:sz w:val="20"/>
                <w:szCs w:val="20"/>
                <w:color w:val="auto"/>
                <w:w w:val="96"/>
              </w:rPr>
              <w:t>) and Fourth (4</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80%</w:t>
            </w:r>
          </w:p>
        </w:tc>
      </w:tr>
      <w:tr>
        <w:trPr>
          <w:trHeight w:val="363"/>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Full Calendar Years of Initial Term</w:t>
            </w:r>
          </w:p>
        </w:tc>
        <w:tc>
          <w:tcPr>
            <w:tcW w:w="5520" w:type="dxa"/>
            <w:vAlign w:val="bottom"/>
            <w:tcBorders>
              <w:right w:val="single" w:sz="8" w:color="auto"/>
            </w:tcBorders>
          </w:tcPr>
          <w:p>
            <w:pPr>
              <w:spacing w:after="0"/>
              <w:rPr>
                <w:sz w:val="24"/>
                <w:szCs w:val="24"/>
                <w:color w:val="auto"/>
              </w:rPr>
            </w:pP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338"/>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Fifth (5</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and Sixth (6</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60%</w:t>
            </w:r>
          </w:p>
        </w:tc>
      </w:tr>
      <w:tr>
        <w:trPr>
          <w:trHeight w:val="363"/>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Full Calendar Years of Initial Term</w:t>
            </w:r>
          </w:p>
        </w:tc>
        <w:tc>
          <w:tcPr>
            <w:tcW w:w="5520" w:type="dxa"/>
            <w:vAlign w:val="bottom"/>
            <w:tcBorders>
              <w:right w:val="single" w:sz="8" w:color="auto"/>
            </w:tcBorders>
          </w:tcPr>
          <w:p>
            <w:pPr>
              <w:spacing w:after="0"/>
              <w:rPr>
                <w:sz w:val="24"/>
                <w:szCs w:val="24"/>
                <w:color w:val="auto"/>
              </w:rPr>
            </w:pP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338"/>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Seventh (7</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and Eighth (8</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r>
      <w:tr>
        <w:trPr>
          <w:trHeight w:val="363"/>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Full Calendar Years of Initial Term</w:t>
            </w:r>
          </w:p>
        </w:tc>
        <w:tc>
          <w:tcPr>
            <w:tcW w:w="5520" w:type="dxa"/>
            <w:vAlign w:val="bottom"/>
            <w:tcBorders>
              <w:right w:val="single" w:sz="8" w:color="auto"/>
            </w:tcBorders>
          </w:tcPr>
          <w:p>
            <w:pPr>
              <w:spacing w:after="0"/>
              <w:rPr>
                <w:sz w:val="24"/>
                <w:szCs w:val="24"/>
                <w:color w:val="auto"/>
              </w:rPr>
            </w:pP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338"/>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Ninth (9</w:t>
            </w:r>
            <w:r>
              <w:rPr>
                <w:rFonts w:ascii="Times New Roman" w:cs="Times New Roman" w:eastAsia="Times New Roman" w:hAnsi="Times New Roman"/>
                <w:sz w:val="25"/>
                <w:szCs w:val="25"/>
                <w:color w:val="auto"/>
                <w:w w:val="95"/>
                <w:vertAlign w:val="superscript"/>
              </w:rPr>
              <w:t>th</w:t>
            </w:r>
            <w:r>
              <w:rPr>
                <w:rFonts w:ascii="Times New Roman" w:cs="Times New Roman" w:eastAsia="Times New Roman" w:hAnsi="Times New Roman"/>
                <w:sz w:val="20"/>
                <w:szCs w:val="20"/>
                <w:color w:val="auto"/>
                <w:w w:val="95"/>
              </w:rPr>
              <w:t>) and Tenth (10</w:t>
            </w:r>
            <w:r>
              <w:rPr>
                <w:rFonts w:ascii="Times New Roman" w:cs="Times New Roman" w:eastAsia="Times New Roman" w:hAnsi="Times New Roman"/>
                <w:sz w:val="25"/>
                <w:szCs w:val="25"/>
                <w:color w:val="auto"/>
                <w:w w:val="95"/>
                <w:vertAlign w:val="superscript"/>
              </w:rPr>
              <w:t>th</w:t>
            </w:r>
            <w:r>
              <w:rPr>
                <w:rFonts w:ascii="Times New Roman" w:cs="Times New Roman" w:eastAsia="Times New Roman" w:hAnsi="Times New Roman"/>
                <w:sz w:val="20"/>
                <w:szCs w:val="20"/>
                <w:color w:val="auto"/>
                <w:w w:val="95"/>
              </w:rPr>
              <w:t>)</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363"/>
        </w:trPr>
        <w:tc>
          <w:tcPr>
            <w:tcW w:w="5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Full Calendar Years of Initial Term</w:t>
            </w:r>
          </w:p>
        </w:tc>
        <w:tc>
          <w:tcPr>
            <w:tcW w:w="5520" w:type="dxa"/>
            <w:vAlign w:val="bottom"/>
            <w:tcBorders>
              <w:right w:val="single" w:sz="8" w:color="auto"/>
            </w:tcBorders>
          </w:tcPr>
          <w:p>
            <w:pPr>
              <w:spacing w:after="0"/>
              <w:rPr>
                <w:sz w:val="24"/>
                <w:szCs w:val="24"/>
                <w:color w:val="auto"/>
              </w:rPr>
            </w:pP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2.4.2 </w:t>
      </w:r>
      <w:r>
        <w:rPr>
          <w:rFonts w:ascii="Times New Roman" w:cs="Times New Roman" w:eastAsia="Times New Roman" w:hAnsi="Times New Roman"/>
          <w:sz w:val="20"/>
          <w:szCs w:val="20"/>
          <w:b w:val="1"/>
          <w:bCs w:val="1"/>
          <w:u w:val="single" w:color="auto"/>
          <w:color w:val="auto"/>
        </w:rPr>
        <w:t>Eligible Change in Ownership</w:t>
      </w:r>
      <w:r>
        <w:rPr>
          <w:rFonts w:ascii="Times New Roman" w:cs="Times New Roman" w:eastAsia="Times New Roman" w:hAnsi="Times New Roman"/>
          <w:sz w:val="20"/>
          <w:szCs w:val="20"/>
          <w:b w:val="1"/>
          <w:bCs w:val="1"/>
          <w:color w:val="auto"/>
        </w:rPr>
        <w:t>. As used herein, “Eligible Change in Ownership” means each of the first two (2) changes in ownership (within the meaning of Sections 60 and 61, Division 1, Chapter 2 of the California Revenue and Taxation Code (“Proposition 13”)) of all or any portion of the Property, if any, that occur after the Commencement Date, excluding, however, any such change in ownership in favor of a Security Holder or a purchaser at a foreclosure sale resulting from a foreclosure or a deed-in-lieu of foreclosure of a Security Agreement. For the avoidance of doubt, any Tax increase that would have occurred in the absence of an Eligible Change in Ownership, whether as a result of a statutory annual inflationary increase in Taxes or otherwise, shall not be deemed to be caused by such Eligible Change in Ownership.</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2.4.3 </w:t>
      </w:r>
      <w:r>
        <w:rPr>
          <w:rFonts w:ascii="Times New Roman" w:cs="Times New Roman" w:eastAsia="Times New Roman" w:hAnsi="Times New Roman"/>
          <w:sz w:val="19"/>
          <w:szCs w:val="19"/>
          <w:b w:val="1"/>
          <w:bCs w:val="1"/>
          <w:u w:val="single" w:color="auto"/>
          <w:color w:val="auto"/>
        </w:rPr>
        <w:t>First Alternative Reassessment</w:t>
      </w:r>
      <w:r>
        <w:rPr>
          <w:rFonts w:ascii="Times New Roman" w:cs="Times New Roman" w:eastAsia="Times New Roman" w:hAnsi="Times New Roman"/>
          <w:sz w:val="19"/>
          <w:szCs w:val="19"/>
          <w:b w:val="1"/>
          <w:bCs w:val="1"/>
          <w:color w:val="auto"/>
        </w:rPr>
        <w:t>. As used herein, “First Alternative Reassessment” means the first reassessment of the Property for real property tax purposes that occurs pursuant to a New Real Estate Tax Law (defined below) and before the Property would have been reassessed for real property tax purposes in the absence of such New Real Estate Tax Law. As used herein, “New Real Estate Tax Law” means any Law enacted after the date hereof which provides for a reassessment of the Property for real property tax purposes before the Property would have been reassessed for real property tax purposes after the date hereof in the absence of such Law. For the avoidance of doubt, no First Alternative Reassement shall be deemed to occur unless and until both</w:t>
      </w:r>
    </w:p>
    <w:p>
      <w:pPr>
        <w:spacing w:after="0" w:line="5" w:lineRule="exact"/>
        <w:rPr>
          <w:sz w:val="20"/>
          <w:szCs w:val="20"/>
          <w:color w:val="auto"/>
        </w:rPr>
      </w:pPr>
    </w:p>
    <w:p>
      <w:pPr>
        <w:jc w:val="both"/>
        <w:ind w:right="20" w:firstLine="8"/>
        <w:spacing w:after="0" w:line="242" w:lineRule="auto"/>
        <w:tabs>
          <w:tab w:leader="none" w:pos="287"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 New Real Estate Tax Law has been enacted, and (b) the Property is reassessed for real property tax purposes pursuant to such New Real Estate Tax Law before the Property would have been reassessed for real property tax purposes after the date hereof in the absence of such New Real Estate Tax Law.</w:t>
      </w:r>
    </w:p>
    <w:p>
      <w:pPr>
        <w:spacing w:after="0" w:line="183"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b w:val="1"/>
          <w:bCs w:val="1"/>
          <w:color w:val="auto"/>
        </w:rPr>
        <w:t>2.4.4</w:t>
      </w:r>
      <w:r>
        <w:rPr>
          <w:sz w:val="20"/>
          <w:szCs w:val="20"/>
          <w:color w:val="auto"/>
        </w:rPr>
        <w:tab/>
      </w:r>
      <w:r>
        <w:rPr>
          <w:rFonts w:ascii="Times New Roman" w:cs="Times New Roman" w:eastAsia="Times New Roman" w:hAnsi="Times New Roman"/>
          <w:sz w:val="20"/>
          <w:szCs w:val="20"/>
          <w:b w:val="1"/>
          <w:bCs w:val="1"/>
          <w:u w:val="single" w:color="auto"/>
          <w:color w:val="auto"/>
        </w:rPr>
        <w:t>Landlord’s Right to Purchase Protection</w:t>
      </w:r>
      <w:r>
        <w:rPr>
          <w:rFonts w:ascii="Times New Roman" w:cs="Times New Roman" w:eastAsia="Times New Roman" w:hAnsi="Times New Roman"/>
          <w:sz w:val="20"/>
          <w:szCs w:val="20"/>
          <w:b w:val="1"/>
          <w:bCs w:val="1"/>
          <w:color w:val="auto"/>
        </w:rPr>
        <w:t>. If a Protected Event is reasonably foreseeable by Landlord, and</w:t>
      </w:r>
    </w:p>
    <w:p>
      <w:pPr>
        <w:spacing w:after="0" w:line="26" w:lineRule="exact"/>
        <w:rPr>
          <w:sz w:val="20"/>
          <w:szCs w:val="20"/>
          <w:color w:val="auto"/>
        </w:rPr>
      </w:pPr>
    </w:p>
    <w:p>
      <w:pPr>
        <w:jc w:val="both"/>
        <w:ind w:firstLine="8"/>
        <w:spacing w:after="0" w:line="241" w:lineRule="auto"/>
        <w:tabs>
          <w:tab w:leader="none" w:pos="298"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the amount of any portion of any Tax Excess that Tenant (a) but for </w:t>
      </w:r>
      <w:r>
        <w:rPr>
          <w:rFonts w:ascii="Times New Roman" w:cs="Times New Roman" w:eastAsia="Times New Roman" w:hAnsi="Times New Roman"/>
          <w:sz w:val="20"/>
          <w:szCs w:val="20"/>
          <w:b w:val="1"/>
          <w:bCs w:val="1"/>
          <w:u w:val="single" w:color="auto"/>
          <w:color w:val="auto"/>
        </w:rPr>
        <w:t>Section 2.4.1</w:t>
      </w:r>
      <w:r>
        <w:rPr>
          <w:rFonts w:ascii="Times New Roman" w:cs="Times New Roman" w:eastAsia="Times New Roman" w:hAnsi="Times New Roman"/>
          <w:sz w:val="20"/>
          <w:szCs w:val="20"/>
          <w:b w:val="1"/>
          <w:bCs w:val="1"/>
          <w:color w:val="auto"/>
        </w:rPr>
        <w:t xml:space="preserve"> above, would be required to pay on account of such Protected Event, but (b) by reason of </w:t>
      </w:r>
      <w:r>
        <w:rPr>
          <w:rFonts w:ascii="Times New Roman" w:cs="Times New Roman" w:eastAsia="Times New Roman" w:hAnsi="Times New Roman"/>
          <w:sz w:val="20"/>
          <w:szCs w:val="20"/>
          <w:b w:val="1"/>
          <w:bCs w:val="1"/>
          <w:u w:val="single" w:color="auto"/>
          <w:color w:val="auto"/>
        </w:rPr>
        <w:t>Section 2.4.1</w:t>
      </w:r>
      <w:r>
        <w:rPr>
          <w:rFonts w:ascii="Times New Roman" w:cs="Times New Roman" w:eastAsia="Times New Roman" w:hAnsi="Times New Roman"/>
          <w:sz w:val="20"/>
          <w:szCs w:val="20"/>
          <w:b w:val="1"/>
          <w:bCs w:val="1"/>
          <w:color w:val="auto"/>
        </w:rPr>
        <w:t>, is not required to pay (a “Protected Tax Excess”), can be reasonably estimated by Landlord, then Landlord, upon notice to Tenant, may purchase such Protected Tax Excess by paying to Tenant the discounted present value (the “Discounted Value”) of such estimated amount of such Protected Tax Excess, as determined on the date of payment (a) assuming that the entire benefit of such Protected Tax Excess would have accrued to Tenant at the end of the</w:t>
      </w:r>
    </w:p>
    <w:p>
      <w:pPr>
        <w:sectPr>
          <w:pgSz w:w="11900" w:h="16838" w:orient="portrait"/>
          <w:cols w:equalWidth="0" w:num="1">
            <w:col w:w="11240"/>
          </w:cols>
          <w:pgMar w:left="320" w:top="1413" w:right="339" w:bottom="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 - 5</w:t>
      </w:r>
    </w:p>
    <w:p>
      <w:pPr>
        <w:sectPr>
          <w:pgSz w:w="11900" w:h="16838" w:orient="portrait"/>
          <w:cols w:equalWidth="0" w:num="1">
            <w:col w:w="11240"/>
          </w:cols>
          <w:pgMar w:left="320" w:top="1413" w:right="339" w:bottom="152" w:gutter="0" w:footer="0" w:header="0"/>
          <w:type w:val="continuous"/>
        </w:sectPr>
      </w:pPr>
    </w:p>
    <w:bookmarkStart w:id="138" w:name="page139"/>
    <w:bookmarkEnd w:id="138"/>
    <w:p>
      <w:pPr>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applicable Expense Year, and (b) using a discount rate equal to the Prime Rate posted by The Wall Street Journal five (5) days before the date of payment, in which event </w:t>
      </w:r>
      <w:r>
        <w:rPr>
          <w:rFonts w:ascii="Times New Roman" w:cs="Times New Roman" w:eastAsia="Times New Roman" w:hAnsi="Times New Roman"/>
          <w:sz w:val="19"/>
          <w:szCs w:val="19"/>
          <w:b w:val="1"/>
          <w:bCs w:val="1"/>
          <w:u w:val="single" w:color="auto"/>
          <w:color w:val="auto"/>
        </w:rPr>
        <w:t>Section 2.4.1</w:t>
      </w:r>
      <w:r>
        <w:rPr>
          <w:rFonts w:ascii="Times New Roman" w:cs="Times New Roman" w:eastAsia="Times New Roman" w:hAnsi="Times New Roman"/>
          <w:sz w:val="19"/>
          <w:szCs w:val="19"/>
          <w:b w:val="1"/>
          <w:bCs w:val="1"/>
          <w:color w:val="auto"/>
        </w:rPr>
        <w:t xml:space="preserve"> above shall no longer apply to such Protected Tax Excess. Upon the occurrence of</w:t>
      </w:r>
    </w:p>
    <w:p>
      <w:pPr>
        <w:spacing w:after="0" w:line="1"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 Protected Event with respect to which Landlord has purchased a Protected Tax Excess pursuant to the preceding sentence, and</w:t>
      </w:r>
    </w:p>
    <w:p>
      <w:pPr>
        <w:spacing w:after="0" w:line="11" w:lineRule="exact"/>
        <w:rPr>
          <w:rFonts w:ascii="Times New Roman" w:cs="Times New Roman" w:eastAsia="Times New Roman" w:hAnsi="Times New Roman"/>
          <w:sz w:val="19"/>
          <w:szCs w:val="19"/>
          <w:b w:val="1"/>
          <w:bCs w:val="1"/>
          <w:color w:val="auto"/>
        </w:rPr>
      </w:pPr>
    </w:p>
    <w:p>
      <w:pPr>
        <w:jc w:val="both"/>
        <w:ind w:firstLine="8"/>
        <w:spacing w:after="0"/>
        <w:tabs>
          <w:tab w:leader="none" w:pos="35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reassessment of the Property based upon such Protected Event by the appropriate governmental authority pursuant to Proposition 13 or a New Real Estate Tax Law, as applicable, (x) Landlord shall deliver to Tenant notice of such Protected Event, such reassessment, and the actual amount of such Protected Tax Excess as determined based upon such reassessment, together with copies of tax bills evidencing the same, and (y) if, as determined based upon such reassessment, the amount paid by Landlord for such Protected Tax Excess is less or more than its actual Discounted Value, then Tenant shall receive a credit in the amount of such underpayment, or pay Landlord the amount of such overpayment, against or with the Monthly Rent next coming due hereunder after Landlord’s delivery of such materials to Tenant; provided, however, that if this Lease has expired or terminated and Tenant has vacated the Premises, then Landlord shall pay Tenant the amount of such underpayment (less any Rent due), or Tenant shall pay Landlord the amount of such overpayment, within 30 days after such delivery.</w:t>
      </w:r>
    </w:p>
    <w:p>
      <w:pPr>
        <w:spacing w:after="0" w:line="186" w:lineRule="exact"/>
        <w:rPr>
          <w:sz w:val="20"/>
          <w:szCs w:val="20"/>
          <w:color w:val="auto"/>
        </w:rPr>
      </w:pPr>
    </w:p>
    <w:p>
      <w:pPr>
        <w:jc w:val="both"/>
        <w:ind w:firstLine="8"/>
        <w:spacing w:after="0" w:line="256" w:lineRule="auto"/>
        <w:tabs>
          <w:tab w:leader="none" w:pos="63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Allocation</w:t>
      </w:r>
      <w:r>
        <w:rPr>
          <w:rFonts w:ascii="Times New Roman" w:cs="Times New Roman" w:eastAsia="Times New Roman" w:hAnsi="Times New Roman"/>
          <w:sz w:val="20"/>
          <w:szCs w:val="20"/>
          <w:color w:val="auto"/>
        </w:rPr>
        <w:t>. Landlord, in its reasonable discretion, may equitably allocate Expenses among office, retail or other portions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occupants of the Property. If Landlord incurs Expenses or Taxes for the Property together with another property, Landlord, in its reasonable discretion, shall equitably allocate such shared amounts between the Property and such other property.</w:t>
      </w:r>
    </w:p>
    <w:p>
      <w:pPr>
        <w:spacing w:after="0" w:line="18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Calculation and Payment of Expense Excess and Tax Excess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43" w:lineRule="auto"/>
        <w:tabs>
          <w:tab w:leader="none" w:pos="128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Statement of Actual Expenses and Taxes; Payment by Tenant. </w:t>
      </w:r>
      <w:r>
        <w:rPr>
          <w:rFonts w:ascii="Times New Roman" w:cs="Times New Roman" w:eastAsia="Times New Roman" w:hAnsi="Times New Roman"/>
          <w:sz w:val="20"/>
          <w:szCs w:val="20"/>
          <w:color w:val="auto"/>
        </w:rPr>
        <w:t>Landlord shall give to Tenant, after the end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Year, a statement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xml:space="preserve">”) setting forth the actual Expenses, Taxes, Expense Excess and Tax Excess for such Expense Year. If the amount paid by Tenant for such Expense Year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is less or more than the sum of Tenant’s Share of the actual Expense Excess plus Tenant’s Share of the actual Tax Excess (as such amounts are set forth in such Statement), Tenant shall pay Landlord the amount of such underpayment, or receive a credit in the amount of such overpayment, with or against the Rent next coming due hereunder; provided, however, that if this Lease has expired or terminated and Tenant has vacated the Premises, Tenant shall pay Landlord the amount of such underpayment, or Landlord shall pay Tenant the amount of such overpayment (less any Rent due), within 30 days after delivery of such Statement. Any failure of Landlord to timely deliver the Statement for any Expense Year shall not diminish either party’s rights under this Exhibit.</w:t>
      </w:r>
    </w:p>
    <w:p>
      <w:pPr>
        <w:spacing w:after="0" w:line="212" w:lineRule="exact"/>
        <w:rPr>
          <w:rFonts w:ascii="Times New Roman" w:cs="Times New Roman" w:eastAsia="Times New Roman" w:hAnsi="Times New Roman"/>
          <w:sz w:val="20"/>
          <w:szCs w:val="20"/>
          <w:color w:val="auto"/>
        </w:rPr>
      </w:pPr>
    </w:p>
    <w:p>
      <w:pPr>
        <w:jc w:val="both"/>
        <w:ind w:firstLine="656"/>
        <w:spacing w:after="0" w:line="242" w:lineRule="auto"/>
        <w:tabs>
          <w:tab w:leader="none" w:pos="129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Statement of Estimated Expenses and Taxes</w:t>
      </w:r>
      <w:r>
        <w:rPr>
          <w:rFonts w:ascii="Times New Roman" w:cs="Times New Roman" w:eastAsia="Times New Roman" w:hAnsi="Times New Roman"/>
          <w:sz w:val="20"/>
          <w:szCs w:val="20"/>
          <w:color w:val="auto"/>
        </w:rPr>
        <w:t>. Landlord shall give to Tenant, for each Expense Year, a statement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 Statement</w:t>
      </w:r>
      <w:r>
        <w:rPr>
          <w:rFonts w:ascii="Times New Roman" w:cs="Times New Roman" w:eastAsia="Times New Roman" w:hAnsi="Times New Roman"/>
          <w:sz w:val="20"/>
          <w:szCs w:val="20"/>
          <w:color w:val="auto"/>
        </w:rPr>
        <w:t>”) setting forth Landlord’s reasonable estimates of the Expenses, Taxes, Expense Excess (the “</w:t>
      </w:r>
      <w:r>
        <w:rPr>
          <w:rFonts w:ascii="Times New Roman" w:cs="Times New Roman" w:eastAsia="Times New Roman" w:hAnsi="Times New Roman"/>
          <w:sz w:val="20"/>
          <w:szCs w:val="20"/>
          <w:b w:val="1"/>
          <w:bCs w:val="1"/>
          <w:color w:val="auto"/>
        </w:rPr>
        <w:t>Estimated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Excess</w:t>
      </w:r>
      <w:r>
        <w:rPr>
          <w:rFonts w:ascii="Times New Roman" w:cs="Times New Roman" w:eastAsia="Times New Roman" w:hAnsi="Times New Roman"/>
          <w:sz w:val="20"/>
          <w:szCs w:val="20"/>
          <w:color w:val="auto"/>
        </w:rPr>
        <w:t>”) and Tax Excess (the “</w:t>
      </w:r>
      <w:r>
        <w:rPr>
          <w:rFonts w:ascii="Times New Roman" w:cs="Times New Roman" w:eastAsia="Times New Roman" w:hAnsi="Times New Roman"/>
          <w:sz w:val="20"/>
          <w:szCs w:val="20"/>
          <w:b w:val="1"/>
          <w:bCs w:val="1"/>
          <w:color w:val="auto"/>
        </w:rPr>
        <w:t>Estimated Tax Excess</w:t>
      </w:r>
      <w:r>
        <w:rPr>
          <w:rFonts w:ascii="Times New Roman" w:cs="Times New Roman" w:eastAsia="Times New Roman" w:hAnsi="Times New Roman"/>
          <w:sz w:val="20"/>
          <w:szCs w:val="20"/>
          <w:color w:val="auto"/>
        </w:rPr>
        <w:t>”) for such Expense Year. Upon receiving an Estimate Statement, Tenant shall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its next installment of Base Rent, an amount equal to the excess of (a) the amount obtained by multiplying (i) the sum of Tenant’s Share of the Estimated Expense Excess plus Tenant’s Share of the Estimated Tax Excess (as such amounts are set forth in such Estimate Statement), by (ii) a fraction, the numerator of which is the number of months that have elapsed in the applicable Expense Year (including the month of such payment) and the denominator of which is 12, over (b) any amount previously paid by Tenant for such Expense Year pursuant to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Until Landlord delivers a new Estimate Statement (which Landlord may do at any time), Tenant shall pay monthly, with the monthly Base Rent installments, an amount equal to one-twelfth (1/12) of the sum of Tenant’s Share of the Estimated Expense Excess plus Tenant’s Share of the Estimated Tax Excess, as such amounts are set forth in the previous Estimate Statement. Any failure of Landlord to timely deliver any Estimate Statement shall not diminish Landlord’s rights to receive payments and revise any previous Estimate Statement under this Exhibit.</w:t>
      </w:r>
    </w:p>
    <w:p>
      <w:pPr>
        <w:spacing w:after="0" w:line="200"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Retroactive Adjustment of Taxes</w:t>
      </w:r>
      <w:r>
        <w:rPr>
          <w:rFonts w:ascii="Times New Roman" w:cs="Times New Roman" w:eastAsia="Times New Roman" w:hAnsi="Times New Roman"/>
          <w:sz w:val="20"/>
          <w:szCs w:val="20"/>
          <w:color w:val="auto"/>
        </w:rPr>
        <w:t>. Notwithstanding any contrary provision hereof, but subject to the last sentence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2.3 above, if, after Landlord’s delivery of any Statement, an increase or decrease in Taxes occurs for the applicable Expense Year or for the Base Year (whether by reason of reassessment, error, or otherwise), Taxes for such Expense Year or the Base Year, as the case may be, and the Tax Excess for such Expense Year shall be retroactively adjusted. If, as a result of such adjustment, it is determined that Tenant has under- or overpaid Tenant’s Share of such Tax Excess, Tenant shall pay Landlord the amount of such underpayment, or receive a credit in the amount of such overpayment, with or against the Rent next coming due hereunder; provided, however, that if this Lease has expired or terminated and Tenant has vacated the Premises, Tenant shall pay Landlord the amount of such underpayment, or Landlord shall pay Tenant the amount of such overpayment (less any Rent due), within 30 days after such adjustment is made.</w:t>
      </w:r>
    </w:p>
    <w:p>
      <w:pPr>
        <w:sectPr>
          <w:pgSz w:w="11900" w:h="16838" w:orient="portrait"/>
          <w:cols w:equalWidth="0" w:num="1">
            <w:col w:w="11240"/>
          </w:cols>
          <w:pgMar w:left="320" w:top="1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 - 6</w:t>
      </w:r>
    </w:p>
    <w:p>
      <w:pPr>
        <w:sectPr>
          <w:pgSz w:w="11900" w:h="16838" w:orient="portrait"/>
          <w:cols w:equalWidth="0" w:num="1">
            <w:col w:w="11240"/>
          </w:cols>
          <w:pgMar w:left="320" w:top="1436" w:right="339" w:bottom="1440" w:gutter="0" w:footer="0" w:header="0"/>
          <w:type w:val="continuous"/>
        </w:sectPr>
      </w:pPr>
    </w:p>
    <w:bookmarkStart w:id="139" w:name="page140"/>
    <w:bookmarkEnd w:id="139"/>
    <w:p>
      <w:pPr>
        <w:spacing w:after="0" w:line="199" w:lineRule="exact"/>
        <w:rPr>
          <w:sz w:val="20"/>
          <w:szCs w:val="20"/>
          <w:color w:val="auto"/>
        </w:rPr>
      </w:pPr>
    </w:p>
    <w:p>
      <w:pPr>
        <w:jc w:val="both"/>
        <w:ind w:firstLine="8"/>
        <w:spacing w:after="0" w:line="243" w:lineRule="auto"/>
        <w:tabs>
          <w:tab w:leader="none" w:pos="63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Charges for Which Tenant Is Directly Responsible</w:t>
      </w:r>
      <w:r>
        <w:rPr>
          <w:rFonts w:ascii="Times New Roman" w:cs="Times New Roman" w:eastAsia="Times New Roman" w:hAnsi="Times New Roman"/>
          <w:sz w:val="20"/>
          <w:szCs w:val="20"/>
          <w:color w:val="auto"/>
        </w:rPr>
        <w:t>. Notwithstanding any contrary provision hereof, Tenant, promptly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demand, shall pay (or if paid by Landlord, reimburse Landlord for) each of the following to the extent levied against Landlord or Landlord’s property: (a) any tax based upon or measured by (i) the cost or value of Tenant’s trade fixtures, equipment, furniture or other personal property, or (ii) the cost or value of the Leasehold Improvements (defined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this Lease) to the extent such cost or value exceeds that of a Building-standard build-out, as determined by Landlord (it being acknowledged and agreed that the Leasehold Improvements described in the Approved Space Plan will not exceed a Building-standard build-out in cost or value); (b) any rent tax, sales tax, service tax, transfer tax, value added tax, or other tax, assessment, fee, levy or charge (including any gross receipts tax) respecting the Rent or services described herein or otherwise respecting this Lease, the transaction described herein, or the possession, leasing, operation, management, maintenance, alteration, repair, use or occupancy by Tenant of any portion of the Property pursuant to this Lease.</w:t>
      </w:r>
    </w:p>
    <w:p>
      <w:pPr>
        <w:spacing w:after="0" w:line="199" w:lineRule="exact"/>
        <w:rPr>
          <w:rFonts w:ascii="Times New Roman" w:cs="Times New Roman" w:eastAsia="Times New Roman" w:hAnsi="Times New Roman"/>
          <w:sz w:val="20"/>
          <w:szCs w:val="20"/>
          <w:color w:val="auto"/>
        </w:rPr>
      </w:pPr>
    </w:p>
    <w:p>
      <w:pPr>
        <w:jc w:val="both"/>
        <w:ind w:firstLine="8"/>
        <w:spacing w:after="0" w:line="253" w:lineRule="auto"/>
        <w:tabs>
          <w:tab w:leader="none" w:pos="63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Books and Records</w:t>
      </w:r>
      <w:r>
        <w:rPr>
          <w:rFonts w:ascii="Times New Roman" w:cs="Times New Roman" w:eastAsia="Times New Roman" w:hAnsi="Times New Roman"/>
          <w:sz w:val="19"/>
          <w:szCs w:val="19"/>
          <w:color w:val="auto"/>
        </w:rPr>
        <w:t>. Within 180 days after receiving any Statement (the “</w:t>
      </w:r>
      <w:r>
        <w:rPr>
          <w:rFonts w:ascii="Times New Roman" w:cs="Times New Roman" w:eastAsia="Times New Roman" w:hAnsi="Times New Roman"/>
          <w:sz w:val="19"/>
          <w:szCs w:val="19"/>
          <w:b w:val="1"/>
          <w:bCs w:val="1"/>
          <w:color w:val="auto"/>
        </w:rPr>
        <w:t>Review Notice Period</w:t>
      </w:r>
      <w:r>
        <w:rPr>
          <w:rFonts w:ascii="Times New Roman" w:cs="Times New Roman" w:eastAsia="Times New Roman" w:hAnsi="Times New Roman"/>
          <w:sz w:val="19"/>
          <w:szCs w:val="19"/>
          <w:color w:val="auto"/>
        </w:rPr>
        <w:t>”), Tenant may give Landlord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Review Notice</w:t>
      </w:r>
      <w:r>
        <w:rPr>
          <w:rFonts w:ascii="Times New Roman" w:cs="Times New Roman" w:eastAsia="Times New Roman" w:hAnsi="Times New Roman"/>
          <w:sz w:val="19"/>
          <w:szCs w:val="19"/>
          <w:color w:val="auto"/>
        </w:rPr>
        <w:t>”) stating that Tenant elects to review Landlord’s calculation of the Expense Excess for the Expense Year to which such Statement applies and identifying with reasonable specificity the records of Landlord reasonably relating to such matters that Tenant desires to review. Within a reasonable time after receiving a timely Review Notice (and, at Landlord’s option, an executed confidentiality agreement as described below), Landlord shall deliver to Tenant, or make available for inspection at a location reasonably designated by Landlord, copies of such records. Within 90 days after such records are made available to Tenant (the “</w:t>
      </w:r>
      <w:r>
        <w:rPr>
          <w:rFonts w:ascii="Times New Roman" w:cs="Times New Roman" w:eastAsia="Times New Roman" w:hAnsi="Times New Roman"/>
          <w:sz w:val="19"/>
          <w:szCs w:val="19"/>
          <w:b w:val="1"/>
          <w:bCs w:val="1"/>
          <w:color w:val="auto"/>
        </w:rPr>
        <w:t>Objection Period</w:t>
      </w:r>
      <w:r>
        <w:rPr>
          <w:rFonts w:ascii="Times New Roman" w:cs="Times New Roman" w:eastAsia="Times New Roman" w:hAnsi="Times New Roman"/>
          <w:sz w:val="19"/>
          <w:szCs w:val="19"/>
          <w:color w:val="auto"/>
        </w:rPr>
        <w:t>”), Tenant may deliver to Landlord notice (an “</w:t>
      </w:r>
      <w:r>
        <w:rPr>
          <w:rFonts w:ascii="Times New Roman" w:cs="Times New Roman" w:eastAsia="Times New Roman" w:hAnsi="Times New Roman"/>
          <w:sz w:val="19"/>
          <w:szCs w:val="19"/>
          <w:b w:val="1"/>
          <w:bCs w:val="1"/>
          <w:color w:val="auto"/>
        </w:rPr>
        <w:t>Objection Notice</w:t>
      </w:r>
      <w:r>
        <w:rPr>
          <w:rFonts w:ascii="Times New Roman" w:cs="Times New Roman" w:eastAsia="Times New Roman" w:hAnsi="Times New Roman"/>
          <w:sz w:val="19"/>
          <w:szCs w:val="19"/>
          <w:color w:val="auto"/>
        </w:rPr>
        <w:t xml:space="preserve">”) stating with reasonable specificity any objections to the Statement, in which event Landlord and Tenant shall work together in good faith to resolve Tenant’s objections. Tenant may not deliver more than one Review Notice or more than one Objection Notice with respect to any Statement. If Tenant fails to give Landlord a Review Notice before the expiration of the Review Notice Period or fails to give Landlord an Objection Notice before the expiration of the Objection Period, Tenant shall be deemed to have approved the Statement. Notwithstanding any contrary provision hereof, Landlord shall not be required to deliver or make available to Tenant records relating to the Base Year, and Tenant may not object to Expenses or Taxes for the Base Year, in each case other than in connection with and concurrently with the first review for an Expense Year performed by Tenant pursuant to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on the terms and conditions set forth herein. If Tenant retains an agent to review Landlord’s records, the agent must be with a CPA firm licensed to do business in the state or commonwealth in which the Building is located and its fees shall not be contingent, in whole or in part, upon the outcome of the review. Tenant shall be responsible for all costs of such review; provided, however, that if Landlord and Tenant determine that the sum of Expenses and Taxes for the Expense Year in question was overstated by more than five percent (5%), Landlord, within 30 days after receiving paid invoices therefor from Tenant, shall reimburse Tenant for the reasonable amounts paid by Tenant to third parties in connection with such review (not to exceed $5,000.00). The records and any related information obtained from Landlord shall be treated as confidential, and as applicable only to the Premises, by Tenant, its auditors, consultants, and any other parties reviewing the same on behalf of Tenant (collectively, “</w:t>
      </w:r>
      <w:r>
        <w:rPr>
          <w:rFonts w:ascii="Times New Roman" w:cs="Times New Roman" w:eastAsia="Times New Roman" w:hAnsi="Times New Roman"/>
          <w:sz w:val="19"/>
          <w:szCs w:val="19"/>
          <w:b w:val="1"/>
          <w:bCs w:val="1"/>
          <w:color w:val="auto"/>
        </w:rPr>
        <w:t>Tenant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Auditors</w:t>
      </w:r>
      <w:r>
        <w:rPr>
          <w:rFonts w:ascii="Times New Roman" w:cs="Times New Roman" w:eastAsia="Times New Roman" w:hAnsi="Times New Roman"/>
          <w:sz w:val="19"/>
          <w:szCs w:val="19"/>
          <w:color w:val="auto"/>
        </w:rPr>
        <w:t>”). Before making any records available for review, Landlord may require Tenant and Tenant’s Auditors to execute a reasonable confidentiality agreement, in which event Tenant shall cause the same to be executed and delivered to Landlord within 30 days after receiving it from Landlord, and if Tenant fails to do so, the Objection Period shall be reduced by one day for each day by which such execution and delivery follows the expiration of such 30-day period. Notwithstanding any contrary provision hereof, Tenant may not examine Landlord’s records or dispute any Statement if any Rent remains unpaid past its due date. If, for any Expense Year, Landlord and Tenant determine that the sum of Tenant’s Share of the actual Expense Excess is less or more than the amount reported, Tenant shall receive a credit in the amount of its overpayment, or pay Landlord the amount of its underpayment, against or with the Rent next due hereunder; provided, however, that if this Lease has expired or terminated and Tenant has vacated the Premises, Landlord shall pay Tenant the amount of its overpayment (less any Rent due), or Tenant shall pay Landlord the amount of its underpayment, within 30 days after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 - 7</w:t>
      </w:r>
    </w:p>
    <w:p>
      <w:pPr>
        <w:sectPr>
          <w:pgSz w:w="11900" w:h="16838" w:orient="portrait"/>
          <w:cols w:equalWidth="0" w:num="1">
            <w:col w:w="11240"/>
          </w:cols>
          <w:pgMar w:left="320" w:top="144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WORK LETTER</w:t>
      </w:r>
    </w:p>
    <w:p>
      <w:pPr>
        <w:spacing w:after="0" w:line="229"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Work Letter</w:t>
      </w:r>
      <w:r>
        <w:rPr>
          <w:rFonts w:ascii="Times New Roman" w:cs="Times New Roman" w:eastAsia="Times New Roman" w:hAnsi="Times New Roman"/>
          <w:sz w:val="20"/>
          <w:szCs w:val="20"/>
          <w:color w:val="auto"/>
        </w:rPr>
        <w:t>”), the following terms shall have the following meanings: (i) “</w:t>
      </w:r>
      <w:r>
        <w:rPr>
          <w:rFonts w:ascii="Times New Roman" w:cs="Times New Roman" w:eastAsia="Times New Roman" w:hAnsi="Times New Roman"/>
          <w:sz w:val="20"/>
          <w:szCs w:val="20"/>
          <w:b w:val="1"/>
          <w:bCs w:val="1"/>
          <w:color w:val="auto"/>
        </w:rPr>
        <w:t>Tenant Improvements</w:t>
      </w:r>
      <w:r>
        <w:rPr>
          <w:rFonts w:ascii="Times New Roman" w:cs="Times New Roman" w:eastAsia="Times New Roman" w:hAnsi="Times New Roman"/>
          <w:sz w:val="20"/>
          <w:szCs w:val="20"/>
          <w:color w:val="auto"/>
        </w:rPr>
        <w:t>” means all improvements to be constructed in the Premises pursuant to this Work Letter; and (ii) “</w:t>
      </w:r>
      <w:r>
        <w:rPr>
          <w:rFonts w:ascii="Times New Roman" w:cs="Times New Roman" w:eastAsia="Times New Roman" w:hAnsi="Times New Roman"/>
          <w:sz w:val="20"/>
          <w:szCs w:val="20"/>
          <w:b w:val="1"/>
          <w:bCs w:val="1"/>
          <w:color w:val="auto"/>
        </w:rPr>
        <w:t>Tenant Improvement Work</w:t>
      </w:r>
      <w:r>
        <w:rPr>
          <w:rFonts w:ascii="Times New Roman" w:cs="Times New Roman" w:eastAsia="Times New Roman" w:hAnsi="Times New Roman"/>
          <w:sz w:val="20"/>
          <w:szCs w:val="20"/>
          <w:color w:val="auto"/>
        </w:rPr>
        <w:t>” means the construction of the Tenant Improvements, together with any related work (including demolition) that is necessary to construct the Tenant Improvements. All capitalized terms not otherwise defined herein shall have the meaning set forth in this Lease.</w:t>
      </w:r>
    </w:p>
    <w:p>
      <w:pPr>
        <w:spacing w:after="0" w:line="189" w:lineRule="exact"/>
        <w:rPr>
          <w:sz w:val="20"/>
          <w:szCs w:val="20"/>
          <w:color w:val="auto"/>
        </w:rPr>
      </w:pPr>
    </w:p>
    <w:p>
      <w:pPr>
        <w:ind w:left="640" w:hanging="632"/>
        <w:spacing w:after="0"/>
        <w:tabs>
          <w:tab w:leader="none" w:pos="6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COST OF TENANT IMPROVEMENT WORK.</w:t>
      </w:r>
    </w:p>
    <w:p>
      <w:pPr>
        <w:spacing w:after="0" w:line="215" w:lineRule="exact"/>
        <w:rPr>
          <w:rFonts w:ascii="Times New Roman" w:cs="Times New Roman" w:eastAsia="Times New Roman" w:hAnsi="Times New Roman"/>
          <w:sz w:val="20"/>
          <w:szCs w:val="20"/>
          <w:b w:val="1"/>
          <w:bCs w:val="1"/>
          <w:color w:val="auto"/>
        </w:rPr>
      </w:pPr>
    </w:p>
    <w:p>
      <w:pPr>
        <w:ind w:left="660" w:hanging="198"/>
        <w:spacing w:after="0"/>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the Tenant Improvement Work shall be performed at Landlord’s expense.</w:t>
      </w:r>
    </w:p>
    <w:p>
      <w:pPr>
        <w:spacing w:after="0" w:line="215" w:lineRule="exact"/>
        <w:rPr>
          <w:rFonts w:ascii="Times New Roman" w:cs="Times New Roman" w:eastAsia="Times New Roman" w:hAnsi="Times New Roman"/>
          <w:sz w:val="20"/>
          <w:szCs w:val="20"/>
          <w:color w:val="auto"/>
        </w:rPr>
      </w:pPr>
    </w:p>
    <w:p>
      <w:pPr>
        <w:jc w:val="both"/>
        <w:ind w:firstLine="462"/>
        <w:spacing w:after="0" w:line="256" w:lineRule="auto"/>
        <w:tabs>
          <w:tab w:leader="none" w:pos="64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Space Planning Allowance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Tenant acknowledges that it has received a one-time allowance in the amount of</w:t>
      </w:r>
      <w:r>
        <w:rPr>
          <w:rFonts w:ascii="Times New Roman" w:cs="Times New Roman" w:eastAsia="Times New Roman" w:hAnsi="Times New Roman"/>
          <w:sz w:val="20"/>
          <w:szCs w:val="20"/>
          <w:b w:val="1"/>
          <w:bCs w:val="1"/>
          <w:color w:val="auto"/>
        </w:rPr>
        <w:t xml:space="preserve"> $5,813.10 </w:t>
      </w:r>
      <w:r>
        <w:rPr>
          <w:rFonts w:ascii="Times New Roman" w:cs="Times New Roman" w:eastAsia="Times New Roman" w:hAnsi="Times New Roman"/>
          <w:sz w:val="20"/>
          <w:szCs w:val="20"/>
          <w:color w:val="auto"/>
        </w:rPr>
        <w:t xml:space="preserve">(i.e. </w:t>
      </w:r>
      <w:r>
        <w:rPr>
          <w:rFonts w:ascii="Times New Roman" w:cs="Times New Roman" w:eastAsia="Times New Roman" w:hAnsi="Times New Roman"/>
          <w:sz w:val="20"/>
          <w:szCs w:val="20"/>
          <w:b w:val="1"/>
          <w:bCs w:val="1"/>
          <w:color w:val="auto"/>
        </w:rPr>
        <w:t>$0.15</w:t>
      </w:r>
      <w:r>
        <w:rPr>
          <w:rFonts w:ascii="Times New Roman" w:cs="Times New Roman" w:eastAsia="Times New Roman" w:hAnsi="Times New Roman"/>
          <w:sz w:val="20"/>
          <w:szCs w:val="20"/>
          <w:color w:val="auto"/>
        </w:rPr>
        <w:t xml:space="preserve"> per rentable square foot of the Premises) to reimburse Tenant’s reasonable costs of preparing the Approved Space Plan (defined below).</w:t>
      </w:r>
    </w:p>
    <w:p>
      <w:pPr>
        <w:spacing w:after="0" w:line="16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ARCHITECTURAL PLANS.</w:t>
      </w:r>
    </w:p>
    <w:p>
      <w:pPr>
        <w:spacing w:after="0" w:line="215" w:lineRule="exact"/>
        <w:rPr>
          <w:rFonts w:ascii="Times New Roman" w:cs="Times New Roman" w:eastAsia="Times New Roman" w:hAnsi="Times New Roman"/>
          <w:sz w:val="20"/>
          <w:szCs w:val="20"/>
          <w:b w:val="1"/>
          <w:bCs w:val="1"/>
          <w:color w:val="auto"/>
        </w:rPr>
      </w:pPr>
    </w:p>
    <w:p>
      <w:pPr>
        <w:ind w:firstLine="462"/>
        <w:spacing w:after="0" w:line="273" w:lineRule="auto"/>
        <w:tabs>
          <w:tab w:leader="none" w:pos="64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Selection of Architect</w:t>
      </w:r>
      <w:r>
        <w:rPr>
          <w:rFonts w:ascii="Times New Roman" w:cs="Times New Roman" w:eastAsia="Times New Roman" w:hAnsi="Times New Roman"/>
          <w:sz w:val="20"/>
          <w:szCs w:val="20"/>
          <w:color w:val="auto"/>
        </w:rPr>
        <w:t>. Landlord shall retain Wolcott &amp; Associates or another architect/space planner selected by Landlord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approved by Tenant (the “</w:t>
      </w:r>
      <w:r>
        <w:rPr>
          <w:rFonts w:ascii="Times New Roman" w:cs="Times New Roman" w:eastAsia="Times New Roman" w:hAnsi="Times New Roman"/>
          <w:sz w:val="20"/>
          <w:szCs w:val="20"/>
          <w:b w:val="1"/>
          <w:bCs w:val="1"/>
          <w:color w:val="auto"/>
        </w:rPr>
        <w:t>Architect</w:t>
      </w:r>
      <w:r>
        <w:rPr>
          <w:rFonts w:ascii="Times New Roman" w:cs="Times New Roman" w:eastAsia="Times New Roman" w:hAnsi="Times New Roman"/>
          <w:sz w:val="20"/>
          <w:szCs w:val="20"/>
          <w:color w:val="auto"/>
        </w:rPr>
        <w:t xml:space="preserve">”) to prepare the Architectural Drawings (defined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below).</w:t>
      </w:r>
    </w:p>
    <w:p>
      <w:pPr>
        <w:spacing w:after="0" w:line="151" w:lineRule="exact"/>
        <w:rPr>
          <w:rFonts w:ascii="Times New Roman" w:cs="Times New Roman" w:eastAsia="Times New Roman" w:hAnsi="Times New Roman"/>
          <w:sz w:val="20"/>
          <w:szCs w:val="20"/>
          <w:color w:val="auto"/>
        </w:rPr>
      </w:pPr>
    </w:p>
    <w:p>
      <w:pPr>
        <w:jc w:val="both"/>
        <w:ind w:firstLine="462"/>
        <w:spacing w:after="0" w:line="246" w:lineRule="auto"/>
        <w:tabs>
          <w:tab w:leader="none" w:pos="64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Approved Space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and Tenant acknowledge that they have approved the scope of work described in the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Pricing Plans, Reflected Ceiling Pricing Plans, Demolition Pricing Plans, and AV Summary for Pricing for the Premises containing seven (7) sheets and issued on September 28, 2020 (and last revised on November 11, 2020) by Wolcott Architecture, excluding any provision thereof that is inconsistent with any provision of this Work Letter (the “</w:t>
      </w:r>
      <w:r>
        <w:rPr>
          <w:rFonts w:ascii="Times New Roman" w:cs="Times New Roman" w:eastAsia="Times New Roman" w:hAnsi="Times New Roman"/>
          <w:sz w:val="20"/>
          <w:szCs w:val="20"/>
          <w:b w:val="1"/>
          <w:bCs w:val="1"/>
          <w:color w:val="auto"/>
        </w:rPr>
        <w:t>Approved Space Plan</w:t>
      </w:r>
      <w:r>
        <w:rPr>
          <w:rFonts w:ascii="Times New Roman" w:cs="Times New Roman" w:eastAsia="Times New Roman" w:hAnsi="Times New Roman"/>
          <w:sz w:val="20"/>
          <w:szCs w:val="20"/>
          <w:color w:val="auto"/>
        </w:rPr>
        <w:t>”). All materials, finishes, and mechanical, electrical and plumbing requirements contemplated by the Approved Space Plan shall be deemed to be Building-standard unless otherwise expressly provided therein.</w:t>
      </w:r>
    </w:p>
    <w:p>
      <w:pPr>
        <w:spacing w:after="0" w:line="178" w:lineRule="exact"/>
        <w:rPr>
          <w:rFonts w:ascii="Times New Roman" w:cs="Times New Roman" w:eastAsia="Times New Roman" w:hAnsi="Times New Roman"/>
          <w:sz w:val="20"/>
          <w:szCs w:val="20"/>
          <w:color w:val="auto"/>
        </w:rPr>
      </w:pPr>
    </w:p>
    <w:p>
      <w:pPr>
        <w:jc w:val="both"/>
        <w:ind w:firstLine="462"/>
        <w:spacing w:after="0" w:line="247" w:lineRule="auto"/>
        <w:tabs>
          <w:tab w:leader="none" w:pos="64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and Tenant acknowledge that they have approved the Pricing Notes attached to this Lease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C-1</w:t>
      </w:r>
      <w:r>
        <w:rPr>
          <w:rFonts w:ascii="Times New Roman" w:cs="Times New Roman" w:eastAsia="Times New Roman" w:hAnsi="Times New Roman"/>
          <w:sz w:val="20"/>
          <w:szCs w:val="20"/>
          <w:color w:val="auto"/>
        </w:rPr>
        <w:t>, which contain all information (including all interior and special finishes) that, when combined with the Approved Space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will be sufficient to complete the Architectural Drawings, together with all information (including all electrical requirements, telephone requirements, special HVAC requirements, and plumbing requirements) that, when combined with the Approved Space Plan, will be sufficient to complete the Engineering Drawings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below) (collectively, the “</w:t>
      </w:r>
      <w:r>
        <w:rPr>
          <w:rFonts w:ascii="Times New Roman" w:cs="Times New Roman" w:eastAsia="Times New Roman" w:hAnsi="Times New Roman"/>
          <w:sz w:val="20"/>
          <w:szCs w:val="20"/>
          <w:b w:val="1"/>
          <w:bCs w:val="1"/>
          <w:color w:val="auto"/>
        </w:rPr>
        <w:t>Approved Additional Information</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462"/>
        <w:spacing w:after="0" w:line="241" w:lineRule="auto"/>
        <w:tabs>
          <w:tab w:leader="none" w:pos="63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Architectural Drawings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cause the Architect to prepare and deliver to Tenant the final architectural (and,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applicable, structural) working drawings for the Tenant Improvement Work that are in a form that (a) when combined with any programming information that is contained in the Approved Space Plan or the Approved Additional Information but not expressly incorporated into such working drawings, will be sufficient to enable the Contractor (defined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below) and its subcontractors to bid on the Tenant Improvement Work, and (b) when combined with any Approved Engineering Drawings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below), will be sufficient to obtain the Permits (defined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below) (the “</w:t>
      </w:r>
      <w:r>
        <w:rPr>
          <w:rFonts w:ascii="Times New Roman" w:cs="Times New Roman" w:eastAsia="Times New Roman" w:hAnsi="Times New Roman"/>
          <w:sz w:val="20"/>
          <w:szCs w:val="20"/>
          <w:b w:val="1"/>
          <w:bCs w:val="1"/>
          <w:color w:val="auto"/>
        </w:rPr>
        <w:t>Architectural Drawings</w:t>
      </w:r>
      <w:r>
        <w:rPr>
          <w:rFonts w:ascii="Times New Roman" w:cs="Times New Roman" w:eastAsia="Times New Roman" w:hAnsi="Times New Roman"/>
          <w:sz w:val="20"/>
          <w:szCs w:val="20"/>
          <w:color w:val="auto"/>
        </w:rPr>
        <w:t>”). The Architectural Drawings shall conform to the Approved Space Plan and the Approved Additional Information. The Architect’s preparation and delivery of the Architectural Drawings shall occur within 15 business days after the mutual execution and delivery of this Lease. Tenant shall approve or disapprove the Architectural Drawings, by notice to Landlord, within 5 business days after receiving the same. If Tenant disapproves the Architectural Drawings, Tenant’s notice of disapproval shall specify any revisions Tenant desires in the Architectural Drawings. After receiving such notice of disapproval, Landlord shall cause the Architect to revise the Architectural Drawings and resubmit them to Tenant, taking into account the reasons for Tenant’s disapproval; provided, however, that Landlord shall not be required to cause the Architect to make any revision to the Architectural Drawings that (a) conflicts with Landlord’s requirements for avoiding aesthetic, engineering or other conflicts with the design and function of the balance of the Building (collectively, the “</w:t>
      </w:r>
      <w:r>
        <w:rPr>
          <w:rFonts w:ascii="Times New Roman" w:cs="Times New Roman" w:eastAsia="Times New Roman" w:hAnsi="Times New Roman"/>
          <w:sz w:val="20"/>
          <w:szCs w:val="20"/>
          <w:b w:val="1"/>
          <w:bCs w:val="1"/>
          <w:color w:val="auto"/>
        </w:rPr>
        <w:t>Landlord Requirements</w:t>
      </w:r>
      <w:r>
        <w:rPr>
          <w:rFonts w:ascii="Times New Roman" w:cs="Times New Roman" w:eastAsia="Times New Roman" w:hAnsi="Times New Roman"/>
          <w:sz w:val="20"/>
          <w:szCs w:val="20"/>
          <w:color w:val="auto"/>
        </w:rPr>
        <w:t>”), (b) conflicts with the Approved Space Plan or would increase the cost of the Tenant Improvement Work (as reasonably estimated by Landlord) over the cost of the work described in the Approved Space Plan (as reasonably estimated by Landlord), or (c) is otherwise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09" w:right="339" w:bottom="1440" w:gutter="0" w:footer="0" w:header="0"/>
          <w:type w:val="continuous"/>
        </w:sectPr>
      </w:pPr>
    </w:p>
    <w:bookmarkStart w:id="141" w:name="page142"/>
    <w:bookmarkEnd w:id="141"/>
    <w:p>
      <w:pPr>
        <w:jc w:val="both"/>
        <w:spacing w:after="0" w:line="246" w:lineRule="auto"/>
        <w:rPr>
          <w:sz w:val="20"/>
          <w:szCs w:val="20"/>
          <w:color w:val="auto"/>
        </w:rPr>
      </w:pPr>
      <w:r>
        <w:rPr>
          <w:rFonts w:ascii="Times New Roman" w:cs="Times New Roman" w:eastAsia="Times New Roman" w:hAnsi="Times New Roman"/>
          <w:sz w:val="20"/>
          <w:szCs w:val="20"/>
          <w:color w:val="auto"/>
        </w:rPr>
        <w:t>reasonably disapproved by Landlord. Such revision and resubmission shall occur within five (5) business days after the later of Landlord’s receipt of Tenant’s notice of disapproval or the mutual execution and delivery of this Lease if such revision is not material, and within such longer period of time as may be reasonably necessary (but not more than 15 business days after the later of such receipt or such mutual execution and delivery) if such revision is material. Such procedure shall be repeated as necessary until Tenant has approved the Architectural Drawings. Such approved Architectural Drawings shall be referred to herein as the “</w:t>
      </w:r>
      <w:r>
        <w:rPr>
          <w:rFonts w:ascii="Times New Roman" w:cs="Times New Roman" w:eastAsia="Times New Roman" w:hAnsi="Times New Roman"/>
          <w:sz w:val="20"/>
          <w:szCs w:val="20"/>
          <w:b w:val="1"/>
          <w:bCs w:val="1"/>
          <w:color w:val="auto"/>
        </w:rPr>
        <w:t>Approved Architectural Drawings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s Approval Deadline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approve the Architectural Drawings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above on or before Tenant’s Approval Deadline (defined below). As used in this Work Letter,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Approval Deadline</w:t>
      </w:r>
      <w:r>
        <w:rPr>
          <w:rFonts w:ascii="Times New Roman" w:cs="Times New Roman" w:eastAsia="Times New Roman" w:hAnsi="Times New Roman"/>
          <w:sz w:val="20"/>
          <w:szCs w:val="20"/>
          <w:color w:val="auto"/>
        </w:rPr>
        <w:t xml:space="preserve">” means the date occurring 30 business days after the mutual execution and delivery of this Lease; provided, however, that Tenant’s Approval Deadline shall be extended by one (1) day for each day, if any, by which Tenant’s approval of the Architectural Drawings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above is delayed by any failure of Landlord to perform its obligations under this </w:t>
      </w:r>
      <w:r>
        <w:rPr>
          <w:rFonts w:ascii="Times New Roman" w:cs="Times New Roman" w:eastAsia="Times New Roman" w:hAnsi="Times New Roman"/>
          <w:sz w:val="20"/>
          <w:szCs w:val="20"/>
          <w:u w:val="single" w:color="auto"/>
          <w:color w:val="auto"/>
        </w:rPr>
        <w:t>Section 2</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b w:val="1"/>
          <w:bCs w:val="1"/>
          <w:u w:val="single" w:color="auto"/>
          <w:color w:val="auto"/>
        </w:rPr>
        <w:t>Engineering Drawings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cause the engineering working drawings for the mechanical, electrical, plumbing, fire-alarm and fire sprinkler work in the Premises (the “</w:t>
      </w:r>
      <w:r>
        <w:rPr>
          <w:rFonts w:ascii="Times New Roman" w:cs="Times New Roman" w:eastAsia="Times New Roman" w:hAnsi="Times New Roman"/>
          <w:sz w:val="20"/>
          <w:szCs w:val="20"/>
          <w:b w:val="1"/>
          <w:bCs w:val="1"/>
          <w:color w:val="auto"/>
        </w:rPr>
        <w:t>Engineering Drawings</w:t>
      </w:r>
      <w:r>
        <w:rPr>
          <w:rFonts w:ascii="Times New Roman" w:cs="Times New Roman" w:eastAsia="Times New Roman" w:hAnsi="Times New Roman"/>
          <w:sz w:val="20"/>
          <w:szCs w:val="20"/>
          <w:color w:val="auto"/>
        </w:rPr>
        <w:t>”) to (a) be prepared by one or more of the Architect, the Contractor, subcontractors and/or engineers or other consultants selected and/or retained by the Architect, the Contractor or Landlord, and (b) conform to the Approved Space Plan, the Approved Additional Information, and any then-existing Approved Architectural Drawings (collectively, the “</w:t>
      </w:r>
      <w:r>
        <w:rPr>
          <w:rFonts w:ascii="Times New Roman" w:cs="Times New Roman" w:eastAsia="Times New Roman" w:hAnsi="Times New Roman"/>
          <w:sz w:val="20"/>
          <w:szCs w:val="20"/>
          <w:b w:val="1"/>
          <w:bCs w:val="1"/>
          <w:color w:val="auto"/>
        </w:rPr>
        <w:t>Engineering Requirements</w:t>
      </w:r>
      <w:r>
        <w:rPr>
          <w:rFonts w:ascii="Times New Roman" w:cs="Times New Roman" w:eastAsia="Times New Roman" w:hAnsi="Times New Roman"/>
          <w:sz w:val="20"/>
          <w:szCs w:val="20"/>
          <w:color w:val="auto"/>
        </w:rPr>
        <w:t>”). Engineering Drawings that conform to the Engineering Requirements shall be referred to herein as “</w:t>
      </w:r>
      <w:r>
        <w:rPr>
          <w:rFonts w:ascii="Times New Roman" w:cs="Times New Roman" w:eastAsia="Times New Roman" w:hAnsi="Times New Roman"/>
          <w:sz w:val="20"/>
          <w:szCs w:val="20"/>
          <w:b w:val="1"/>
          <w:bCs w:val="1"/>
          <w:color w:val="auto"/>
        </w:rPr>
        <w:t>Approved Engineering Drawings</w:t>
      </w:r>
      <w:r>
        <w:rPr>
          <w:rFonts w:ascii="Times New Roman" w:cs="Times New Roman" w:eastAsia="Times New Roman" w:hAnsi="Times New Roman"/>
          <w:sz w:val="20"/>
          <w:szCs w:val="20"/>
          <w:color w:val="auto"/>
        </w:rPr>
        <w:t>”. The Approved Architectural Drawings and the Approved Engineering Drawings are collectively referred to herein as the “</w:t>
      </w:r>
      <w:r>
        <w:rPr>
          <w:rFonts w:ascii="Times New Roman" w:cs="Times New Roman" w:eastAsia="Times New Roman" w:hAnsi="Times New Roman"/>
          <w:sz w:val="20"/>
          <w:szCs w:val="20"/>
          <w:b w:val="1"/>
          <w:bCs w:val="1"/>
          <w:color w:val="auto"/>
        </w:rPr>
        <w:t>Approved Construction Drawings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454"/>
        <w:spacing w:after="0" w:line="254" w:lineRule="auto"/>
        <w:rPr>
          <w:sz w:val="20"/>
          <w:szCs w:val="20"/>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b w:val="1"/>
          <w:bCs w:val="1"/>
          <w:u w:val="single" w:color="auto"/>
          <w:color w:val="auto"/>
        </w:rPr>
        <w:t>Revisions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If Tenant requests any revision to the Approved Space Plan, the Approved Additional Information, the Approved Architectural Drawings, or the Approved Engineering Drawings (collectively, the “</w:t>
      </w:r>
      <w:r>
        <w:rPr>
          <w:rFonts w:ascii="Times New Roman" w:cs="Times New Roman" w:eastAsia="Times New Roman" w:hAnsi="Times New Roman"/>
          <w:sz w:val="19"/>
          <w:szCs w:val="19"/>
          <w:b w:val="1"/>
          <w:bCs w:val="1"/>
          <w:color w:val="auto"/>
        </w:rPr>
        <w:t>Approved Plans</w:t>
      </w:r>
      <w:r>
        <w:rPr>
          <w:rFonts w:ascii="Times New Roman" w:cs="Times New Roman" w:eastAsia="Times New Roman" w:hAnsi="Times New Roman"/>
          <w:sz w:val="19"/>
          <w:szCs w:val="19"/>
          <w:color w:val="auto"/>
        </w:rPr>
        <w:t>”), Landlord shall provide Tenant with notice approving or reasonably disapproving such revision, and, if Landlord approves such revision, Landlord shall deliver to Tenant notice of any resulting change in the estimated total cost associated with the Tenant Improvement Work (together with a copy of the revision itself, except in the case of the Approved Additional Information), whereupon Tenant, within 5 business days, shall notify Landlord whether it desires to proceed with such revision. If Landlord has begun performing the Tenant Improvement Work, then, in the absence of such authorization, Landlord shall have the option to continue such performance disregarding such revision. Without limitation, it shall be deemed reasonable for Landlord to disapprove any such proposed revision that conflicts with the Landlord Requirements. For purposes hereof, any change order affecting the Approved Plans shall be deemed a revision thereto. Tenant shall reimburse Landlord, within ten (10) business days following written demand, for any increase in the estimated total cost associated with the Tenant Improvement Work that results from any revision to the Approved Plans requested or made by Tenant, including any cost of preparing or reviewing such revision, and any applicable state sales or use tax thereon; provided, however, that Tenant shall not be responsible for any such increase that results from a change to the Common Areas or the Base Building (other than a portion of a Base Building System located in or exclusively serving the Premises) that</w:t>
      </w:r>
    </w:p>
    <w:p>
      <w:pPr>
        <w:spacing w:after="0" w:line="4" w:lineRule="exact"/>
        <w:rPr>
          <w:sz w:val="20"/>
          <w:szCs w:val="20"/>
          <w:color w:val="auto"/>
        </w:rPr>
      </w:pPr>
    </w:p>
    <w:p>
      <w:pPr>
        <w:jc w:val="both"/>
        <w:ind w:firstLine="8"/>
        <w:spacing w:after="0" w:line="242" w:lineRule="auto"/>
        <w:tabs>
          <w:tab w:leader="none" w:pos="29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not requested by Tenant, and (b) is required under Law as a result of a Tenant Improvement that (i) is requested by Tenant, (ii) is customary for general office use, and (iii) does not become subject to such Law by reason of a Tenant Delay (defined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below). The amounts payable by Tenant hereunder constitute Rent payable pursuant to this Lease.</w:t>
      </w:r>
    </w:p>
    <w:p>
      <w:pPr>
        <w:spacing w:after="0" w:line="183"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CONSTRUCTION.</w:t>
      </w:r>
    </w:p>
    <w:p>
      <w:pPr>
        <w:spacing w:after="0" w:line="215" w:lineRule="exact"/>
        <w:rPr>
          <w:rFonts w:ascii="Times New Roman" w:cs="Times New Roman" w:eastAsia="Times New Roman" w:hAnsi="Times New Roman"/>
          <w:sz w:val="20"/>
          <w:szCs w:val="20"/>
          <w:b w:val="1"/>
          <w:bCs w:val="1"/>
          <w:color w:val="auto"/>
        </w:rPr>
      </w:pPr>
    </w:p>
    <w:p>
      <w:pPr>
        <w:jc w:val="both"/>
        <w:ind w:right="20" w:firstLine="462"/>
        <w:spacing w:after="0" w:line="256" w:lineRule="auto"/>
        <w:tabs>
          <w:tab w:leader="none" w:pos="63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Contractor</w:t>
      </w:r>
      <w:r>
        <w:rPr>
          <w:rFonts w:ascii="Times New Roman" w:cs="Times New Roman" w:eastAsia="Times New Roman" w:hAnsi="Times New Roman"/>
          <w:sz w:val="20"/>
          <w:szCs w:val="20"/>
          <w:color w:val="auto"/>
        </w:rPr>
        <w:t>. Landlord shall retain a contractor of its choice (the “</w:t>
      </w:r>
      <w:r>
        <w:rPr>
          <w:rFonts w:ascii="Times New Roman" w:cs="Times New Roman" w:eastAsia="Times New Roman" w:hAnsi="Times New Roman"/>
          <w:sz w:val="20"/>
          <w:szCs w:val="20"/>
          <w:b w:val="1"/>
          <w:bCs w:val="1"/>
          <w:color w:val="auto"/>
        </w:rPr>
        <w:t>Contractor</w:t>
      </w:r>
      <w:r>
        <w:rPr>
          <w:rFonts w:ascii="Times New Roman" w:cs="Times New Roman" w:eastAsia="Times New Roman" w:hAnsi="Times New Roman"/>
          <w:sz w:val="20"/>
          <w:szCs w:val="20"/>
          <w:color w:val="auto"/>
        </w:rPr>
        <w:t>”) to perform the Tenant Improvement Work.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 Landlord may select and/or approve of any subcontractors, mechanics and materialmen used in connection with the performance of the Tenant Improvement Work.</w:t>
      </w:r>
    </w:p>
    <w:p>
      <w:pPr>
        <w:spacing w:after="0" w:line="168" w:lineRule="exact"/>
        <w:rPr>
          <w:rFonts w:ascii="Times New Roman" w:cs="Times New Roman" w:eastAsia="Times New Roman" w:hAnsi="Times New Roman"/>
          <w:sz w:val="20"/>
          <w:szCs w:val="20"/>
          <w:color w:val="auto"/>
        </w:rPr>
      </w:pPr>
    </w:p>
    <w:p>
      <w:pPr>
        <w:jc w:val="both"/>
        <w:ind w:firstLine="462"/>
        <w:spacing w:after="0" w:line="256" w:lineRule="auto"/>
        <w:tabs>
          <w:tab w:leader="none" w:pos="64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Permits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cause the Architect, the Contractor and/or other consultants of Landlord to submit the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Construction Drawings to the appropriate municipal authorities and otherwise apply for and obtain from such authorities all permits necessary for the Contractor to complete the Tenant Improvement Work (the “</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640" w:hanging="178"/>
        <w:spacing w:after="0"/>
        <w:tabs>
          <w:tab w:leader="none" w:pos="6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Construction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868"/>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Performance of Tenant Improvement Work</w:t>
      </w:r>
      <w:r>
        <w:rPr>
          <w:rFonts w:ascii="Times New Roman" w:cs="Times New Roman" w:eastAsia="Times New Roman" w:hAnsi="Times New Roman"/>
          <w:sz w:val="20"/>
          <w:szCs w:val="20"/>
          <w:color w:val="auto"/>
        </w:rPr>
        <w:t>. Landlord shall cause the Contractor to perform the Tenant Improvement Work in accordance with the Approved Construction Drawings. Tenant and Landlord agree that Landlord is not responsible for and is not performing any alterations, repairs or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13"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improvements in the Premises with respect to any Lines, Unit, audio visual system, or security system, if any.</w:t>
      </w:r>
    </w:p>
    <w:p>
      <w:pPr>
        <w:spacing w:after="0" w:line="212" w:lineRule="exact"/>
        <w:rPr>
          <w:sz w:val="20"/>
          <w:szCs w:val="20"/>
          <w:color w:val="auto"/>
        </w:rPr>
      </w:pPr>
    </w:p>
    <w:p>
      <w:pPr>
        <w:jc w:val="both"/>
        <w:ind w:firstLine="821"/>
        <w:spacing w:after="0" w:line="247" w:lineRule="auto"/>
        <w:tabs>
          <w:tab w:leader="none" w:pos="1296"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Contractor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Warranties</w:t>
      </w:r>
      <w:r>
        <w:rPr>
          <w:rFonts w:ascii="Times New Roman" w:cs="Times New Roman" w:eastAsia="Times New Roman" w:hAnsi="Times New Roman"/>
          <w:sz w:val="20"/>
          <w:szCs w:val="20"/>
          <w:color w:val="auto"/>
        </w:rPr>
        <w:t>. Tenant waives all claims against Landlord relating to any defects in the Tenant Improvements;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however, that if, within 90 days after substantial completion of the Tenant Improvement Work, Tenant provides notice to Landlord of any non-latent defect in the Tenant Improvements, or if, within 345 days after substantial completion of the Tenant Improvement Work, Tenant provides notice to Landlord of any latent defect in the Tenant Improvements, then Landlord shall promptly cause such defect to be corrected.</w:t>
      </w:r>
    </w:p>
    <w:p>
      <w:pPr>
        <w:spacing w:after="0" w:line="180" w:lineRule="exact"/>
        <w:rPr>
          <w:rFonts w:ascii="Times New Roman" w:cs="Times New Roman" w:eastAsia="Times New Roman" w:hAnsi="Times New Roman"/>
          <w:sz w:val="20"/>
          <w:szCs w:val="20"/>
          <w:color w:val="auto"/>
        </w:rPr>
      </w:pPr>
    </w:p>
    <w:p>
      <w:pPr>
        <w:jc w:val="both"/>
        <w:ind w:firstLine="8"/>
        <w:spacing w:after="0" w:line="241" w:lineRule="auto"/>
        <w:tabs>
          <w:tab w:leader="none" w:pos="636"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SUITABILITY FOR TENANT’S USE. </w:t>
      </w:r>
      <w:r>
        <w:rPr>
          <w:rFonts w:ascii="Times New Roman" w:cs="Times New Roman" w:eastAsia="Times New Roman" w:hAnsi="Times New Roman"/>
          <w:sz w:val="20"/>
          <w:szCs w:val="20"/>
          <w:color w:val="auto"/>
        </w:rPr>
        <w:t>Landlord shall (a) cause the Architectural Drawings and the Engineering Drawings,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any Tenant Revision (defined below), to comply with Law, and (b) cause the Architect or the Contractor, as applicable, to use the Required Level of Care (defined below) to cause any Tenant Revision to comply with law; provided, however, that Landlord shall not be responsible for any violation of Law resulting from any particular use of the Premises (as distinguished from general office use) or any “assembly occupancy” of the Premises. As used herein, “</w:t>
      </w:r>
      <w:r>
        <w:rPr>
          <w:rFonts w:ascii="Times New Roman" w:cs="Times New Roman" w:eastAsia="Times New Roman" w:hAnsi="Times New Roman"/>
          <w:sz w:val="20"/>
          <w:szCs w:val="20"/>
          <w:b w:val="1"/>
          <w:bCs w:val="1"/>
          <w:color w:val="auto"/>
        </w:rPr>
        <w:t>Tenant Revision</w:t>
      </w:r>
      <w:r>
        <w:rPr>
          <w:rFonts w:ascii="Times New Roman" w:cs="Times New Roman" w:eastAsia="Times New Roman" w:hAnsi="Times New Roman"/>
          <w:sz w:val="20"/>
          <w:szCs w:val="20"/>
          <w:color w:val="auto"/>
        </w:rPr>
        <w:t>” means any revision to the Approved Plans made or requested by Tenant. As used herein, “</w:t>
      </w:r>
      <w:r>
        <w:rPr>
          <w:rFonts w:ascii="Times New Roman" w:cs="Times New Roman" w:eastAsia="Times New Roman" w:hAnsi="Times New Roman"/>
          <w:sz w:val="20"/>
          <w:szCs w:val="20"/>
          <w:b w:val="1"/>
          <w:bCs w:val="1"/>
          <w:color w:val="auto"/>
        </w:rPr>
        <w:t>Required Level of Care</w:t>
      </w:r>
      <w:r>
        <w:rPr>
          <w:rFonts w:ascii="Times New Roman" w:cs="Times New Roman" w:eastAsia="Times New Roman" w:hAnsi="Times New Roman"/>
          <w:sz w:val="20"/>
          <w:szCs w:val="20"/>
          <w:color w:val="auto"/>
        </w:rPr>
        <w:t xml:space="preserve">” means the level of care that reputable architects and engineers customarily use to cause architectural and engineering plans, drawings and specifications to comply with law where such plans, drawings and specifications are prepared for spaces in buildings comparable in quality to the Building. Except as provided above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Tenant shall be responsible for ensuring that the Approved Plans are suitable for Tenant’s use of the Premises and comply with Law, and neither the preparation of any of the Approved Plans by the Architect or the Contractor nor Landlord’s approval of the Approved Plans shall relieve Tenant from such responsibility. To the extent that either party (the “</w:t>
      </w:r>
      <w:r>
        <w:rPr>
          <w:rFonts w:ascii="Times New Roman" w:cs="Times New Roman" w:eastAsia="Times New Roman" w:hAnsi="Times New Roman"/>
          <w:sz w:val="20"/>
          <w:szCs w:val="20"/>
          <w:b w:val="1"/>
          <w:bCs w:val="1"/>
          <w:color w:val="auto"/>
        </w:rPr>
        <w:t>Responsible Party</w:t>
      </w:r>
      <w:r>
        <w:rPr>
          <w:rFonts w:ascii="Times New Roman" w:cs="Times New Roman" w:eastAsia="Times New Roman" w:hAnsi="Times New Roman"/>
          <w:sz w:val="20"/>
          <w:szCs w:val="20"/>
          <w:color w:val="auto"/>
        </w:rPr>
        <w:t xml:space="preserve">”) is responsible under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for causing the Approved Plans to comply with Law, the Responsible Party may contest any alleged violation of Law in good faith, including by seeking a waiver or deferment of compliance, asserting any defense allowed by law, and exercising any right of appeal (provided that the other party incurs no liability as a result of such contest and that, after completing such contest, the Responsible Party makes any modification to the Approved Plans or any alteration to the Premises that is necessary to comply with any final order or judgment).</w:t>
      </w:r>
    </w:p>
    <w:p>
      <w:pPr>
        <w:spacing w:after="0" w:line="194"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COMPLETION.</w:t>
      </w:r>
    </w:p>
    <w:p>
      <w:pPr>
        <w:spacing w:after="0" w:line="215" w:lineRule="exact"/>
        <w:rPr>
          <w:rFonts w:ascii="Times New Roman" w:cs="Times New Roman" w:eastAsia="Times New Roman" w:hAnsi="Times New Roman"/>
          <w:sz w:val="20"/>
          <w:szCs w:val="20"/>
          <w:b w:val="1"/>
          <w:bCs w:val="1"/>
          <w:color w:val="auto"/>
        </w:rPr>
      </w:pPr>
    </w:p>
    <w:p>
      <w:pPr>
        <w:jc w:val="both"/>
        <w:ind w:firstLine="462"/>
        <w:spacing w:after="0" w:line="244" w:lineRule="auto"/>
        <w:tabs>
          <w:tab w:leader="none" w:pos="1291"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Substantial Completion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the Tenant Improvement Work shall be deemed to be “</w:t>
      </w:r>
      <w:r>
        <w:rPr>
          <w:rFonts w:ascii="Times New Roman" w:cs="Times New Roman" w:eastAsia="Times New Roman" w:hAnsi="Times New Roman"/>
          <w:sz w:val="20"/>
          <w:szCs w:val="20"/>
          <w:b w:val="1"/>
          <w:bCs w:val="1"/>
          <w:color w:val="auto"/>
        </w:rPr>
        <w:t>Substantially Complete</w:t>
      </w:r>
      <w:r>
        <w:rPr>
          <w:rFonts w:ascii="Times New Roman" w:cs="Times New Roman" w:eastAsia="Times New Roman" w:hAnsi="Times New Roman"/>
          <w:sz w:val="20"/>
          <w:szCs w:val="20"/>
          <w:color w:val="auto"/>
        </w:rPr>
        <w:t>” on the later of (a) the date of completion of the Tenant Improvement Work in the Premises pursuant to the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Construction Drawings, with the exception of any details of construction, mechanical adjustment or any other similar matter the non-completion of which does not materially interfere with Tenant’s use of the Premises (“</w:t>
      </w:r>
      <w:r>
        <w:rPr>
          <w:rFonts w:ascii="Times New Roman" w:cs="Times New Roman" w:eastAsia="Times New Roman" w:hAnsi="Times New Roman"/>
          <w:sz w:val="20"/>
          <w:szCs w:val="20"/>
          <w:b w:val="1"/>
          <w:bCs w:val="1"/>
          <w:color w:val="auto"/>
        </w:rPr>
        <w:t>Punchlist Items</w:t>
      </w:r>
      <w:r>
        <w:rPr>
          <w:rFonts w:ascii="Times New Roman" w:cs="Times New Roman" w:eastAsia="Times New Roman" w:hAnsi="Times New Roman"/>
          <w:sz w:val="20"/>
          <w:szCs w:val="20"/>
          <w:color w:val="auto"/>
        </w:rPr>
        <w:t xml:space="preserve">”), or (b) the date on which Landlord receives from the appropriate governmental authorities, with respect to the Tenant Improvement Work, all approvals necessary for the occupancy of the Premises. Following the Substantial Completion of the Tenant Improvement Work (as determined without giving effect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below), Landlord and Tenant shall conduct a joint walkthrough of the Premises to identify Punchlist Items, and Landlord shall use commercially reasonable efforts to complete all Punchlist Items within 30 days after such Substantial Completion.</w:t>
      </w:r>
    </w:p>
    <w:p>
      <w:pPr>
        <w:spacing w:after="0" w:line="181" w:lineRule="exact"/>
        <w:rPr>
          <w:rFonts w:ascii="Times New Roman" w:cs="Times New Roman" w:eastAsia="Times New Roman" w:hAnsi="Times New Roman"/>
          <w:sz w:val="20"/>
          <w:szCs w:val="20"/>
          <w:color w:val="auto"/>
        </w:rPr>
      </w:pPr>
    </w:p>
    <w:p>
      <w:pPr>
        <w:jc w:val="both"/>
        <w:ind w:firstLine="462"/>
        <w:spacing w:after="0" w:line="241" w:lineRule="auto"/>
        <w:tabs>
          <w:tab w:leader="none" w:pos="64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Tenant Cooperation; Tenant Delay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use reasonable efforts to cooperate with Landlord, the Architect, the Contractor,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Landlord’s other consultants to complete all phases of the plans and specifications for the Tenant Improvement Work, obtain the Permits and complete the Tenant Improvement Work as soon as possible, and Tenant shall meet with Landlord, in accordance with a schedule determined by Landlord, to discuss the parties’ progress. Without limiting the foregoing, if (i) the Tenant Improvements include the installation of electrical connections for furniture stations to be installed by Tenant, and/or (ii) any electrical or other portions of such furniture stations must be installed in order for Landlord to obtain any governmental approval required for occupancy of the Premises (collectively, the “</w:t>
      </w:r>
      <w:r>
        <w:rPr>
          <w:rFonts w:ascii="Times New Roman" w:cs="Times New Roman" w:eastAsia="Times New Roman" w:hAnsi="Times New Roman"/>
          <w:sz w:val="20"/>
          <w:szCs w:val="20"/>
          <w:b w:val="1"/>
          <w:bCs w:val="1"/>
          <w:color w:val="auto"/>
        </w:rPr>
        <w:t>Furniture Stations Work</w:t>
      </w:r>
      <w:r>
        <w:rPr>
          <w:rFonts w:ascii="Times New Roman" w:cs="Times New Roman" w:eastAsia="Times New Roman" w:hAnsi="Times New Roman"/>
          <w:sz w:val="20"/>
          <w:szCs w:val="20"/>
          <w:color w:val="auto"/>
        </w:rPr>
        <w:t xml:space="preserve">”), then (x) Tenant, upon 5 business days’ notice from Landlord, shall promptly perform such Furniture Stations Work in accordance with </w:t>
      </w:r>
      <w:r>
        <w:rPr>
          <w:rFonts w:ascii="Times New Roman" w:cs="Times New Roman" w:eastAsia="Times New Roman" w:hAnsi="Times New Roman"/>
          <w:sz w:val="20"/>
          <w:szCs w:val="20"/>
          <w:u w:val="single" w:color="auto"/>
          <w:color w:val="auto"/>
        </w:rPr>
        <w:t>Sections 6.2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of this Lease, and (y) during the period of Tenant’s entry into the Premises for the purpose of performing such installation, all of Tenant’s obligations under this Lease relating to the Premises shall apply, except for the obligation to pay Base Rent. In addition, without limiting the foregoing, if the Substantial Completion of the Tenant Improvement Work is actually delayed (a “</w:t>
      </w:r>
      <w:r>
        <w:rPr>
          <w:rFonts w:ascii="Times New Roman" w:cs="Times New Roman" w:eastAsia="Times New Roman" w:hAnsi="Times New Roman"/>
          <w:sz w:val="20"/>
          <w:szCs w:val="20"/>
          <w:b w:val="1"/>
          <w:bCs w:val="1"/>
          <w:color w:val="auto"/>
        </w:rPr>
        <w:t>Tenant Delay</w:t>
      </w:r>
      <w:r>
        <w:rPr>
          <w:rFonts w:ascii="Times New Roman" w:cs="Times New Roman" w:eastAsia="Times New Roman" w:hAnsi="Times New Roman"/>
          <w:sz w:val="20"/>
          <w:szCs w:val="20"/>
          <w:color w:val="auto"/>
        </w:rPr>
        <w:t xml:space="preserve">”) as a result of (a) any failure of Tenant to approve the Architectural Drawings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above on or before Tenant’s Approval Deadline; (b) any failure of Tenant to timely approve any other matter requiring Tenant’s approval;</w:t>
      </w:r>
    </w:p>
    <w:p>
      <w:pPr>
        <w:spacing w:after="0" w:line="8"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any breach by Tenant of this Work Letter or this Lease; (d) any written request by Tenant for any revision to, or for Landlord’s approval of any revision to, any portion of the Approved Plans (except to the extent such delay results from any failure of Landlord to perform its obligations hereunder); (e) Tenant’s requirement for materials, components, finishes or improvements that are not available in a commercially reasonable time given the anticipated date of Substantial</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13" w:right="339" w:bottom="1440" w:gutter="0" w:footer="0" w:header="0"/>
          <w:type w:val="continuous"/>
        </w:sectPr>
      </w:pPr>
    </w:p>
    <w:bookmarkStart w:id="143" w:name="page144"/>
    <w:bookmarkEnd w:id="143"/>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Completion of the Tenant Improvement Work as set forth in this Work Letter; or (f) any other act or omission of Tenant or any of its agents, employees or representatives, then, notwithstanding any contrary provision of this Work Letter, except (other than in the case of the preceding clauses (a) and (b)) to the extent that Landlord fails to provide Tenant with notice (which notice, notwithstanding </w:t>
      </w:r>
      <w:r>
        <w:rPr>
          <w:rFonts w:ascii="Times New Roman" w:cs="Times New Roman" w:eastAsia="Times New Roman" w:hAnsi="Times New Roman"/>
          <w:sz w:val="20"/>
          <w:szCs w:val="20"/>
          <w:u w:val="single" w:color="auto"/>
          <w:color w:val="auto"/>
        </w:rPr>
        <w:t>Section 23.1</w:t>
      </w:r>
      <w:r>
        <w:rPr>
          <w:rFonts w:ascii="Times New Roman" w:cs="Times New Roman" w:eastAsia="Times New Roman" w:hAnsi="Times New Roman"/>
          <w:sz w:val="20"/>
          <w:szCs w:val="20"/>
          <w:color w:val="auto"/>
        </w:rPr>
        <w:t xml:space="preserve"> of this Lease, may be given orally, by e-mail, or by any other method) of such Tenant Delay within three (3) business days after discovering it, and regardless of when the Tenant Improvement Work is actually Substantially Completed, the Tenant Improvement Work shall be deemed to be Substantially Completed on the date on which the Tenant Improvement Work would have been Substantially Completed if no such Tenant Delay had occurred. Notwithstanding the foregoing, Landlord shall not be required to tender possession of the Premises to Tenant before the Tenant Improvement Work has been Substantially Completed, as determined without giving effect to the preceding sentence.</w:t>
      </w:r>
    </w:p>
    <w:p>
      <w:pPr>
        <w:spacing w:after="0" w:line="185" w:lineRule="exact"/>
        <w:rPr>
          <w:sz w:val="20"/>
          <w:szCs w:val="20"/>
          <w:color w:val="auto"/>
        </w:rPr>
      </w:pPr>
    </w:p>
    <w:p>
      <w:pPr>
        <w:jc w:val="both"/>
        <w:ind w:firstLine="8"/>
        <w:spacing w:after="0" w:line="250" w:lineRule="auto"/>
        <w:tabs>
          <w:tab w:leader="none" w:pos="636"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Notwithstanding any contrary provision of this Work Letter, if a Default occurs before the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 Work is completed, Landlord’s obligations under this Work Letter shall be excused until such Default is cured and Tenant shall be responsible for any resulting delay in the completion of the Tenant Improvement Work. This Work Letter shall not apply to any space other than the Premises.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PLAYA DISTRICT, 6080 CENTER DRIVE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PRICING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136525</wp:posOffset>
            </wp:positionV>
            <wp:extent cx="311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 -1 - 1</w:t>
      </w:r>
    </w:p>
    <w:p>
      <w:pPr>
        <w:sectPr>
          <w:pgSz w:w="11900" w:h="16838" w:orient="portrait"/>
          <w:cols w:equalWidth="0" w:num="1">
            <w:col w:w="9019"/>
          </w:cols>
          <w:pgMar w:left="1440" w:top="1409" w:right="1440"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CONFIRMATION LETTER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 20__</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_______________________</w:t>
      </w:r>
    </w:p>
    <w:p>
      <w:pPr>
        <w:spacing w:after="0" w:line="23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Office Lease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dated ______________, 20____, between BRE HH PROPERTY OWNER LLC, a Delaware</w:t>
      </w:r>
    </w:p>
    <w:p>
      <w:pPr>
        <w:spacing w:after="0" w:line="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MAGNITE,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concerning Suite 400 on the 4th floor, and Suite 500 on the 5 floor, of the building located at 6080 Center Drive, Los Angeles, California 90045</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Lease ID: _____________________________</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Business Unit Number: __________________</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_________________:</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accordance  with  the  Lease,  Tenant  accepts  possession  of  the  Premises  and  confirms  that  the  Delivery  Date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 the Commencement Date is _____________, and the Expiration Date is _______________.</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Please acknowledge the foregoing by signing all 3 counterparts of this letter in the space provided below and returning 2 fully executed counterparts to my attention. Please note that,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Lease, Tenant is required to execute and return (or, by notice to Landlord, reasonably object to) this letter within 10 business days after receiving it.</w:t>
      </w:r>
    </w:p>
    <w:p>
      <w:pPr>
        <w:spacing w:after="0" w:line="2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“Landlord”:</w:t>
      </w:r>
    </w:p>
    <w:p>
      <w:pPr>
        <w:spacing w:after="0" w:line="216" w:lineRule="exact"/>
        <w:rPr>
          <w:sz w:val="20"/>
          <w:szCs w:val="20"/>
          <w:color w:val="auto"/>
        </w:rPr>
      </w:pPr>
    </w:p>
    <w:p>
      <w:pPr>
        <w:ind w:left="5320" w:right="260"/>
        <w:spacing w:after="0" w:line="269" w:lineRule="auto"/>
        <w:rPr>
          <w:sz w:val="20"/>
          <w:szCs w:val="20"/>
          <w:color w:val="auto"/>
        </w:rPr>
      </w:pPr>
      <w:r>
        <w:rPr>
          <w:rFonts w:ascii="Times New Roman" w:cs="Times New Roman" w:eastAsia="Times New Roman" w:hAnsi="Times New Roman"/>
          <w:sz w:val="20"/>
          <w:szCs w:val="20"/>
          <w:color w:val="auto"/>
        </w:rPr>
        <w:t>BRE HH PROPERTY OWNER LLC, a Delaware limited liability company</w:t>
      </w:r>
    </w:p>
    <w:p>
      <w:pPr>
        <w:spacing w:after="0" w:line="173" w:lineRule="exact"/>
        <w:rPr>
          <w:sz w:val="20"/>
          <w:szCs w:val="20"/>
          <w:color w:val="auto"/>
        </w:rPr>
      </w:pPr>
    </w:p>
    <w:p>
      <w:pPr>
        <w:ind w:left="5320"/>
        <w:spacing w:after="0"/>
        <w:tabs>
          <w:tab w:leader="none" w:pos="5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Name: __________________________</w:t>
      </w:r>
    </w:p>
    <w:p>
      <w:pPr>
        <w:ind w:left="5320"/>
        <w:spacing w:after="0"/>
        <w:rPr>
          <w:sz w:val="20"/>
          <w:szCs w:val="20"/>
          <w:color w:val="auto"/>
        </w:rPr>
      </w:pPr>
      <w:r>
        <w:rPr>
          <w:rFonts w:ascii="Times New Roman" w:cs="Times New Roman" w:eastAsia="Times New Roman" w:hAnsi="Times New Roman"/>
          <w:sz w:val="20"/>
          <w:szCs w:val="20"/>
          <w:color w:val="auto"/>
        </w:rPr>
        <w:t>Title: ___________________________</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 and Accepted as of ____________, 20__.</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“Tenant”: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Magnite, inc., a Delaware corporation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w:t>
      </w: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D - 1</w:t>
      </w:r>
    </w:p>
    <w:p>
      <w:pPr>
        <w:sectPr>
          <w:pgSz w:w="11900" w:h="16838" w:orient="portrait"/>
          <w:cols w:equalWidth="0" w:num="1">
            <w:col w:w="11240"/>
          </w:cols>
          <w:pgMar w:left="320" w:top="1409" w:right="339" w:bottom="144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RULES AND REGULATIONS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Tenant shall comply with the following rules and regulations (as modified or supplemented from time to time, the “</w:t>
      </w:r>
      <w:r>
        <w:rPr>
          <w:rFonts w:ascii="Times New Roman" w:cs="Times New Roman" w:eastAsia="Times New Roman" w:hAnsi="Times New Roman"/>
          <w:sz w:val="20"/>
          <w:szCs w:val="20"/>
          <w:b w:val="1"/>
          <w:bCs w:val="1"/>
          <w:color w:val="auto"/>
        </w:rPr>
        <w:t>Rules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Regulations</w:t>
      </w:r>
      <w:r>
        <w:rPr>
          <w:rFonts w:ascii="Times New Roman" w:cs="Times New Roman" w:eastAsia="Times New Roman" w:hAnsi="Times New Roman"/>
          <w:sz w:val="20"/>
          <w:szCs w:val="20"/>
          <w:color w:val="auto"/>
        </w:rPr>
        <w:t>”). Landlord shall not be responsible to Tenant for the nonperformance of any of the Rules and Regulations by any other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occupants of the Project. In the event of any conflict between the Rules and Regulations and the other provisions of this Lease, the latter shall control.</w:t>
      </w:r>
    </w:p>
    <w:p>
      <w:pPr>
        <w:spacing w:after="0" w:line="193" w:lineRule="exact"/>
        <w:rPr>
          <w:sz w:val="20"/>
          <w:szCs w:val="20"/>
          <w:color w:val="auto"/>
        </w:rPr>
      </w:pPr>
    </w:p>
    <w:p>
      <w:pPr>
        <w:jc w:val="both"/>
        <w:ind w:firstLine="656"/>
        <w:spacing w:after="0" w:line="244"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alter any lock or install any new or additional locks or bolts on any doors or windows of the Premises or the Building without obtaining Landlord’s prior consent. Landlord shall have the right at all times to retain and use keys or other access codes or devices to all locks within and into the Premises.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furnished to or otherwise procured by Tenant, and if any such keys are lost, Tenant shall pay Landlord the cost of replacing them or of changing the applicable locks if Landlord deems such changes necessary.</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doors opening to public corridors shall be kept closed at all times except for normal ingress and egress to the Premises.</w:t>
      </w:r>
    </w:p>
    <w:p>
      <w:pPr>
        <w:spacing w:after="0" w:line="215" w:lineRule="exact"/>
        <w:rPr>
          <w:rFonts w:ascii="Times New Roman" w:cs="Times New Roman" w:eastAsia="Times New Roman" w:hAnsi="Times New Roman"/>
          <w:sz w:val="20"/>
          <w:szCs w:val="20"/>
          <w:color w:val="auto"/>
        </w:rPr>
      </w:pPr>
    </w:p>
    <w:p>
      <w:pPr>
        <w:jc w:val="both"/>
        <w:ind w:firstLine="656"/>
        <w:spacing w:after="0" w:line="243"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close and keep locked all entrance and exit doors of the Building during such hours as are customary for Comparable Buildings. Tenant shall cause its employees, agents, contractors, invitees and licensees who use Building and corridor doors during such hours to securely close and lock them after such use. Any person entering or leaving the Building during such hours, or when the Building doors are otherwise locked, may be required to sign the Building register, and access to the Building may be refused unless such person has proper identification or has a previously arranged access pass. Landlord will furnish passes to persons for whom Tenant requests them. Tenant shall be responsible for all persons for whom Tenant requests passes and shall be liable to Landlord for all acts of such persons. Landlord and its agents shall not be liable for damages for any error with regard to the admission or exclusion of any person to or from the Building. In case of invasion, mob, riot, public excitement or other commotion, Landlord may prevent access to the Building or the Project during the continuance thereof by any means it deems appropriate for the safety and protection of life and property.</w:t>
      </w:r>
    </w:p>
    <w:p>
      <w:pPr>
        <w:spacing w:after="0" w:line="185"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furniture, freight or equipment shall be brought into the Building without prior notice to Landlord. All moving activity into or out of the Building shall be scheduled with Landlord and done only at such time and in such manner as Landlord designates. Landlord may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Any damage to the Building, its contents, occupants or invitees resulting from Tenant’s moving or maintaining any such safe or other heavy property shall be the sole responsibility and expense of Tenant (notwithstanding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9.4</w:t>
      </w:r>
      <w:r>
        <w:rPr>
          <w:rFonts w:ascii="Times New Roman" w:cs="Times New Roman" w:eastAsia="Times New Roman" w:hAnsi="Times New Roman"/>
          <w:sz w:val="20"/>
          <w:szCs w:val="20"/>
          <w:color w:val="auto"/>
        </w:rPr>
        <w:t xml:space="preserve"> of this Lease).</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furniture, packages, supplies, equipment or merchandise will be received in the Building or carried up or down in the elevators, except between such hours, in such specific elevator and by such personnel as shall be designated by Landlord.</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sign, advertisement, notice or handbill shall be exhibited, distributed, painted or affixed by Tenant on any part of the Premises or the Building without Landlord’s prior consent. Tenant shall not disturb, solicit, peddle or canvass any occupant of the Project.</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toilet rooms, urinals, wash bowls and other apparatus, plumbing, fixtures and appliances shall not be used for any purpose other than that for which they were constructed, and no foreign substance shall be thrown or placed therein. Notwithstanding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9.4</w:t>
      </w:r>
      <w:r>
        <w:rPr>
          <w:rFonts w:ascii="Times New Roman" w:cs="Times New Roman" w:eastAsia="Times New Roman" w:hAnsi="Times New Roman"/>
          <w:sz w:val="20"/>
          <w:szCs w:val="20"/>
          <w:color w:val="auto"/>
        </w:rPr>
        <w:t xml:space="preserve"> of this Lease, Tenant shall bear the expense of any breakage, stoppage or damage resulting from any violation of this rule by Tenant or any of its employees, agents, contractors, invitees or licensees.</w:t>
      </w:r>
    </w:p>
    <w:p>
      <w:pPr>
        <w:spacing w:after="0" w:line="17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overload the floor of the Premises, or mark, drive nails or screws or drill into the partitions, woodwork or (other than by reasonable methods in order to hang customary lightweight office decorations such as pictures and whiteboards) drywall of the Premises, or otherwise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E - 1</w:t>
      </w:r>
    </w:p>
    <w:p>
      <w:pPr>
        <w:sectPr>
          <w:pgSz w:w="11900" w:h="16838" w:orient="portrait"/>
          <w:cols w:equalWidth="0" w:num="1">
            <w:col w:w="11240"/>
          </w:cols>
          <w:pgMar w:left="320" w:top="1409" w:right="339" w:bottom="1440" w:gutter="0" w:footer="0" w:header="0"/>
          <w:type w:val="continuous"/>
        </w:sectPr>
      </w:pPr>
    </w:p>
    <w:bookmarkStart w:id="147" w:name="page148"/>
    <w:bookmarkEnd w:id="147"/>
    <w:p>
      <w:pPr>
        <w:spacing w:after="0" w:line="269" w:lineRule="auto"/>
        <w:rPr>
          <w:sz w:val="20"/>
          <w:szCs w:val="20"/>
          <w:color w:val="auto"/>
        </w:rPr>
      </w:pPr>
      <w:r>
        <w:rPr>
          <w:rFonts w:ascii="Times New Roman" w:cs="Times New Roman" w:eastAsia="Times New Roman" w:hAnsi="Times New Roman"/>
          <w:sz w:val="20"/>
          <w:szCs w:val="20"/>
          <w:color w:val="auto"/>
        </w:rPr>
        <w:t>deface the Premises, without Landlord’s prior consent. Tenant shall not purchase bottled water, ice, towel, linen, maintenance or other like services from any person not approved by Landlord.</w:t>
      </w:r>
    </w:p>
    <w:p>
      <w:pPr>
        <w:spacing w:after="0" w:line="159" w:lineRule="exact"/>
        <w:rPr>
          <w:sz w:val="20"/>
          <w:szCs w:val="20"/>
          <w:color w:val="auto"/>
        </w:rPr>
      </w:pPr>
    </w:p>
    <w:p>
      <w:pPr>
        <w:ind w:firstLine="656"/>
        <w:spacing w:after="0" w:line="295" w:lineRule="auto"/>
        <w:tabs>
          <w:tab w:leader="none" w:pos="129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vending machines intended for the sole use of Tenant’s employees and invitees, no vending machine or machines other than fractional horsepower office machines shall be installed, maintained or operated in the Premises without Landlord’s prior consent.</w:t>
      </w:r>
    </w:p>
    <w:p>
      <w:pPr>
        <w:spacing w:after="0" w:line="137" w:lineRule="exact"/>
        <w:rPr>
          <w:rFonts w:ascii="Times New Roman" w:cs="Times New Roman" w:eastAsia="Times New Roman" w:hAnsi="Times New Roman"/>
          <w:sz w:val="19"/>
          <w:szCs w:val="19"/>
          <w:color w:val="auto"/>
        </w:rPr>
      </w:pPr>
    </w:p>
    <w:p>
      <w:pPr>
        <w:jc w:val="both"/>
        <w:ind w:firstLine="656"/>
        <w:spacing w:after="0" w:line="243"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without Landlord’s prior consent, use, store, install, disturb, spill, remove, release or dispose of, within or about the Premises or any other portion of the Project, any asbestos-containing materials, any solid, liquid or gaseous material now or subsequently considered toxic or hazardous under the provisions of 42 U.S.C. Section 9601 et seq. or any other applicable environmental Law, or any inflammable, explosive or dangerous fluid or substance; provided, however, that Tenant may use, store and dispose of such substances in such amounts as are typically found in similar premises used for general office purposes provided that such use, storage and disposal does not damage any part of the Premises, Building or Project and is performed in a safe manner and in accordance with all Laws. Tenant shall comply with all Laws pertaining to and governing the use of such materials by Tenant and shall remain solely liable for the costs of abatement and removal. No burning candle or other open flame shall be ignited or kept by Tenant in or about the Premises, Building or Project.</w:t>
      </w:r>
    </w:p>
    <w:p>
      <w:pPr>
        <w:spacing w:after="0" w:line="18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not, without Landlord’s prior consent, use any method of heating or air conditioning other than that supplied by</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Landlord.</w:t>
      </w:r>
    </w:p>
    <w:p>
      <w:pPr>
        <w:spacing w:after="0" w:line="193" w:lineRule="exact"/>
        <w:rPr>
          <w:rFonts w:ascii="Times New Roman" w:cs="Times New Roman" w:eastAsia="Times New Roman" w:hAnsi="Times New Roman"/>
          <w:sz w:val="19"/>
          <w:szCs w:val="19"/>
          <w:color w:val="auto"/>
        </w:rPr>
      </w:pPr>
    </w:p>
    <w:p>
      <w:pPr>
        <w:jc w:val="both"/>
        <w:ind w:firstLine="656"/>
        <w:spacing w:after="0" w:line="249"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use or keep any foul or noxious gas or substance in or on the Premises, or occupy or use the Premises in a manner offensive or objectionable to Landlord or other occupants of the Project by reason of noise, odors or vibrations, or interfere with other occupants or those having business therein, whether by the use of any musical instrument, loudspeaker or otherwise. Tenant shall not throw anything out of doors, windows or skylights or down passageways.</w:t>
      </w:r>
    </w:p>
    <w:p>
      <w:pPr>
        <w:spacing w:after="0" w:line="175"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under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and any Pet Agreement entered into pursuant to Section 12.2(l)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Tenant shall not bring into or keep within the Project, the Building or the Premises any animals (other than service animals), birds,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aquariums, or, except in areas designated by Landlord, bicycles or other vehicles.</w:t>
      </w:r>
    </w:p>
    <w:p>
      <w:pPr>
        <w:spacing w:after="0" w:line="172"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cooking shall be done in the Premises, nor shall the Premises be used for lodging, for living quarters or sleeping apartments, or for any improper, objectionable, illegal or immoral purposes. Notwithstanding the foregoing, Underwriters’ laboratory-approved equipment and microwave ovens may be used in the Premises for heating food and brewing coffee, tea, hot chocolate and similar beverages for employees and invitees, provided that such use complies with all Laws.</w:t>
      </w:r>
    </w:p>
    <w:p>
      <w:pPr>
        <w:spacing w:after="0" w:line="17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Premises shall not be used for manufacturing or for the storage of merchandise except to the extent such storage may be incidental to the Permitted Use. Tenant shall not occupy the Premises as an office for a messenger-type operation or dispatch office, public stenographer or typist, or for the manufacture or sale of liquor, narcotics or tobacco, or as a medical office, a barber or manicure shop, an employment bureau, or a business that is materially involved in the cannabis industry without Landlord’s prior consent.</w:t>
      </w:r>
    </w:p>
    <w:p>
      <w:pPr>
        <w:spacing w:after="0" w:line="179" w:lineRule="exact"/>
        <w:rPr>
          <w:rFonts w:ascii="Times New Roman" w:cs="Times New Roman" w:eastAsia="Times New Roman" w:hAnsi="Times New Roman"/>
          <w:sz w:val="20"/>
          <w:szCs w:val="20"/>
          <w:color w:val="auto"/>
        </w:rPr>
      </w:pPr>
    </w:p>
    <w:p>
      <w:pPr>
        <w:ind w:firstLine="656"/>
        <w:spacing w:after="0" w:line="269"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exclude from the Project any person who, in Landlord’s judgment, is intoxicated or under the influence of liquor or drugs, or who violates any of these Rules and Regulations.</w:t>
      </w:r>
    </w:p>
    <w:p>
      <w:pPr>
        <w:spacing w:after="0" w:line="159"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 Tenant shall not permit smoke from the Premises to emanate into the Common Areas or any other part of the Building. Landlord shall have the right to designate the Building (including the Premises) as a non-smoking Building. Tenant must comply with any applicable state or local “</w:t>
      </w:r>
      <w:r>
        <w:rPr>
          <w:rFonts w:ascii="Times New Roman" w:cs="Times New Roman" w:eastAsia="Times New Roman" w:hAnsi="Times New Roman"/>
          <w:sz w:val="20"/>
          <w:szCs w:val="20"/>
          <w:b w:val="1"/>
          <w:bCs w:val="1"/>
          <w:color w:val="auto"/>
        </w:rPr>
        <w:t>No Smoking</w:t>
      </w:r>
      <w:r>
        <w:rPr>
          <w:rFonts w:ascii="Times New Roman" w:cs="Times New Roman" w:eastAsia="Times New Roman" w:hAnsi="Times New Roman"/>
          <w:sz w:val="20"/>
          <w:szCs w:val="20"/>
          <w:color w:val="auto"/>
        </w:rPr>
        <w:t>” ordinance.</w:t>
      </w:r>
    </w:p>
    <w:p>
      <w:pPr>
        <w:spacing w:after="0" w:line="184"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waste electricity, water or air conditioning, shall cooperate with Landlord to ensure the most effective operation of the Building’s heating and air conditioning system, and shall not attempt to adjust any controls. Tenant shall install and use in the Premises only ENERGY STAR rated equipment, where available. Tenant shall use recycled paper in the Premises to the extent consistent with its business requirements. Tenant shall not use more than its proportionate share of telephone lines and other telecommunication facilities available to service the Building.</w:t>
      </w:r>
    </w:p>
    <w:p>
      <w:pPr>
        <w:spacing w:after="0" w:line="184" w:lineRule="exact"/>
        <w:rPr>
          <w:rFonts w:ascii="Times New Roman" w:cs="Times New Roman" w:eastAsia="Times New Roman" w:hAnsi="Times New Roman"/>
          <w:sz w:val="20"/>
          <w:szCs w:val="20"/>
          <w:color w:val="auto"/>
        </w:rPr>
      </w:pPr>
    </w:p>
    <w:p>
      <w:pPr>
        <w:ind w:firstLine="656"/>
        <w:spacing w:after="0" w:line="269" w:lineRule="auto"/>
        <w:tabs>
          <w:tab w:leader="none" w:pos="12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store all its trash and garbage inside the Premises. No material shall be placed in the trash or garbage receptacles if, under Law, it may not be disposed of in the ordinary and</w:t>
      </w:r>
    </w:p>
    <w:p>
      <w:pPr>
        <w:sectPr>
          <w:pgSz w:w="11900" w:h="16838" w:orient="portrait"/>
          <w:cols w:equalWidth="0" w:num="1">
            <w:col w:w="11240"/>
          </w:cols>
          <w:pgMar w:left="320" w:top="1413" w:right="339" w:bottom="8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E - 2</w:t>
      </w:r>
    </w:p>
    <w:p>
      <w:pPr>
        <w:sectPr>
          <w:pgSz w:w="11900" w:h="16838" w:orient="portrait"/>
          <w:cols w:equalWidth="0" w:num="1">
            <w:col w:w="11240"/>
          </w:cols>
          <w:pgMar w:left="320" w:top="1413" w:right="339" w:bottom="881" w:gutter="0" w:footer="0" w:header="0"/>
          <w:type w:val="continuous"/>
        </w:sectPr>
      </w:pPr>
    </w:p>
    <w:bookmarkStart w:id="148" w:name="page149"/>
    <w:bookmarkEnd w:id="148"/>
    <w:p>
      <w:pPr>
        <w:jc w:val="both"/>
        <w:spacing w:after="0" w:line="254" w:lineRule="auto"/>
        <w:rPr>
          <w:sz w:val="20"/>
          <w:szCs w:val="20"/>
          <w:color w:val="auto"/>
        </w:rPr>
      </w:pPr>
      <w:r>
        <w:rPr>
          <w:rFonts w:ascii="Times New Roman" w:cs="Times New Roman" w:eastAsia="Times New Roman" w:hAnsi="Times New Roman"/>
          <w:sz w:val="20"/>
          <w:szCs w:val="20"/>
          <w:color w:val="auto"/>
        </w:rPr>
        <w:t>customary manner of disposing of trash and garbage in the vicinity of the Building. All trash, garbage and refuse disposal shall be made only through entryways and elevators provided for such purposes at such times as Landlord shall designate. Tenant shall comply with Landlord’s recycling program, if any.</w:t>
      </w:r>
    </w:p>
    <w:p>
      <w:pPr>
        <w:spacing w:after="0" w:line="174" w:lineRule="exact"/>
        <w:rPr>
          <w:sz w:val="20"/>
          <w:szCs w:val="20"/>
          <w:color w:val="auto"/>
        </w:rPr>
      </w:pPr>
    </w:p>
    <w:p>
      <w:pPr>
        <w:ind w:right="20" w:firstLine="656"/>
        <w:spacing w:after="0" w:line="269"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comply with all safety, security, fire protection and evacuation procedures, programs and regulations established or required by Landlord, any governmental agency or Law.</w:t>
      </w:r>
    </w:p>
    <w:p>
      <w:pPr>
        <w:spacing w:after="0" w:line="159" w:lineRule="exact"/>
        <w:rPr>
          <w:rFonts w:ascii="Times New Roman" w:cs="Times New Roman" w:eastAsia="Times New Roman" w:hAnsi="Times New Roman"/>
          <w:sz w:val="20"/>
          <w:szCs w:val="20"/>
          <w:color w:val="auto"/>
        </w:rPr>
      </w:pPr>
    </w:p>
    <w:p>
      <w:pPr>
        <w:jc w:val="both"/>
        <w:ind w:firstLine="656"/>
        <w:spacing w:after="0" w:line="244"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 Any persons employed by Tenant to do janitorial work (a) shall be subject to Landlord’s prior consent; (b) shall not, in Landlord’s reasonable judgment, disturb labor harmony with any workforce or trades engaged in performing other work or services at the Project; and (c) while in the Building and outside of the Premises, shall be subject to the control and direction of the Building manager (but not as an agent or employee of such manager or Landlord), and Tenant shall be responsible for all acts of such persons.</w:t>
      </w:r>
    </w:p>
    <w:p>
      <w:pPr>
        <w:spacing w:after="0" w:line="185" w:lineRule="exact"/>
        <w:rPr>
          <w:rFonts w:ascii="Times New Roman" w:cs="Times New Roman" w:eastAsia="Times New Roman" w:hAnsi="Times New Roman"/>
          <w:sz w:val="20"/>
          <w:szCs w:val="20"/>
          <w:color w:val="auto"/>
        </w:rPr>
      </w:pPr>
    </w:p>
    <w:p>
      <w:pPr>
        <w:jc w:val="both"/>
        <w:ind w:firstLine="656"/>
        <w:spacing w:after="0" w:line="245"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awning or other projection shall be attached to the outside walls of the Building without Landlord’s prior consent. Other than Landlord’s Building-standard window coverings, no curtains, blinds, shades or screens shall be attached to or hung in, or used in connection with, any window or door of the Premises. All electrical ceiling fixtures hung in the Premises or spaces along the perimeter of the Building must be fluorescent and/or of a quality, type, design and a warm white bulb color approved in advance by Landlord. Neither the interior nor exterior of any windows shall be coated or otherwise sunscreened without Landlord’s prior consent. Tenant shall abide by Landlord’s regulations concerning the opening and closing of window coverings.</w:t>
      </w:r>
    </w:p>
    <w:p>
      <w:pPr>
        <w:spacing w:after="0" w:line="184" w:lineRule="exact"/>
        <w:rPr>
          <w:rFonts w:ascii="Times New Roman" w:cs="Times New Roman" w:eastAsia="Times New Roman" w:hAnsi="Times New Roman"/>
          <w:sz w:val="20"/>
          <w:szCs w:val="20"/>
          <w:color w:val="auto"/>
        </w:rPr>
      </w:pPr>
    </w:p>
    <w:p>
      <w:pPr>
        <w:ind w:right="20" w:firstLine="656"/>
        <w:spacing w:after="0" w:line="269"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obstruct any sashes, sash doors, skylights, windows or doors that reflect or admit light or air into the halls, passageways or other public places in the Building, nor shall Tenant place any bottles, parcels or other articles on the windowsills.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must comply with requests by Landlord concerning the informing of their employees of items of importance to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w:t>
      </w:r>
    </w:p>
    <w:p>
      <w:pPr>
        <w:spacing w:after="0" w:line="193" w:lineRule="exact"/>
        <w:rPr>
          <w:rFonts w:ascii="Times New Roman" w:cs="Times New Roman" w:eastAsia="Times New Roman" w:hAnsi="Times New Roman"/>
          <w:sz w:val="20"/>
          <w:szCs w:val="20"/>
          <w:color w:val="auto"/>
        </w:rPr>
      </w:pPr>
    </w:p>
    <w:p>
      <w:pPr>
        <w:ind w:right="20" w:firstLine="656"/>
        <w:spacing w:after="0" w:line="269"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office equipment of an electrical or mechanical nature shall be placed by Tenant in the Premises in settings approved by Landlord, to absorb or prevent any vibration, noise or annoyance.</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use any hand trucks except those equipped with rubber tires and rubber side guards.</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auction, liquidation, fire sale, going-out-of-business or bankruptcy sale shall be conducted in the Premises without Landlord’s prior consent.</w:t>
      </w:r>
    </w:p>
    <w:p>
      <w:pPr>
        <w:spacing w:after="0" w:line="159" w:lineRule="exact"/>
        <w:rPr>
          <w:rFonts w:ascii="Times New Roman" w:cs="Times New Roman" w:eastAsia="Times New Roman" w:hAnsi="Times New Roman"/>
          <w:sz w:val="20"/>
          <w:szCs w:val="20"/>
          <w:color w:val="auto"/>
        </w:rPr>
      </w:pPr>
    </w:p>
    <w:p>
      <w:pPr>
        <w:jc w:val="both"/>
        <w:ind w:firstLine="656"/>
        <w:spacing w:after="0" w:line="244"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(a) use any name of the Building or Project for any purpose other than to identify the address of the business to be conducted by Tenant in the Premises, (b) use any image of the Building or Project in any advertising or other publicity without Landlord’s prior consent, or (c) use any name or image of the Building or Project in any manner that would infringe any trade name, trade mark, copyright or similar right of Landlord or any third party in or to any name or image of the Building or Project. Without limiting the foregoing, Tenant shall not, in any signage displayed at the Building or Project, on its website, or in any other advertising or promotional material, identify, describe, or refer to itself or its business as “[Tenant’s name or trade name] [name of Building or Project]” or [Tenant’s name or trade name] At [name of Building or Project]”.</w:t>
      </w:r>
    </w:p>
    <w:p>
      <w:pPr>
        <w:spacing w:after="0" w:line="18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has no obligation to allow any particular telecommunication service provider to have access to the Building or to the Premises. If Landlord permits access, Landlord may condition the access upon the payment to Landlord by the service provider of fees assessed by Landlord in Landlord’s sole discretion.</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Landlord may from time to time modify or supplement these Rules and Regulations in a manner that, in Landlord’s reasonable judgment, is appropriate for the management, safety, care and cleanliness of the Premises, the Building, the Common Areas and the Project, for the preservation of good order therein, and for the health or convenience of other occupants and tenants thereof (including through the adoption of rules based upon applicable guidelines and recommendations of the United States Centers for Disease Control and Prevention), provided that no such modification or supplement shall materially reduce Tenant’s rights or materially increase Tenant’s obligations hereunder unless such changes are made to comply with government or public health recommendations to promote the health and safety of tenants, employees and visitors to the Building. Landlord may waive any of these Rules and Regulations</w:t>
      </w:r>
    </w:p>
    <w:p>
      <w:pPr>
        <w:sectPr>
          <w:pgSz w:w="11900" w:h="16838" w:orient="portrait"/>
          <w:cols w:equalWidth="0" w:num="1">
            <w:col w:w="11240"/>
          </w:cols>
          <w:pgMar w:left="320" w:top="1413" w:right="339" w:bottom="10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E - 3</w:t>
      </w:r>
    </w:p>
    <w:p>
      <w:pPr>
        <w:sectPr>
          <w:pgSz w:w="11900" w:h="16838" w:orient="portrait"/>
          <w:cols w:equalWidth="0" w:num="1">
            <w:col w:w="11240"/>
          </w:cols>
          <w:pgMar w:left="320" w:top="1413" w:right="339" w:bottom="1097" w:gutter="0" w:footer="0" w:header="0"/>
          <w:type w:val="continuous"/>
        </w:sectPr>
      </w:pPr>
    </w:p>
    <w:bookmarkStart w:id="149" w:name="page150"/>
    <w:bookmarkEnd w:id="149"/>
    <w:p>
      <w:pPr>
        <w:jc w:val="both"/>
        <w:spacing w:after="0" w:line="249" w:lineRule="auto"/>
        <w:rPr>
          <w:sz w:val="20"/>
          <w:szCs w:val="20"/>
          <w:color w:val="auto"/>
        </w:rPr>
      </w:pPr>
      <w:r>
        <w:rPr>
          <w:rFonts w:ascii="Times New Roman" w:cs="Times New Roman" w:eastAsia="Times New Roman" w:hAnsi="Times New Roman"/>
          <w:sz w:val="20"/>
          <w:szCs w:val="20"/>
          <w:color w:val="auto"/>
        </w:rPr>
        <w:t>for the benefit of any tenant, but no such waiver shall be construed as a waiver of such Rule and Regulation in favor of any other tenant nor prevent Landlord from thereafter enforcing such Rule and Regulation against any tenant. Notwithstanding the foregoing, no rule that is added to the initial Rules and Regulations shall be enforced against Tenant in a manner that unreasonably discriminates in favor of any other similarly situated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 - 4</w:t>
      </w:r>
    </w:p>
    <w:p>
      <w:pPr>
        <w:sectPr>
          <w:pgSz w:w="11900" w:h="16838" w:orient="portrait"/>
          <w:cols w:equalWidth="0" w:num="1">
            <w:col w:w="11240"/>
          </w:cols>
          <w:pgMar w:left="320" w:top="1413"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PROVISIONS</w:t>
      </w:r>
    </w:p>
    <w:p>
      <w:pPr>
        <w:spacing w:after="0" w:line="229" w:lineRule="exact"/>
        <w:rPr>
          <w:sz w:val="20"/>
          <w:szCs w:val="20"/>
          <w:color w:val="auto"/>
        </w:rPr>
      </w:pPr>
    </w:p>
    <w:p>
      <w:pPr>
        <w:jc w:val="both"/>
        <w:ind w:left="660" w:hanging="652"/>
        <w:spacing w:after="0" w:line="241" w:lineRule="auto"/>
        <w:tabs>
          <w:tab w:leader="none" w:pos="648"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PARKING</w:t>
      </w:r>
      <w:r>
        <w:rPr>
          <w:rFonts w:ascii="Times New Roman" w:cs="Times New Roman" w:eastAsia="Times New Roman" w:hAnsi="Times New Roman"/>
          <w:sz w:val="20"/>
          <w:szCs w:val="20"/>
          <w:color w:val="auto"/>
        </w:rPr>
        <w:t>. Tenant may park in the Building’s parking facilities (the “</w:t>
      </w:r>
      <w:r>
        <w:rPr>
          <w:rFonts w:ascii="Times New Roman" w:cs="Times New Roman" w:eastAsia="Times New Roman" w:hAnsi="Times New Roman"/>
          <w:sz w:val="20"/>
          <w:szCs w:val="20"/>
          <w:b w:val="1"/>
          <w:bCs w:val="1"/>
          <w:color w:val="auto"/>
        </w:rPr>
        <w:t>Parking Facility</w:t>
      </w:r>
      <w:r>
        <w:rPr>
          <w:rFonts w:ascii="Times New Roman" w:cs="Times New Roman" w:eastAsia="Times New Roman" w:hAnsi="Times New Roman"/>
          <w:sz w:val="20"/>
          <w:szCs w:val="20"/>
          <w:color w:val="auto"/>
        </w:rPr>
        <w:t>”), in common with other tenants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Building, upon the following terms and conditions. Tenant shall not use more than the number of unreserved and/or reserved parking spaces set forth in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of this Lease. Tenant shall pay Landlord, in accordance with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Lease, any fees for the parking spaces described in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of this Lease. Tenant shall comply with all rules and regulations reasonably established by Landlord from time to time for the orderly operation and use of the Parking Facility, including any sticker or other identification system and the prohibition of vehicle repair and maintenance activities in the Parking Facility. Landlord may, in its discretion, allocate and assign parking passes among Tenant and the other tenants in the Building provided that the number of parking spaces available for use by Tenant as described in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of this Lease is not diminished. Tenant’s use of the Parking Facility shall be at Tenant’s sole risk, and Landlord shall have no liability for any personal injury or damage to or theft of any vehicles or other property occurring in the Parking Facility or otherwise in connection with any use of the Parking Facility by Tenant or its employees or invitees, except to the extent resulting from any negligence or willful misconduct of Landlord or its agents. Landlord may alter the size, configuration, design, layout or any other aspect of the Parking Facility, and, in connection therewith, temporarily deny or restrict access to the Parking Facility, without abatement of Rent or liability to Tenant. Landlord may delegate its responsibilities hereunder to a parking operator, in which case (i) such parking operator shall have all the rights of control reserved herein by Landlord, (ii) Tenant shall enter into a parking agreement with such parking operator, (iii) Tenant shall pay such parking operator, rather than Landlord, any charge described in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of this Lease for the parking spaces, and (iv) Landlord shall have no liability for claims arising through acts or omissions of such parking operator except to the extent caused by Landlord’s negligence or willful misconduct. Tenant’s parking rights under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solely for the benefit of Tenant’s employees and invitees and such rights may not be transferred without Landlord’s prior consent, except pursuant to a Transfer permitted under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of this Lease. For the avoidance of doubt, and except as provided in </w:t>
      </w:r>
      <w:r>
        <w:rPr>
          <w:rFonts w:ascii="Times New Roman" w:cs="Times New Roman" w:eastAsia="Times New Roman" w:hAnsi="Times New Roman"/>
          <w:sz w:val="20"/>
          <w:szCs w:val="20"/>
          <w:u w:val="single" w:color="auto"/>
          <w:color w:val="auto"/>
        </w:rPr>
        <w:t>Section 1.8.5</w:t>
      </w:r>
      <w:r>
        <w:rPr>
          <w:rFonts w:ascii="Times New Roman" w:cs="Times New Roman" w:eastAsia="Times New Roman" w:hAnsi="Times New Roman"/>
          <w:sz w:val="20"/>
          <w:szCs w:val="20"/>
          <w:color w:val="auto"/>
        </w:rPr>
        <w:t xml:space="preserve"> of this Lease, nothing herein shall be deemed to limit Landlord’s right to charge visitors a fee to use any parking spaces other than those described in </w:t>
      </w:r>
      <w:r>
        <w:rPr>
          <w:rFonts w:ascii="Times New Roman" w:cs="Times New Roman" w:eastAsia="Times New Roman" w:hAnsi="Times New Roman"/>
          <w:sz w:val="20"/>
          <w:szCs w:val="20"/>
          <w:u w:val="single" w:color="auto"/>
          <w:color w:val="auto"/>
        </w:rPr>
        <w:t>Sections 1.8.1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1.8.3</w:t>
      </w:r>
      <w:r>
        <w:rPr>
          <w:rFonts w:ascii="Times New Roman" w:cs="Times New Roman" w:eastAsia="Times New Roman" w:hAnsi="Times New Roman"/>
          <w:sz w:val="20"/>
          <w:szCs w:val="20"/>
          <w:color w:val="auto"/>
        </w:rPr>
        <w:t xml:space="preserve"> of this Lease.</w:t>
      </w:r>
    </w:p>
    <w:p>
      <w:pPr>
        <w:spacing w:after="0" w:line="184" w:lineRule="exact"/>
        <w:rPr>
          <w:rFonts w:ascii="Times New Roman" w:cs="Times New Roman" w:eastAsia="Times New Roman" w:hAnsi="Times New Roman"/>
          <w:sz w:val="20"/>
          <w:szCs w:val="20"/>
          <w:b w:val="1"/>
          <w:bCs w:val="1"/>
          <w:color w:val="auto"/>
        </w:rPr>
      </w:pPr>
    </w:p>
    <w:p>
      <w:pPr>
        <w:jc w:val="both"/>
        <w:ind w:left="660" w:hanging="652"/>
        <w:spacing w:after="0" w:line="256" w:lineRule="auto"/>
        <w:tabs>
          <w:tab w:leader="none" w:pos="648"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CALIFORNIA CIVIL CODE SECTION 1938</w:t>
      </w:r>
      <w:r>
        <w:rPr>
          <w:rFonts w:ascii="Times New Roman" w:cs="Times New Roman" w:eastAsia="Times New Roman" w:hAnsi="Times New Roman"/>
          <w:sz w:val="20"/>
          <w:szCs w:val="20"/>
          <w:color w:val="auto"/>
        </w:rPr>
        <w:t>. Pursuant to California Civil Code § 1938(a), Landlord hereby states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have not undergone inspection by a Certified Access Specialist (CASp) (defined in California Civil Code §55.52). Accordingly, pursuant to California Civil Code § 1938(e), Landlord hereby further states as follows:</w:t>
      </w:r>
    </w:p>
    <w:p>
      <w:pPr>
        <w:spacing w:after="0" w:line="173" w:lineRule="exact"/>
        <w:rPr>
          <w:sz w:val="20"/>
          <w:szCs w:val="20"/>
          <w:color w:val="auto"/>
        </w:rPr>
      </w:pPr>
    </w:p>
    <w:p>
      <w:pPr>
        <w:jc w:val="both"/>
        <w:ind w:left="980"/>
        <w:spacing w:after="0" w:line="244" w:lineRule="auto"/>
        <w:rPr>
          <w:sz w:val="20"/>
          <w:szCs w:val="20"/>
          <w:color w:val="auto"/>
        </w:rPr>
      </w:pPr>
      <w:r>
        <w:rPr>
          <w:rFonts w:ascii="Times New Roman" w:cs="Times New Roman" w:eastAsia="Times New Roman" w:hAnsi="Times New Roman"/>
          <w:sz w:val="20"/>
          <w:szCs w:val="20"/>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accordance with the foregoing, Landlord and Tenant agree that if Tenant obtains a CASp inspection of the Premises, then Tenant shall pay (i) the fee for such inspection, and (ii) responsibility for making any repairs necessary to correct violations of construction-related accessibility standards within the Premises shall be allocated as provided in this Lease.</w:t>
      </w:r>
    </w:p>
    <w:p>
      <w:pPr>
        <w:spacing w:after="0" w:line="170" w:lineRule="exact"/>
        <w:rPr>
          <w:sz w:val="20"/>
          <w:szCs w:val="20"/>
          <w:color w:val="auto"/>
        </w:rPr>
      </w:pPr>
    </w:p>
    <w:p>
      <w:pPr>
        <w:jc w:val="both"/>
        <w:ind w:left="660" w:hanging="652"/>
        <w:spacing w:after="0" w:line="259" w:lineRule="auto"/>
        <w:tabs>
          <w:tab w:leader="none" w:pos="648"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PROHIBITED USES</w:t>
      </w:r>
      <w:r>
        <w:rPr>
          <w:rFonts w:ascii="Times New Roman" w:cs="Times New Roman" w:eastAsia="Times New Roman" w:hAnsi="Times New Roman"/>
          <w:sz w:val="19"/>
          <w:szCs w:val="19"/>
          <w:color w:val="auto"/>
        </w:rPr>
        <w:t>. The uses prohibited under this Lease shall include, without limitation, use of the Premises or a portion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thereof for (i) offices of any agency or bureau of the United States or any state or political subdivision thereof; (ii) offices or agencies of any foreign governmental or political subdivision thereof; (iii) offices of any health care professionals or service organization that treat patients on site; (iv) schools or other training facilities which are not ancillary to corporate, executive or professional office use;</w:t>
      </w:r>
    </w:p>
    <w:p>
      <w:pPr>
        <w:ind w:left="940" w:hanging="284"/>
        <w:spacing w:after="0"/>
        <w:tabs>
          <w:tab w:leader="none" w:pos="9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retail or restaurant uses; (vi) communications firms that broadcast from the Premises, such as radio and/or television stations, or</w:t>
      </w:r>
    </w:p>
    <w:p>
      <w:pPr>
        <w:ind w:left="1040" w:hanging="384"/>
        <w:spacing w:after="0"/>
        <w:tabs>
          <w:tab w:leader="none" w:pos="10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executive suites or co-working subleasing or licensing business or operation.</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F - 1</w:t>
      </w:r>
    </w:p>
    <w:p>
      <w:pPr>
        <w:sectPr>
          <w:pgSz w:w="11900" w:h="16838" w:orient="portrait"/>
          <w:cols w:equalWidth="0" w:num="1">
            <w:col w:w="11240"/>
          </w:cols>
          <w:pgMar w:left="320" w:top="1409" w:right="339" w:bottom="1440" w:gutter="0" w:footer="0" w:header="0"/>
          <w:type w:val="continuous"/>
        </w:sectPr>
      </w:pPr>
    </w:p>
    <w:bookmarkStart w:id="151" w:name="page152"/>
    <w:bookmarkEnd w:id="151"/>
    <w:p>
      <w:pPr>
        <w:ind w:left="632" w:hanging="632"/>
        <w:spacing w:after="0"/>
        <w:tabs>
          <w:tab w:leader="none" w:pos="632"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1292" w:hanging="644"/>
        <w:spacing w:after="0" w:line="242" w:lineRule="auto"/>
        <w:tabs>
          <w:tab w:leader="none" w:pos="128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Provisions</w:t>
      </w:r>
      <w:r>
        <w:rPr>
          <w:rFonts w:ascii="Times New Roman" w:cs="Times New Roman" w:eastAsia="Times New Roman" w:hAnsi="Times New Roman"/>
          <w:sz w:val="20"/>
          <w:szCs w:val="20"/>
          <w:color w:val="auto"/>
        </w:rPr>
        <w:t>. Not later than two (2) business days after the mutual execution and delivery of this Lease, Tenant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to Landlord, as collateral for Tenant’s performance of its obligations under this Lease, a standby, unconditional, irrevocable, transferable letter of credit (the “</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xml:space="preserve">”) that (a) is substantially in the form of </w:t>
      </w:r>
      <w:r>
        <w:rPr>
          <w:rFonts w:ascii="Times New Roman" w:cs="Times New Roman" w:eastAsia="Times New Roman" w:hAnsi="Times New Roman"/>
          <w:sz w:val="20"/>
          <w:szCs w:val="20"/>
          <w:b w:val="1"/>
          <w:bCs w:val="1"/>
          <w:u w:val="single" w:color="auto"/>
          <w:color w:val="auto"/>
        </w:rPr>
        <w:t>Exhibit H</w:t>
      </w:r>
      <w:r>
        <w:rPr>
          <w:rFonts w:ascii="Times New Roman" w:cs="Times New Roman" w:eastAsia="Times New Roman" w:hAnsi="Times New Roman"/>
          <w:sz w:val="20"/>
          <w:szCs w:val="20"/>
          <w:color w:val="auto"/>
        </w:rPr>
        <w:t xml:space="preserve"> (or another form approved by Landlord in its sole and absolute discretion), (b) is in the amount of </w:t>
      </w:r>
      <w:r>
        <w:rPr>
          <w:rFonts w:ascii="Times New Roman" w:cs="Times New Roman" w:eastAsia="Times New Roman" w:hAnsi="Times New Roman"/>
          <w:sz w:val="20"/>
          <w:szCs w:val="20"/>
          <w:b w:val="1"/>
          <w:bCs w:val="1"/>
          <w:color w:val="auto"/>
        </w:rPr>
        <w:t>$736,807.26</w:t>
      </w:r>
      <w:r>
        <w:rPr>
          <w:rFonts w:ascii="Times New Roman" w:cs="Times New Roman" w:eastAsia="Times New Roman" w:hAnsi="Times New Roman"/>
          <w:sz w:val="20"/>
          <w:szCs w:val="20"/>
          <w:color w:val="auto"/>
        </w:rPr>
        <w:t xml:space="preserve"> (as the same may be reduced pursuant to the terms of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below) (the “</w:t>
      </w:r>
      <w:r>
        <w:rPr>
          <w:rFonts w:ascii="Times New Roman" w:cs="Times New Roman" w:eastAsia="Times New Roman" w:hAnsi="Times New Roman"/>
          <w:sz w:val="20"/>
          <w:szCs w:val="20"/>
          <w:b w:val="1"/>
          <w:bCs w:val="1"/>
          <w:color w:val="auto"/>
        </w:rPr>
        <w:t>Letter of Credit Amount</w:t>
      </w:r>
      <w:r>
        <w:rPr>
          <w:rFonts w:ascii="Times New Roman" w:cs="Times New Roman" w:eastAsia="Times New Roman" w:hAnsi="Times New Roman"/>
          <w:sz w:val="20"/>
          <w:szCs w:val="20"/>
          <w:color w:val="auto"/>
        </w:rPr>
        <w:t>”), (c) names Landlord as beneficiary, and (d) is issued (or confirmed) by a financial institution that meets the Minimum Financial Requirement (defined below) and is otherwise acceptable to Landlord in its reasonable discretion. For purposes hereof, a financial institution shall be deemed to meet the “</w:t>
      </w:r>
      <w:r>
        <w:rPr>
          <w:rFonts w:ascii="Times New Roman" w:cs="Times New Roman" w:eastAsia="Times New Roman" w:hAnsi="Times New Roman"/>
          <w:sz w:val="20"/>
          <w:szCs w:val="20"/>
          <w:b w:val="1"/>
          <w:bCs w:val="1"/>
          <w:color w:val="auto"/>
        </w:rPr>
        <w:t>Minimum Financial Requirement</w:t>
      </w:r>
      <w:r>
        <w:rPr>
          <w:rFonts w:ascii="Times New Roman" w:cs="Times New Roman" w:eastAsia="Times New Roman" w:hAnsi="Times New Roman"/>
          <w:sz w:val="20"/>
          <w:szCs w:val="20"/>
          <w:color w:val="auto"/>
        </w:rPr>
        <w:t>” at a particular time only if such financial institution then (i) has not been placed into receivership by the FDIC, and (ii) has a financial strength that, in Landlord’s good faith judgment, is not less than that which is then generally required by Landlord and its Affiliates as a condition to accepting letters of credit in support of new leases. Landlord hereby approves of Silicon Valley Bank as the issuer of the initial Letter of Credit. Tenant shall cause the Letter of Credit to be continuously maintained in effect (whether through replacement, renewal or extension) in the Letter of Credit Amount through the date (the “</w:t>
      </w:r>
      <w:r>
        <w:rPr>
          <w:rFonts w:ascii="Times New Roman" w:cs="Times New Roman" w:eastAsia="Times New Roman" w:hAnsi="Times New Roman"/>
          <w:sz w:val="20"/>
          <w:szCs w:val="20"/>
          <w:b w:val="1"/>
          <w:bCs w:val="1"/>
          <w:color w:val="auto"/>
        </w:rPr>
        <w:t>Final LC Expiration Date</w:t>
      </w:r>
      <w:r>
        <w:rPr>
          <w:rFonts w:ascii="Times New Roman" w:cs="Times New Roman" w:eastAsia="Times New Roman" w:hAnsi="Times New Roman"/>
          <w:sz w:val="20"/>
          <w:szCs w:val="20"/>
          <w:color w:val="auto"/>
        </w:rPr>
        <w:t>”) occurring 45 days after the scheduled expiration date of the Term, as it may be extended from time to time.</w:t>
      </w:r>
    </w:p>
    <w:p>
      <w:pPr>
        <w:spacing w:after="0" w:line="182"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Letter of Credit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952" w:hanging="760"/>
        <w:spacing w:after="0" w:line="244" w:lineRule="auto"/>
        <w:tabs>
          <w:tab w:leader="none" w:pos="195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Letter of Credit held by Landlord expires or terminates before the Final LC Expiration Date (whether by reason of a stated expiration date or a notice of termination or non-renewal given by the issuing bank), Tenant shall deliver to Landlord, not later than 45 days before such expiration or termination, a new Letter of Credit, or a certificate of renewal or extension of the Letter of Credit held by Landlord, in an amount not less than the Letter of Credit Amount (less the amount of any unapplied Proceeds (defined in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below) then held by Landlord) and otherwise satisfying all of the requirements set forth in the first sentence of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above (the “</w:t>
      </w:r>
      <w:r>
        <w:rPr>
          <w:rFonts w:ascii="Times New Roman" w:cs="Times New Roman" w:eastAsia="Times New Roman" w:hAnsi="Times New Roman"/>
          <w:sz w:val="20"/>
          <w:szCs w:val="20"/>
          <w:b w:val="1"/>
          <w:bCs w:val="1"/>
          <w:color w:val="auto"/>
        </w:rPr>
        <w:t>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1952" w:hanging="815"/>
        <w:spacing w:after="0" w:line="243" w:lineRule="auto"/>
        <w:tabs>
          <w:tab w:leader="none" w:pos="195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before the Final LC Expiration Date, the financial institution that issued (or confirmed) the Letter of Credit held by Landlord does not meet the Minimum Financial Requirement, then Tenant, within fifteen (15) business days after Landlord’s demand, shall deliver to Landlord, in replacement of such Letter of Credit, a new Letter of Credit that (i) is issued (or confirmed) by a financial institution that meets the Minimum Financial Requirement and is otherwise acceptable to Landlord in its reasonable discretion, and (ii) is in an amount not less than the Letter of Credit Amount (less the amount of any unapplied Proceeds then held by Landlord) and otherwise satisfies all of the LC Requirements, whereupon Landlord shall return to Tenant the Letter of Credit that is being replaced.</w:t>
      </w:r>
    </w:p>
    <w:p>
      <w:pPr>
        <w:spacing w:after="0" w:line="189" w:lineRule="exact"/>
        <w:rPr>
          <w:rFonts w:ascii="Times New Roman" w:cs="Times New Roman" w:eastAsia="Times New Roman" w:hAnsi="Times New Roman"/>
          <w:sz w:val="20"/>
          <w:szCs w:val="20"/>
          <w:color w:val="auto"/>
        </w:rPr>
      </w:pPr>
    </w:p>
    <w:p>
      <w:pPr>
        <w:jc w:val="both"/>
        <w:ind w:left="1952" w:hanging="870"/>
        <w:spacing w:after="0" w:line="243" w:lineRule="auto"/>
        <w:tabs>
          <w:tab w:leader="none" w:pos="195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before the Final LC Expiration Date, the amount of the Letter of Credit held by Landlord is less than the Letter of Credit Amount (less the amount of any unapplied Proceeds then held by Landlord), then Tenant, within five (5) business days after Landlord’s demand, shall either (i) deliver to Landlord an additional Letter of Credit that is in an amount not less than the amount of such shortfall and otherwise satisfies all of the LC Requirements, or (ii) deliver to Landlord, in replacement of the Letter of Credit held by Landlord, a new Letter of Credit that is in an amount not less than the Letter of Credit Amount (less the amount of any unapplied Proceeds then held by Landlord) and otherwise satisfies all of the LC Requirements (whereupon, in the case of this clause (ii), Landlord shall return to Tenant the Letter of Credit that is being replaced).</w:t>
      </w:r>
    </w:p>
    <w:p>
      <w:pPr>
        <w:spacing w:after="0" w:line="185" w:lineRule="exact"/>
        <w:rPr>
          <w:rFonts w:ascii="Times New Roman" w:cs="Times New Roman" w:eastAsia="Times New Roman" w:hAnsi="Times New Roman"/>
          <w:sz w:val="20"/>
          <w:szCs w:val="20"/>
          <w:color w:val="auto"/>
        </w:rPr>
      </w:pPr>
    </w:p>
    <w:p>
      <w:pPr>
        <w:jc w:val="both"/>
        <w:ind w:left="1292" w:hanging="644"/>
        <w:spacing w:after="0" w:line="247" w:lineRule="auto"/>
        <w:tabs>
          <w:tab w:leader="none" w:pos="128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Drawings Under Letter of Credit; Use of Proceeds</w:t>
      </w:r>
      <w:r>
        <w:rPr>
          <w:rFonts w:ascii="Times New Roman" w:cs="Times New Roman" w:eastAsia="Times New Roman" w:hAnsi="Times New Roman"/>
          <w:sz w:val="20"/>
          <w:szCs w:val="20"/>
          <w:color w:val="auto"/>
        </w:rPr>
        <w:t>. If Tenant breaches any provision of this Lease (including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 of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above), Landlord, without limiting its remedies and without notice to Tenant, may draw upon the Letter of Credit and either (a) use all or part of the proceeds of the Letter of Credit (“</w:t>
      </w:r>
      <w:r>
        <w:rPr>
          <w:rFonts w:ascii="Times New Roman" w:cs="Times New Roman" w:eastAsia="Times New Roman" w:hAnsi="Times New Roman"/>
          <w:sz w:val="20"/>
          <w:szCs w:val="20"/>
          <w:b w:val="1"/>
          <w:bCs w:val="1"/>
          <w:color w:val="auto"/>
        </w:rPr>
        <w:t>Proceeds</w:t>
      </w:r>
      <w:r>
        <w:rPr>
          <w:rFonts w:ascii="Times New Roman" w:cs="Times New Roman" w:eastAsia="Times New Roman" w:hAnsi="Times New Roman"/>
          <w:sz w:val="20"/>
          <w:szCs w:val="20"/>
          <w:color w:val="auto"/>
        </w:rPr>
        <w:t>”) to cure such breach and compensate Landlord for any loss or damage caused by such breach, including any damage for which recovery may be made under California Civil Code § 1951.2, or (b)</w:t>
      </w:r>
    </w:p>
    <w:p>
      <w:pPr>
        <w:sectPr>
          <w:pgSz w:w="11900" w:h="16838" w:orient="portrait"/>
          <w:cols w:equalWidth="0" w:num="1">
            <w:col w:w="11232"/>
          </w:cols>
          <w:pgMar w:left="328"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color w:val="auto"/>
        </w:rPr>
        <w:t>Exhibit F - 2</w:t>
      </w:r>
    </w:p>
    <w:p>
      <w:pPr>
        <w:sectPr>
          <w:pgSz w:w="11900" w:h="16838" w:orient="portrait"/>
          <w:cols w:equalWidth="0" w:num="1">
            <w:col w:w="11232"/>
          </w:cols>
          <w:pgMar w:left="328" w:top="1409" w:right="339" w:bottom="1440" w:gutter="0" w:footer="0" w:header="0"/>
          <w:type w:val="continuous"/>
        </w:sectPr>
      </w:pPr>
    </w:p>
    <w:bookmarkStart w:id="152" w:name="page153"/>
    <w:bookmarkEnd w:id="152"/>
    <w:p>
      <w:pPr>
        <w:ind w:left="1292" w:right="20"/>
        <w:spacing w:after="0" w:line="269" w:lineRule="auto"/>
        <w:rPr>
          <w:sz w:val="20"/>
          <w:szCs w:val="20"/>
          <w:color w:val="auto"/>
        </w:rPr>
      </w:pPr>
      <w:r>
        <w:rPr>
          <w:rFonts w:ascii="Times New Roman" w:cs="Times New Roman" w:eastAsia="Times New Roman" w:hAnsi="Times New Roman"/>
          <w:sz w:val="20"/>
          <w:szCs w:val="20"/>
          <w:color w:val="auto"/>
        </w:rPr>
        <w:t xml:space="preserve">hold the Proceeds, without segregation, until they are applied as provided in the preceding clause (a) or paid to Tenant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below.</w:t>
      </w:r>
    </w:p>
    <w:p>
      <w:pPr>
        <w:spacing w:after="0" w:line="155" w:lineRule="exact"/>
        <w:rPr>
          <w:sz w:val="20"/>
          <w:szCs w:val="20"/>
          <w:color w:val="auto"/>
        </w:rPr>
      </w:pPr>
    </w:p>
    <w:p>
      <w:pPr>
        <w:jc w:val="both"/>
        <w:ind w:left="1292" w:hanging="644"/>
        <w:spacing w:after="0" w:line="246" w:lineRule="auto"/>
        <w:tabs>
          <w:tab w:leader="none" w:pos="129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Unapplied Proceeds to Tenant</w:t>
      </w:r>
      <w:r>
        <w:rPr>
          <w:rFonts w:ascii="Times New Roman" w:cs="Times New Roman" w:eastAsia="Times New Roman" w:hAnsi="Times New Roman"/>
          <w:sz w:val="20"/>
          <w:szCs w:val="20"/>
          <w:color w:val="auto"/>
        </w:rPr>
        <w:t>. Upon receiving any new or additional Letter of Credit (or any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renewal or extension of a Letter of Credit) satisfying the applicable requirements of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above, Landlord shall pay to Tenant any unapplied Proceeds then held by Landlord, except to the extent, if any, that the amount of the Letter of Credit then held by Landlord is less than the Letter of Credit Amount. In addition, any unapplied Proceeds shall be paid to Tenant within 30 days after the latest to occur of (a) the expiration of the Term, or (b) Tenant’s surrender of the Premises as required under this Lease.</w:t>
      </w:r>
    </w:p>
    <w:p>
      <w:pPr>
        <w:spacing w:after="0" w:line="178" w:lineRule="exact"/>
        <w:rPr>
          <w:rFonts w:ascii="Times New Roman" w:cs="Times New Roman" w:eastAsia="Times New Roman" w:hAnsi="Times New Roman"/>
          <w:sz w:val="20"/>
          <w:szCs w:val="20"/>
          <w:color w:val="auto"/>
        </w:rPr>
      </w:pPr>
    </w:p>
    <w:p>
      <w:pPr>
        <w:jc w:val="both"/>
        <w:ind w:left="1292" w:hanging="644"/>
        <w:spacing w:after="0" w:line="256" w:lineRule="auto"/>
        <w:tabs>
          <w:tab w:leader="none" w:pos="128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Nature of Letter of Credit and Proceeds</w:t>
      </w:r>
      <w:r>
        <w:rPr>
          <w:rFonts w:ascii="Times New Roman" w:cs="Times New Roman" w:eastAsia="Times New Roman" w:hAnsi="Times New Roman"/>
          <w:sz w:val="20"/>
          <w:szCs w:val="20"/>
          <w:color w:val="auto"/>
        </w:rPr>
        <w:t>. Landlord and Tenant acknowledge and agree that, subject to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neither the Letter of Credit nor any Proceeds are (i) the property of Tenant or its bankruptcy estate, or (ii) intended to serve as, or in lieu of, a security deposit.</w:t>
      </w:r>
    </w:p>
    <w:p>
      <w:pPr>
        <w:spacing w:after="0" w:line="168" w:lineRule="exact"/>
        <w:rPr>
          <w:rFonts w:ascii="Times New Roman" w:cs="Times New Roman" w:eastAsia="Times New Roman" w:hAnsi="Times New Roman"/>
          <w:sz w:val="20"/>
          <w:szCs w:val="20"/>
          <w:color w:val="auto"/>
        </w:rPr>
      </w:pPr>
    </w:p>
    <w:p>
      <w:pPr>
        <w:jc w:val="both"/>
        <w:ind w:left="1292" w:hanging="644"/>
        <w:spacing w:after="0" w:line="231" w:lineRule="auto"/>
        <w:tabs>
          <w:tab w:leader="none" w:pos="128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Reduction in Letter of Credit Amount</w:t>
      </w:r>
      <w:r>
        <w:rPr>
          <w:rFonts w:ascii="Times New Roman" w:cs="Times New Roman" w:eastAsia="Times New Roman" w:hAnsi="Times New Roman"/>
          <w:sz w:val="20"/>
          <w:szCs w:val="20"/>
          <w:color w:val="auto"/>
        </w:rPr>
        <w:t>. Provided that no monetary Default or material non-monetary Default has occurred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12 month period immediately preceding the effective date of any reduction of the Letter of Credit (the “</w:t>
      </w:r>
      <w:r>
        <w:rPr>
          <w:rFonts w:ascii="Times New Roman" w:cs="Times New Roman" w:eastAsia="Times New Roman" w:hAnsi="Times New Roman"/>
          <w:sz w:val="20"/>
          <w:szCs w:val="20"/>
          <w:b w:val="1"/>
          <w:bCs w:val="1"/>
          <w:color w:val="auto"/>
        </w:rPr>
        <w:t>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Reduction Condition</w:t>
      </w:r>
      <w:r>
        <w:rPr>
          <w:rFonts w:ascii="Times New Roman" w:cs="Times New Roman" w:eastAsia="Times New Roman" w:hAnsi="Times New Roman"/>
          <w:sz w:val="20"/>
          <w:szCs w:val="20"/>
          <w:color w:val="auto"/>
        </w:rPr>
        <w:t>”), Tenant may reduce the Letter of Credit Amount so that the reduced Letter of Credit Amounts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as follows: (a) </w:t>
      </w:r>
      <w:r>
        <w:rPr>
          <w:rFonts w:ascii="Times New Roman" w:cs="Times New Roman" w:eastAsia="Times New Roman" w:hAnsi="Times New Roman"/>
          <w:sz w:val="20"/>
          <w:szCs w:val="20"/>
          <w:b w:val="1"/>
          <w:bCs w:val="1"/>
          <w:color w:val="auto"/>
        </w:rPr>
        <w:t>$491,204.84</w:t>
      </w:r>
      <w:r>
        <w:rPr>
          <w:rFonts w:ascii="Times New Roman" w:cs="Times New Roman" w:eastAsia="Times New Roman" w:hAnsi="Times New Roman"/>
          <w:sz w:val="20"/>
          <w:szCs w:val="20"/>
          <w:color w:val="auto"/>
        </w:rPr>
        <w:t xml:space="preserve"> effective as of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anniversary of the Commencement Date, and (b) </w:t>
      </w:r>
      <w:r>
        <w:rPr>
          <w:rFonts w:ascii="Times New Roman" w:cs="Times New Roman" w:eastAsia="Times New Roman" w:hAnsi="Times New Roman"/>
          <w:sz w:val="20"/>
          <w:szCs w:val="20"/>
          <w:b w:val="1"/>
          <w:bCs w:val="1"/>
          <w:color w:val="auto"/>
        </w:rPr>
        <w:t>$245,602.42</w:t>
      </w:r>
      <w:r>
        <w:rPr>
          <w:rFonts w:ascii="Times New Roman" w:cs="Times New Roman" w:eastAsia="Times New Roman" w:hAnsi="Times New Roman"/>
          <w:sz w:val="20"/>
          <w:szCs w:val="20"/>
          <w:color w:val="auto"/>
        </w:rPr>
        <w:t xml:space="preserve"> effective as of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of the Commencement Date. If Tenant is not entitled to reduce the Letter of Credit Amount as of a particular reduction effective date due to Tenant’s failure to satisfy the LC Reduction Condition described above, then any subsequent reduction to which Tenant is entitled hereunder shall be reduced by the amount of the reduction Tenant would have been entitled to had Tenant satisfied the LC Reduction Condition necessary for such earlier reduction. Any reduction in the Letter of Credit Amount shall be accomplished by Tenant providing Landlord with a substitute letter of credit in the reduced amount or an amendment to the existing Letter of Credit reflecting the reduced amount.</w:t>
      </w:r>
    </w:p>
    <w:p>
      <w:pPr>
        <w:spacing w:after="0" w:line="186"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OPTION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292" w:hanging="648"/>
        <w:spacing w:after="0" w:line="23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Grant of Option; Conditions.</w:t>
      </w:r>
      <w:r>
        <w:rPr>
          <w:rFonts w:ascii="Times New Roman" w:cs="Times New Roman" w:eastAsia="Times New Roman" w:hAnsi="Times New Roman"/>
          <w:sz w:val="20"/>
          <w:szCs w:val="20"/>
          <w:color w:val="auto"/>
        </w:rPr>
        <w:t xml:space="preserve"> Tenant shall have the right (the “</w:t>
      </w:r>
      <w:r>
        <w:rPr>
          <w:rFonts w:ascii="Times New Roman" w:cs="Times New Roman" w:eastAsia="Times New Roman" w:hAnsi="Times New Roman"/>
          <w:sz w:val="20"/>
          <w:szCs w:val="20"/>
          <w:b w:val="1"/>
          <w:bCs w:val="1"/>
          <w:color w:val="auto"/>
        </w:rPr>
        <w:t>Extension Option</w:t>
      </w:r>
      <w:r>
        <w:rPr>
          <w:rFonts w:ascii="Times New Roman" w:cs="Times New Roman" w:eastAsia="Times New Roman" w:hAnsi="Times New Roman"/>
          <w:sz w:val="20"/>
          <w:szCs w:val="20"/>
          <w:color w:val="auto"/>
        </w:rPr>
        <w:t xml:space="preserve">”) to extend the Term, with respect to the entire Premises only (subject to </w:t>
      </w:r>
      <w:r>
        <w:rPr>
          <w:rFonts w:ascii="Times New Roman" w:cs="Times New Roman" w:eastAsia="Times New Roman" w:hAnsi="Times New Roman"/>
          <w:sz w:val="20"/>
          <w:szCs w:val="20"/>
          <w:u w:val="single" w:color="auto"/>
          <w:color w:val="auto"/>
        </w:rPr>
        <w:t>Sections 5.6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6.2.1</w:t>
      </w:r>
      <w:r>
        <w:rPr>
          <w:rFonts w:ascii="Times New Roman" w:cs="Times New Roman" w:eastAsia="Times New Roman" w:hAnsi="Times New Roman"/>
          <w:sz w:val="20"/>
          <w:szCs w:val="20"/>
          <w:color w:val="auto"/>
        </w:rPr>
        <w:t xml:space="preserve"> below), for one (1) additional period of five (5) years beginning on the day immediately following the Expiration Date and ending on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of the Expiration Date (the “</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if:</w:t>
      </w:r>
    </w:p>
    <w:p>
      <w:pPr>
        <w:spacing w:after="0" w:line="216" w:lineRule="exact"/>
        <w:rPr>
          <w:rFonts w:ascii="Times New Roman" w:cs="Times New Roman" w:eastAsia="Times New Roman" w:hAnsi="Times New Roman"/>
          <w:sz w:val="20"/>
          <w:szCs w:val="20"/>
          <w:b w:val="1"/>
          <w:bCs w:val="1"/>
          <w:color w:val="auto"/>
        </w:rPr>
      </w:pPr>
    </w:p>
    <w:p>
      <w:pPr>
        <w:ind w:left="1952" w:right="20" w:hanging="656"/>
        <w:spacing w:after="0" w:line="269" w:lineRule="auto"/>
        <w:tabs>
          <w:tab w:leader="none" w:pos="173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10 and not more than 20 full calendar months before the Expiration Date, Tenant delivers written notice to Landlord (the “</w:t>
      </w:r>
      <w:r>
        <w:rPr>
          <w:rFonts w:ascii="Times New Roman" w:cs="Times New Roman" w:eastAsia="Times New Roman" w:hAnsi="Times New Roman"/>
          <w:sz w:val="20"/>
          <w:szCs w:val="20"/>
          <w:b w:val="1"/>
          <w:bCs w:val="1"/>
          <w:color w:val="auto"/>
        </w:rPr>
        <w:t>Extension Notice</w:t>
      </w:r>
      <w:r>
        <w:rPr>
          <w:rFonts w:ascii="Times New Roman" w:cs="Times New Roman" w:eastAsia="Times New Roman" w:hAnsi="Times New Roman"/>
          <w:sz w:val="20"/>
          <w:szCs w:val="20"/>
          <w:color w:val="auto"/>
        </w:rPr>
        <w:t>”) electing to exercise the Extension Option;</w:t>
      </w:r>
    </w:p>
    <w:p>
      <w:pPr>
        <w:spacing w:after="0" w:line="186" w:lineRule="exact"/>
        <w:rPr>
          <w:rFonts w:ascii="Times New Roman" w:cs="Times New Roman" w:eastAsia="Times New Roman" w:hAnsi="Times New Roman"/>
          <w:sz w:val="20"/>
          <w:szCs w:val="20"/>
          <w:color w:val="auto"/>
        </w:rPr>
      </w:pPr>
    </w:p>
    <w:p>
      <w:pPr>
        <w:ind w:left="1732" w:hanging="436"/>
        <w:spacing w:after="0"/>
        <w:tabs>
          <w:tab w:leader="none" w:pos="173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exists when Tenant delivers the Extension Notice;</w:t>
      </w:r>
    </w:p>
    <w:p>
      <w:pPr>
        <w:spacing w:after="0" w:line="242" w:lineRule="exact"/>
        <w:rPr>
          <w:rFonts w:ascii="Times New Roman" w:cs="Times New Roman" w:eastAsia="Times New Roman" w:hAnsi="Times New Roman"/>
          <w:sz w:val="20"/>
          <w:szCs w:val="20"/>
          <w:color w:val="auto"/>
        </w:rPr>
      </w:pPr>
    </w:p>
    <w:p>
      <w:pPr>
        <w:ind w:left="1952" w:right="20" w:hanging="656"/>
        <w:spacing w:after="0" w:line="269" w:lineRule="auto"/>
        <w:tabs>
          <w:tab w:leader="none" w:pos="1769"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more than 33% of the Premises (other than any Excluded Space (defined in </w:t>
      </w:r>
      <w:r>
        <w:rPr>
          <w:rFonts w:ascii="Times New Roman" w:cs="Times New Roman" w:eastAsia="Times New Roman" w:hAnsi="Times New Roman"/>
          <w:sz w:val="20"/>
          <w:szCs w:val="20"/>
          <w:u w:val="single" w:color="auto"/>
          <w:color w:val="auto"/>
        </w:rPr>
        <w:t>Section 5.6.1</w:t>
      </w:r>
      <w:r>
        <w:rPr>
          <w:rFonts w:ascii="Times New Roman" w:cs="Times New Roman" w:eastAsia="Times New Roman" w:hAnsi="Times New Roman"/>
          <w:sz w:val="20"/>
          <w:szCs w:val="20"/>
          <w:color w:val="auto"/>
        </w:rPr>
        <w:t xml:space="preserve"> below)) is sublet (other than pursuant to Permitted Transer) when Tenant delivers the Extension Notice; and</w:t>
      </w:r>
    </w:p>
    <w:p>
      <w:pPr>
        <w:spacing w:after="0" w:line="186" w:lineRule="exact"/>
        <w:rPr>
          <w:rFonts w:ascii="Times New Roman" w:cs="Times New Roman" w:eastAsia="Times New Roman" w:hAnsi="Times New Roman"/>
          <w:sz w:val="20"/>
          <w:szCs w:val="20"/>
          <w:color w:val="auto"/>
        </w:rPr>
      </w:pPr>
    </w:p>
    <w:p>
      <w:pPr>
        <w:ind w:left="1952" w:hanging="656"/>
        <w:spacing w:after="0" w:line="269" w:lineRule="auto"/>
        <w:tabs>
          <w:tab w:leader="none" w:pos="181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has not been assigned (other than pursuant to a Permitted Transfer) before Tenant delivers the Extension Notice.</w:t>
      </w:r>
    </w:p>
    <w:p>
      <w:pPr>
        <w:spacing w:after="0" w:line="182" w:lineRule="exact"/>
        <w:rPr>
          <w:sz w:val="20"/>
          <w:szCs w:val="20"/>
          <w:color w:val="auto"/>
        </w:rPr>
      </w:pPr>
    </w:p>
    <w:p>
      <w:pPr>
        <w:ind w:left="652"/>
        <w:spacing w:after="0"/>
        <w:tabs>
          <w:tab w:leader="none" w:pos="1132"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Terms Applicable to Extension Term.</w:t>
      </w:r>
    </w:p>
    <w:p>
      <w:pPr>
        <w:spacing w:after="0" w:line="247" w:lineRule="exact"/>
        <w:rPr>
          <w:sz w:val="20"/>
          <w:szCs w:val="20"/>
          <w:color w:val="auto"/>
        </w:rPr>
      </w:pPr>
    </w:p>
    <w:p>
      <w:pPr>
        <w:ind w:left="1952" w:hanging="656"/>
        <w:spacing w:after="0" w:line="249" w:lineRule="auto"/>
        <w:tabs>
          <w:tab w:leader="none" w:pos="17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Extension Term, (a) the Base Rent rate per rentable square foot shall be equal to the Prevailing Market (defined in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below) rate per rentable square foot; (b) Base Rent shall increase, if at all, in accordance with the increases assumed in the determination of Prevailing Market rate; and (c) Base Rent shall be payable in monthly installments in accordance with the terms and conditions of this Lease.</w:t>
      </w:r>
    </w:p>
    <w:p>
      <w:pPr>
        <w:spacing w:after="0" w:line="206" w:lineRule="exact"/>
        <w:rPr>
          <w:rFonts w:ascii="Times New Roman" w:cs="Times New Roman" w:eastAsia="Times New Roman" w:hAnsi="Times New Roman"/>
          <w:sz w:val="20"/>
          <w:szCs w:val="20"/>
          <w:color w:val="auto"/>
        </w:rPr>
      </w:pPr>
    </w:p>
    <w:p>
      <w:pPr>
        <w:ind w:left="1952" w:right="20" w:hanging="656"/>
        <w:spacing w:after="0" w:line="269" w:lineRule="auto"/>
        <w:tabs>
          <w:tab w:leader="none" w:pos="17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Extension Term Tenant shall pay Tenant’s Share of Expenses and Taxes for the Premises in accordance with this Lease.</w:t>
      </w:r>
    </w:p>
    <w:p>
      <w:pPr>
        <w:sectPr>
          <w:pgSz w:w="11900" w:h="16838" w:orient="portrait"/>
          <w:cols w:equalWidth="0" w:num="1">
            <w:col w:w="11232"/>
          </w:cols>
          <w:pgMar w:left="328"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color w:val="auto"/>
        </w:rPr>
        <w:t>Exhibit F - 3</w:t>
      </w:r>
    </w:p>
    <w:p>
      <w:pPr>
        <w:sectPr>
          <w:pgSz w:w="11900" w:h="16838" w:orient="portrait"/>
          <w:cols w:equalWidth="0" w:num="1">
            <w:col w:w="11232"/>
          </w:cols>
          <w:pgMar w:left="328" w:top="1413" w:right="339" w:bottom="1440" w:gutter="0" w:footer="0" w:header="0"/>
          <w:type w:val="continuous"/>
        </w:sectPr>
      </w:pPr>
    </w:p>
    <w:bookmarkStart w:id="153" w:name="page154"/>
    <w:bookmarkEnd w:id="153"/>
    <w:p>
      <w:pPr>
        <w:spacing w:after="0"/>
        <w:tabs>
          <w:tab w:leader="none" w:pos="4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Procedure for Determining Prevailing Market.</w:t>
      </w:r>
    </w:p>
    <w:p>
      <w:pPr>
        <w:spacing w:after="0" w:line="247" w:lineRule="exact"/>
        <w:rPr>
          <w:sz w:val="20"/>
          <w:szCs w:val="20"/>
          <w:color w:val="auto"/>
        </w:rPr>
      </w:pPr>
    </w:p>
    <w:p>
      <w:pPr>
        <w:ind w:left="1300" w:hanging="656"/>
        <w:spacing w:after="0" w:line="243" w:lineRule="auto"/>
        <w:tabs>
          <w:tab w:leader="none" w:pos="11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Procedure</w:t>
      </w:r>
      <w:r>
        <w:rPr>
          <w:rFonts w:ascii="Times New Roman" w:cs="Times New Roman" w:eastAsia="Times New Roman" w:hAnsi="Times New Roman"/>
          <w:sz w:val="20"/>
          <w:szCs w:val="20"/>
          <w:color w:val="auto"/>
        </w:rPr>
        <w:t>. Within 30 days after receiving the Extension Notice, Landlord shall give Tenant written notice (“</w:t>
      </w:r>
      <w:r>
        <w:rPr>
          <w:rFonts w:ascii="Times New Roman" w:cs="Times New Roman" w:eastAsia="Times New Roman" w:hAnsi="Times New Roman"/>
          <w:sz w:val="20"/>
          <w:szCs w:val="20"/>
          <w:b w:val="1"/>
          <w:bCs w:val="1"/>
          <w:color w:val="auto"/>
        </w:rPr>
        <w:t>Landlord’s Notice</w:t>
      </w:r>
      <w:r>
        <w:rPr>
          <w:rFonts w:ascii="Times New Roman" w:cs="Times New Roman" w:eastAsia="Times New Roman" w:hAnsi="Times New Roman"/>
          <w:sz w:val="20"/>
          <w:szCs w:val="20"/>
          <w:color w:val="auto"/>
        </w:rPr>
        <w:t>”) stating Landlord’s estimate of the Prevailing Market rate for the Extension Term. Tenant, within 15 days thereafter, shall give Landlord either (i) written notice (“</w:t>
      </w:r>
      <w:r>
        <w:rPr>
          <w:rFonts w:ascii="Times New Roman" w:cs="Times New Roman" w:eastAsia="Times New Roman" w:hAnsi="Times New Roman"/>
          <w:sz w:val="20"/>
          <w:szCs w:val="20"/>
          <w:b w:val="1"/>
          <w:bCs w:val="1"/>
          <w:color w:val="auto"/>
        </w:rPr>
        <w:t>Tenant’s Binding Notice</w:t>
      </w:r>
      <w:r>
        <w:rPr>
          <w:rFonts w:ascii="Times New Roman" w:cs="Times New Roman" w:eastAsia="Times New Roman" w:hAnsi="Times New Roman"/>
          <w:sz w:val="20"/>
          <w:szCs w:val="20"/>
          <w:color w:val="auto"/>
        </w:rPr>
        <w:t>”) accepting Landlord’s estimate of the Prevailing Market rate for the Extension Term stated in Landlord’s Notice, or (ii) written notice (“</w:t>
      </w:r>
      <w:r>
        <w:rPr>
          <w:rFonts w:ascii="Times New Roman" w:cs="Times New Roman" w:eastAsia="Times New Roman" w:hAnsi="Times New Roman"/>
          <w:sz w:val="20"/>
          <w:szCs w:val="20"/>
          <w:b w:val="1"/>
          <w:bCs w:val="1"/>
          <w:color w:val="auto"/>
        </w:rPr>
        <w:t>Tenant’s Rejection Notice</w:t>
      </w:r>
      <w:r>
        <w:rPr>
          <w:rFonts w:ascii="Times New Roman" w:cs="Times New Roman" w:eastAsia="Times New Roman" w:hAnsi="Times New Roman"/>
          <w:sz w:val="20"/>
          <w:szCs w:val="20"/>
          <w:color w:val="auto"/>
        </w:rPr>
        <w:t xml:space="preserve">”) rejecting such estimate. If Tenant gives Landlord a Tenant’s Rejection Notice, Landlord and Tenant shall work together in good faith to agree in writing upon the Prevailing Market rate for the Extension Term. If, within 30 days after delivery of a Tenant’s Rejection Notice, the parties fail to agree in writing upon the Prevailing Market rate, the provisions of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xml:space="preserve"> below shall apply.</w:t>
      </w:r>
    </w:p>
    <w:p>
      <w:pPr>
        <w:spacing w:after="0" w:line="216"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Procedure</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1940" w:hanging="648"/>
        <w:spacing w:after="0" w:line="242" w:lineRule="auto"/>
        <w:tabs>
          <w:tab w:leader="none" w:pos="172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30 days after delivery of a Tenant’s Rejection Notice, the parties fail to agree in writing upon the Prevailing Market rate, Landlord and Tenant, within five (5) days thereafter, shall each simultaneously submit to the other, in a sealed envelope, its good faith estimate of the Prevailing Market rate for the Extension Term (collectively, the “</w:t>
      </w:r>
      <w:r>
        <w:rPr>
          <w:rFonts w:ascii="Times New Roman" w:cs="Times New Roman" w:eastAsia="Times New Roman" w:hAnsi="Times New Roman"/>
          <w:sz w:val="20"/>
          <w:szCs w:val="20"/>
          <w:b w:val="1"/>
          <w:bCs w:val="1"/>
          <w:color w:val="auto"/>
        </w:rPr>
        <w:t>Estimates</w:t>
      </w:r>
      <w:r>
        <w:rPr>
          <w:rFonts w:ascii="Times New Roman" w:cs="Times New Roman" w:eastAsia="Times New Roman" w:hAnsi="Times New Roman"/>
          <w:sz w:val="20"/>
          <w:szCs w:val="20"/>
          <w:color w:val="auto"/>
        </w:rPr>
        <w:t>”). Within seven (7) days after the exchange of Estimates, Landlord and Tenant shall each select a broker or agent (an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to determine which of the two Estimates most closely reflects the Prevailing Market rate for the Extension Term. Each Agent so selected shall be licensed as a real estate broker or agent and in good standing with the California Department of Real Estate, and shall have had at least five (5) years’ experience within the previous 10 years as a commercial real estate broker or agent working in the Playa Vista market, with working knowledge of current rental rates and leasing practices relating to buildings similar to the Building.</w:t>
      </w:r>
    </w:p>
    <w:p>
      <w:pPr>
        <w:spacing w:after="0" w:line="219" w:lineRule="exact"/>
        <w:rPr>
          <w:rFonts w:ascii="Times New Roman" w:cs="Times New Roman" w:eastAsia="Times New Roman" w:hAnsi="Times New Roman"/>
          <w:sz w:val="20"/>
          <w:szCs w:val="20"/>
          <w:color w:val="auto"/>
        </w:rPr>
      </w:pPr>
    </w:p>
    <w:p>
      <w:pPr>
        <w:ind w:left="1940" w:hanging="648"/>
        <w:spacing w:after="0"/>
        <w:tabs>
          <w:tab w:leader="none" w:pos="166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each party selects an Agent in accordance with </w:t>
      </w:r>
      <w:r>
        <w:rPr>
          <w:rFonts w:ascii="Times New Roman" w:cs="Times New Roman" w:eastAsia="Times New Roman" w:hAnsi="Times New Roman"/>
          <w:sz w:val="20"/>
          <w:szCs w:val="20"/>
          <w:u w:val="single" w:color="auto"/>
          <w:color w:val="auto"/>
        </w:rPr>
        <w:t>Section 5.3.B.1</w:t>
      </w:r>
      <w:r>
        <w:rPr>
          <w:rFonts w:ascii="Times New Roman" w:cs="Times New Roman" w:eastAsia="Times New Roman" w:hAnsi="Times New Roman"/>
          <w:sz w:val="20"/>
          <w:szCs w:val="20"/>
          <w:color w:val="auto"/>
        </w:rPr>
        <w:t xml:space="preserve"> above, the parties shall cause their respective Agents to work together in good faith to agree upon which of the two Estimates most closely reflects the Prevailing Market rate for the Extension Term. The Estimate, if any, so agreed upon by such Agents shall be final and binding on both parties as the Prevailing Market rate for the Extension Term and may be entered in a court of competent jurisdiction. If the Agents fail to reach such agreement within 20 days after their selection, then, within 10 days after the expiration of such 20-day period, the parties shall instruct the Agents to select a third Agent meeting the above criteria (and if the Agents fail to agree upon such third Agent within 10 days after being so instructed, either party may cause a court of competent jurisdiction to select such third Agent). Promptly upon selection of such third Agent, the parties shall instruct such Agent (or, if only one of the parties has selected an Agent within the 7-day period described above, then promptly after the expiration of such 7-day period the parties shall instruct such Agent) to determine, as soon as practicable but in any case within 14 days after his selection, which of the two Estimates most closely reflects the Prevailing Market rate. Such determination by such Agent (the “</w:t>
      </w:r>
      <w:r>
        <w:rPr>
          <w:rFonts w:ascii="Times New Roman" w:cs="Times New Roman" w:eastAsia="Times New Roman" w:hAnsi="Times New Roman"/>
          <w:sz w:val="20"/>
          <w:szCs w:val="20"/>
          <w:b w:val="1"/>
          <w:bCs w:val="1"/>
          <w:color w:val="auto"/>
        </w:rPr>
        <w:t>Referee</w:t>
      </w:r>
      <w:r>
        <w:rPr>
          <w:rFonts w:ascii="Times New Roman" w:cs="Times New Roman" w:eastAsia="Times New Roman" w:hAnsi="Times New Roman"/>
          <w:sz w:val="20"/>
          <w:szCs w:val="20"/>
          <w:color w:val="auto"/>
        </w:rPr>
        <w:t>”) shall be final and binding on both parties as the Prevailing Market rate for the Extension Term and may be entered in a court of competent jurisdiction. For the avoidance of doubt, the Referee shall not substitute any calculation of the Prevailing Market rate for the two Estimates, but install shall instead determine which of the two Estimates most closely reflects the Prevailing Market rate. If the Referee believes that expert advice would materially assist him, he may retain one or more qualified persons to provide such expert advice. The parties shall share equally in the costs of the Referee and of any experts retained by the Referee. Any fees of any other broker, agent, counsel or expert engaged by Landlord or Tenant shall be borne by the party retaining such broker, agent, counsel or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Exhibit F - 4</w:t>
      </w:r>
    </w:p>
    <w:p>
      <w:pPr>
        <w:sectPr>
          <w:pgSz w:w="11900" w:h="16838" w:orient="portrait"/>
          <w:cols w:equalWidth="0" w:num="1">
            <w:col w:w="10580"/>
          </w:cols>
          <w:pgMar w:left="980" w:top="1409" w:right="339" w:bottom="1440" w:gutter="0" w:footer="0" w:header="0"/>
        </w:sectPr>
      </w:pPr>
    </w:p>
    <w:bookmarkStart w:id="154" w:name="page155"/>
    <w:bookmarkEnd w:id="154"/>
    <w:p>
      <w:pPr>
        <w:ind w:left="1300" w:hanging="656"/>
        <w:spacing w:after="0" w:line="245" w:lineRule="auto"/>
        <w:tabs>
          <w:tab w:leader="none" w:pos="107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If the Prevailing Market rate has not been determined by the commencement date of the Extension Term, Tenant shall pay Base Rent for the Extension Term upon the terms and conditions in effect during the last month ending on or before the Expiration Date until such time as the Prevailing Market rate has been determined. Upon such determination, the Base Rent for the Extension Term shall be retroactively adjusted. If such adjustment results in an under- or overpayment of Base Rent by Tenant, Tenant shall pay Landlord the amount of such underpayment, or receive a credit in the amount of such overpayment, with or against the next Base Rent due under this Lease.</w:t>
      </w:r>
    </w:p>
    <w:p>
      <w:pPr>
        <w:spacing w:after="0" w:line="207" w:lineRule="exact"/>
        <w:rPr>
          <w:sz w:val="20"/>
          <w:szCs w:val="20"/>
          <w:color w:val="auto"/>
        </w:rPr>
      </w:pPr>
    </w:p>
    <w:p>
      <w:pPr>
        <w:jc w:val="both"/>
        <w:ind w:left="500" w:hanging="647"/>
        <w:spacing w:after="0" w:line="244" w:lineRule="auto"/>
        <w:tabs>
          <w:tab w:leader="none" w:pos="4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b w:val="1"/>
          <w:bCs w:val="1"/>
          <w:color w:val="auto"/>
        </w:rPr>
        <w:t xml:space="preserve">Extension Amendment. </w:t>
      </w:r>
      <w:r>
        <w:rPr>
          <w:rFonts w:ascii="Times New Roman" w:cs="Times New Roman" w:eastAsia="Times New Roman" w:hAnsi="Times New Roman"/>
          <w:sz w:val="20"/>
          <w:szCs w:val="20"/>
          <w:color w:val="auto"/>
        </w:rPr>
        <w:t>If Tenant is entitled to and properly exercises its Extension Option, and if the Prevailing Market 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the Extension Term is determined in accordance with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above, Landlord, within a reasonable time thereafter, shall prepare and deliver to Tenant an amendment (the “</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reflecting changes in the Base Rent, the term of this Lease, the expiration date of this Lease, and other appropriate terms in accordance with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and Tenant shall execute and return (or provide Landlord with reasonable objections to) the Extension Amendment within 15 days after receiving it. Notwithstanding the foregoing, upon determination of the Prevailing Market rate for the Extension Term in accordance with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above, an otherwise valid exercise of the Extension Option shall be fully effective whether or not the Extension Amendment is executed.</w:t>
      </w:r>
    </w:p>
    <w:p>
      <w:pPr>
        <w:spacing w:after="0" w:line="209" w:lineRule="exact"/>
        <w:rPr>
          <w:sz w:val="20"/>
          <w:szCs w:val="20"/>
          <w:color w:val="auto"/>
        </w:rPr>
      </w:pPr>
    </w:p>
    <w:p>
      <w:pPr>
        <w:jc w:val="both"/>
        <w:ind w:left="540" w:hanging="647"/>
        <w:spacing w:after="0" w:line="243" w:lineRule="auto"/>
        <w:tabs>
          <w:tab w:leader="none" w:pos="52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b w:val="1"/>
          <w:bCs w:val="1"/>
          <w:color w:val="auto"/>
        </w:rPr>
        <w:t xml:space="preserve">Definition of Prevailing Market. </w:t>
      </w:r>
      <w:r>
        <w:rPr>
          <w:rFonts w:ascii="Times New Roman" w:cs="Times New Roman" w:eastAsia="Times New Roman" w:hAnsi="Times New Roman"/>
          <w:sz w:val="20"/>
          <w:szCs w:val="20"/>
          <w:color w:val="auto"/>
        </w:rPr>
        <w:t>For purposes of this Extension Option, “</w:t>
      </w:r>
      <w:r>
        <w:rPr>
          <w:rFonts w:ascii="Times New Roman" w:cs="Times New Roman" w:eastAsia="Times New Roman" w:hAnsi="Times New Roman"/>
          <w:sz w:val="20"/>
          <w:szCs w:val="20"/>
          <w:b w:val="1"/>
          <w:bCs w:val="1"/>
          <w:color w:val="auto"/>
        </w:rPr>
        <w:t>Prevailing Market</w:t>
      </w:r>
      <w:r>
        <w:rPr>
          <w:rFonts w:ascii="Times New Roman" w:cs="Times New Roman" w:eastAsia="Times New Roman" w:hAnsi="Times New Roman"/>
          <w:sz w:val="20"/>
          <w:szCs w:val="20"/>
          <w:color w:val="auto"/>
        </w:rPr>
        <w:t>” shall mean the arms-length,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fair-market, annual rental rate per rentable square foot under leases and amendments entered into on or about the date on which the Prevailing Market is being determined hereunder for space comparable to the Premises in the Project. The determination of Prevailing Market shall take into account (i) any material economic differences between the terms of this Lease and any comparison lease or amendment, such as rent abatements, construction costs and other concessions, and the manner, if any, in which the landlord under any such lease is reimbursed for operating expenses and taxes; (ii) any material differences in configuration or condition between the Premises and any comparison space, including any cost that would have to be incurred in order to make the configuration or condition of the comparison space similar to that of the Premises; and (iii) any reasonably anticipated changes in the Prevailing Market rate from the time such Prevailing Market rate is being determined and the time such Prevailing Market rate will become effective under this Lease.</w:t>
      </w:r>
    </w:p>
    <w:p>
      <w:pPr>
        <w:spacing w:after="0" w:line="2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b w:val="1"/>
          <w:bCs w:val="1"/>
          <w:color w:val="auto"/>
        </w:rPr>
        <w:t>Partial Extension.</w:t>
      </w:r>
    </w:p>
    <w:p>
      <w:pPr>
        <w:spacing w:after="0" w:line="247"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5.6.1</w:t>
        <w:tab/>
        <w:t xml:space="preserve">Notwithstanding any contrary provision of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Tenant may exclude any portion of the Premises from</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Tenant’s exercise of the Extension Option (an “</w:t>
      </w:r>
      <w:r>
        <w:rPr>
          <w:rFonts w:ascii="Times New Roman" w:cs="Times New Roman" w:eastAsia="Times New Roman" w:hAnsi="Times New Roman"/>
          <w:sz w:val="20"/>
          <w:szCs w:val="20"/>
          <w:b w:val="1"/>
          <w:bCs w:val="1"/>
          <w:color w:val="auto"/>
        </w:rPr>
        <w:t>Exclusion</w:t>
      </w:r>
      <w:r>
        <w:rPr>
          <w:rFonts w:ascii="Times New Roman" w:cs="Times New Roman" w:eastAsia="Times New Roman" w:hAnsi="Times New Roman"/>
          <w:sz w:val="20"/>
          <w:szCs w:val="20"/>
          <w:color w:val="auto"/>
        </w:rPr>
        <w:t>”), but only if:</w:t>
      </w:r>
    </w:p>
    <w:p>
      <w:pPr>
        <w:spacing w:after="0" w:line="194" w:lineRule="exact"/>
        <w:rPr>
          <w:sz w:val="20"/>
          <w:szCs w:val="20"/>
          <w:color w:val="auto"/>
        </w:rPr>
      </w:pPr>
    </w:p>
    <w:p>
      <w:pPr>
        <w:jc w:val="both"/>
        <w:ind w:left="1940" w:hanging="752"/>
        <w:spacing w:after="0" w:line="295" w:lineRule="auto"/>
        <w:tabs>
          <w:tab w:leader="none" w:pos="19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Exension Notice describes such Exclusion, including by reasonably describing, by reference to size, location and outline, the portion of the Premises that Tenant proposes to so exclude (the “</w:t>
      </w:r>
      <w:r>
        <w:rPr>
          <w:rFonts w:ascii="Times New Roman" w:cs="Times New Roman" w:eastAsia="Times New Roman" w:hAnsi="Times New Roman"/>
          <w:sz w:val="19"/>
          <w:szCs w:val="19"/>
          <w:b w:val="1"/>
          <w:bCs w:val="1"/>
          <w:color w:val="auto"/>
        </w:rPr>
        <w:t>Excluded Space</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940" w:right="20" w:hanging="807"/>
        <w:spacing w:after="0" w:line="269" w:lineRule="auto"/>
        <w:tabs>
          <w:tab w:leader="none" w:pos="19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balance of the Premises either (i) contains Suite 500, or (ii) otherwise contains at least 11,673 rentable square feet (as determined in accordance with the BOMA Standard); and</w:t>
      </w:r>
    </w:p>
    <w:p>
      <w:pPr>
        <w:spacing w:after="0" w:line="159" w:lineRule="exact"/>
        <w:rPr>
          <w:rFonts w:ascii="Times New Roman" w:cs="Times New Roman" w:eastAsia="Times New Roman" w:hAnsi="Times New Roman"/>
          <w:sz w:val="20"/>
          <w:szCs w:val="20"/>
          <w:color w:val="auto"/>
        </w:rPr>
      </w:pPr>
    </w:p>
    <w:p>
      <w:pPr>
        <w:jc w:val="both"/>
        <w:ind w:left="1940" w:hanging="862"/>
        <w:spacing w:after="0" w:line="249" w:lineRule="auto"/>
        <w:tabs>
          <w:tab w:leader="none" w:pos="19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Excluded Space, in Landlord’s good faith judgment, can be separated from the balance of the Premises by means of reasonable alterations without causing any portion of the Excluded Space or the balance of the Premises to (i) lack reasonable access to multi-tenant corridors or the elevator lobby, (ii) violate any Laws, or (iii) be unmarketable in any other material respect.</w:t>
      </w:r>
    </w:p>
    <w:p>
      <w:pPr>
        <w:spacing w:after="0" w:line="207"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5.6.2</w:t>
        <w:tab/>
        <w:t xml:space="preserve">If Tenant validly exercises the Extension Option and an Exclusion occurs in accordance with </w:t>
      </w:r>
      <w:r>
        <w:rPr>
          <w:rFonts w:ascii="Times New Roman" w:cs="Times New Roman" w:eastAsia="Times New Roman" w:hAnsi="Times New Roman"/>
          <w:sz w:val="20"/>
          <w:szCs w:val="20"/>
          <w:u w:val="single" w:color="auto"/>
          <w:color w:val="auto"/>
        </w:rPr>
        <w:t>Section 5.6.1</w:t>
      </w:r>
      <w:r>
        <w:rPr>
          <w:rFonts w:ascii="Times New Roman" w:cs="Times New Roman" w:eastAsia="Times New Roman" w:hAnsi="Times New Roman"/>
          <w:sz w:val="20"/>
          <w:szCs w:val="20"/>
          <w:color w:val="auto"/>
        </w:rPr>
        <w:t xml:space="preserve"> above, then:</w:t>
      </w:r>
    </w:p>
    <w:p>
      <w:pPr>
        <w:spacing w:after="0" w:line="159" w:lineRule="exact"/>
        <w:rPr>
          <w:sz w:val="20"/>
          <w:szCs w:val="20"/>
          <w:color w:val="auto"/>
        </w:rPr>
      </w:pPr>
    </w:p>
    <w:p>
      <w:pPr>
        <w:ind w:left="1940" w:hanging="752"/>
        <w:spacing w:after="0" w:line="269" w:lineRule="auto"/>
        <w:tabs>
          <w:tab w:leader="none" w:pos="19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the provisions of </w:t>
      </w:r>
      <w:r>
        <w:rPr>
          <w:rFonts w:ascii="Times New Roman" w:cs="Times New Roman" w:eastAsia="Times New Roman" w:hAnsi="Times New Roman"/>
          <w:sz w:val="20"/>
          <w:szCs w:val="20"/>
          <w:u w:val="single" w:color="auto"/>
          <w:color w:val="auto"/>
        </w:rPr>
        <w:t>Sections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5.5</w:t>
      </w:r>
      <w:r>
        <w:rPr>
          <w:rFonts w:ascii="Times New Roman" w:cs="Times New Roman" w:eastAsia="Times New Roman" w:hAnsi="Times New Roman"/>
          <w:sz w:val="20"/>
          <w:szCs w:val="20"/>
          <w:color w:val="auto"/>
        </w:rPr>
        <w:t xml:space="preserve"> above shall not apply to the Excluded Space;</w:t>
      </w:r>
    </w:p>
    <w:p>
      <w:pPr>
        <w:sectPr>
          <w:pgSz w:w="11900" w:h="16838" w:orient="portrait"/>
          <w:cols w:equalWidth="0" w:num="1">
            <w:col w:w="10580"/>
          </w:cols>
          <w:pgMar w:left="98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Exhibit F - 5</w:t>
      </w:r>
    </w:p>
    <w:p>
      <w:pPr>
        <w:sectPr>
          <w:pgSz w:w="11900" w:h="16838" w:orient="portrait"/>
          <w:cols w:equalWidth="0" w:num="1">
            <w:col w:w="10580"/>
          </w:cols>
          <w:pgMar w:left="980" w:top="1413" w:right="339" w:bottom="1440" w:gutter="0" w:footer="0" w:header="0"/>
          <w:type w:val="continuous"/>
        </w:sectPr>
      </w:pPr>
    </w:p>
    <w:bookmarkStart w:id="155" w:name="page156"/>
    <w:bookmarkEnd w:id="155"/>
    <w:p>
      <w:pPr>
        <w:spacing w:after="0" w:line="189" w:lineRule="exact"/>
        <w:rPr>
          <w:sz w:val="20"/>
          <w:szCs w:val="20"/>
          <w:color w:val="auto"/>
        </w:rPr>
      </w:pPr>
    </w:p>
    <w:p>
      <w:pPr>
        <w:ind w:left="2592" w:hanging="807"/>
        <w:spacing w:after="0" w:line="269" w:lineRule="auto"/>
        <w:tabs>
          <w:tab w:leader="none" w:pos="2592" w:val="left"/>
        </w:tabs>
        <w:numPr>
          <w:ilvl w:val="4"/>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Term shall expire in accordance with the terms of the Lease, with respect to the Excluded Space only, on the Expiration Date as if Tenant had not exercised the Extension Option;</w:t>
      </w:r>
    </w:p>
    <w:p>
      <w:pPr>
        <w:spacing w:after="0" w:line="159" w:lineRule="exact"/>
        <w:rPr>
          <w:rFonts w:ascii="Times New Roman" w:cs="Times New Roman" w:eastAsia="Times New Roman" w:hAnsi="Times New Roman"/>
          <w:sz w:val="20"/>
          <w:szCs w:val="20"/>
          <w:color w:val="auto"/>
        </w:rPr>
      </w:pPr>
    </w:p>
    <w:p>
      <w:pPr>
        <w:jc w:val="both"/>
        <w:ind w:left="2592" w:hanging="862"/>
        <w:spacing w:after="0" w:line="244" w:lineRule="auto"/>
        <w:tabs>
          <w:tab w:leader="none" w:pos="2592" w:val="left"/>
        </w:tabs>
        <w:numPr>
          <w:ilvl w:val="4"/>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Tenant delivers the Extension Notice to Landlord, (i) any unexercised right or option of Tenant to expand the Premises (whether in the form of an expansion option, right of first offer or refusal, or any other similar right), and any outstanding tenant improvement allowance or other allowance that relates to the Excluded Space and has not been claimed and properly used by Tenant in accordance with this Lease as of such date, shall immediately be deemed terminated and no longer available or of any further force or effect, and (ii) Tenant shall not sublease all or any portion of the Excluded Space for any period following the Expiration Date;</w:t>
      </w:r>
    </w:p>
    <w:p>
      <w:pPr>
        <w:spacing w:after="0" w:line="185" w:lineRule="exact"/>
        <w:rPr>
          <w:rFonts w:ascii="Times New Roman" w:cs="Times New Roman" w:eastAsia="Times New Roman" w:hAnsi="Times New Roman"/>
          <w:sz w:val="20"/>
          <w:szCs w:val="20"/>
          <w:color w:val="auto"/>
        </w:rPr>
      </w:pPr>
    </w:p>
    <w:p>
      <w:pPr>
        <w:jc w:val="both"/>
        <w:ind w:left="2592" w:hanging="851"/>
        <w:spacing w:after="0" w:line="243" w:lineRule="auto"/>
        <w:tabs>
          <w:tab w:leader="none" w:pos="2579" w:val="left"/>
        </w:tabs>
        <w:numPr>
          <w:ilvl w:val="3"/>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Landlord, using Building-standard materials and finishes, performs any alterations to the Premises or the Building (including, without limitation, the installation of any new utility meters, demising walls, multi-tenant corridors or entry doors) that, in Landlord’s good faith judgment, are necessary to separate the Excluded Space Space from the balance of the Premises or to prevent such separation or the Exclusion from causing any portion of the Excluded Space or the Premises to (i) lack reasonable access to multi-tenant corridors or the elevator lobby, (ii) violate any Law, or (ii) be unmarketable in any other respect, then Tenant shall reimburse Landlord for the entire cost thereof (plus a construction management fee in the amount of 3% of such cost) within 10 days after receiving written demand; and</w:t>
      </w:r>
    </w:p>
    <w:p>
      <w:pPr>
        <w:spacing w:after="0" w:line="189" w:lineRule="exact"/>
        <w:rPr>
          <w:rFonts w:ascii="Times New Roman" w:cs="Times New Roman" w:eastAsia="Times New Roman" w:hAnsi="Times New Roman"/>
          <w:sz w:val="20"/>
          <w:szCs w:val="20"/>
          <w:color w:val="auto"/>
        </w:rPr>
      </w:pPr>
    </w:p>
    <w:p>
      <w:pPr>
        <w:jc w:val="both"/>
        <w:ind w:left="2592" w:hanging="797"/>
        <w:spacing w:after="0" w:line="254" w:lineRule="auto"/>
        <w:tabs>
          <w:tab w:leader="none" w:pos="2579" w:val="left"/>
        </w:tabs>
        <w:numPr>
          <w:ilvl w:val="3"/>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Extension Amendment shall reflect changes in the rentable square footage, Base Rent, Tenant’s Share and other appropriate terms resulting from the Exclusion (provided, however, that in no event shall the Letter of Credit Amount be modified as a result of the Exclusion).</w:t>
      </w:r>
    </w:p>
    <w:p>
      <w:pPr>
        <w:spacing w:after="0" w:line="197"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OF FIRST OFFER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9"/>
          <w:szCs w:val="19"/>
          <w:b w:val="1"/>
          <w:bCs w:val="1"/>
          <w:color w:val="auto"/>
        </w:rPr>
        <w:t>Grant of Option; Conditions</w:t>
      </w:r>
      <w:r>
        <w:rPr>
          <w:rFonts w:ascii="Times New Roman" w:cs="Times New Roman" w:eastAsia="Times New Roman" w:hAnsi="Times New Roman"/>
          <w:sz w:val="19"/>
          <w:szCs w:val="19"/>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1952" w:hanging="760"/>
        <w:spacing w:after="0" w:line="238" w:lineRule="auto"/>
        <w:tabs>
          <w:tab w:leader="none" w:pos="1952"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Tenant shall have a right of first offer (“</w:t>
      </w:r>
      <w:r>
        <w:rPr>
          <w:rFonts w:ascii="Times New Roman" w:cs="Times New Roman" w:eastAsia="Times New Roman" w:hAnsi="Times New Roman"/>
          <w:sz w:val="20"/>
          <w:szCs w:val="20"/>
          <w:b w:val="1"/>
          <w:bCs w:val="1"/>
          <w:color w:val="auto"/>
        </w:rPr>
        <w:t>Right of First Offer</w:t>
      </w:r>
      <w:r>
        <w:rPr>
          <w:rFonts w:ascii="Times New Roman" w:cs="Times New Roman" w:eastAsia="Times New Roman" w:hAnsi="Times New Roman"/>
          <w:sz w:val="20"/>
          <w:szCs w:val="20"/>
          <w:color w:val="auto"/>
        </w:rPr>
        <w:t>”) with respect to each portion of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and sixth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floors of the Building that is not leased by Tenant (each, a “</w:t>
      </w:r>
      <w:r>
        <w:rPr>
          <w:rFonts w:ascii="Times New Roman" w:cs="Times New Roman" w:eastAsia="Times New Roman" w:hAnsi="Times New Roman"/>
          <w:sz w:val="20"/>
          <w:szCs w:val="20"/>
          <w:b w:val="1"/>
          <w:bCs w:val="1"/>
          <w:color w:val="auto"/>
        </w:rPr>
        <w:t>Potential Offering Space</w:t>
      </w:r>
      <w:r>
        <w:rPr>
          <w:rFonts w:ascii="Times New Roman" w:cs="Times New Roman" w:eastAsia="Times New Roman" w:hAnsi="Times New Roman"/>
          <w:sz w:val="20"/>
          <w:szCs w:val="20"/>
          <w:color w:val="auto"/>
        </w:rPr>
        <w:t xml:space="preserve">”). Tenant’s Right of First Offer shall be exercised as follows: At any time after Landlord has determined that a Potential Offering Space has become Available (defined below), but before leasing such Potential Offering Space to a third party, Landlord, subject to the terms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provide Tenant with a written notice (for purposes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b w:val="1"/>
          <w:bCs w:val="1"/>
          <w:color w:val="auto"/>
        </w:rPr>
        <w:t>Advice</w:t>
      </w:r>
      <w:r>
        <w:rPr>
          <w:rFonts w:ascii="Times New Roman" w:cs="Times New Roman" w:eastAsia="Times New Roman" w:hAnsi="Times New Roman"/>
          <w:sz w:val="20"/>
          <w:szCs w:val="20"/>
          <w:color w:val="auto"/>
        </w:rPr>
        <w:t>”) advising Tenant of the material terms on which Landlord is prepared to lease such Potential Offering Space (sometimes referred to herein as an “</w:t>
      </w:r>
      <w:r>
        <w:rPr>
          <w:rFonts w:ascii="Times New Roman" w:cs="Times New Roman" w:eastAsia="Times New Roman" w:hAnsi="Times New Roman"/>
          <w:sz w:val="20"/>
          <w:szCs w:val="20"/>
          <w:b w:val="1"/>
          <w:bCs w:val="1"/>
          <w:color w:val="auto"/>
        </w:rPr>
        <w:t>Offering Space</w:t>
      </w:r>
      <w:r>
        <w:rPr>
          <w:rFonts w:ascii="Times New Roman" w:cs="Times New Roman" w:eastAsia="Times New Roman" w:hAnsi="Times New Roman"/>
          <w:sz w:val="20"/>
          <w:szCs w:val="20"/>
          <w:color w:val="auto"/>
        </w:rPr>
        <w:t xml:space="preserve">”) to Tenant, which terms shall be consistent with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below. For purposes hereof, a Potential Offering Space shall be deemed to become “</w:t>
      </w:r>
      <w:r>
        <w:rPr>
          <w:rFonts w:ascii="Times New Roman" w:cs="Times New Roman" w:eastAsia="Times New Roman" w:hAnsi="Times New Roman"/>
          <w:sz w:val="20"/>
          <w:szCs w:val="20"/>
          <w:b w:val="1"/>
          <w:bCs w:val="1"/>
          <w:color w:val="auto"/>
        </w:rPr>
        <w:t>Available</w:t>
      </w:r>
      <w:r>
        <w:rPr>
          <w:rFonts w:ascii="Times New Roman" w:cs="Times New Roman" w:eastAsia="Times New Roman" w:hAnsi="Times New Roman"/>
          <w:sz w:val="20"/>
          <w:szCs w:val="20"/>
          <w:color w:val="auto"/>
        </w:rPr>
        <w:t xml:space="preserve">” as follows: (i) if such Potential Offering Space is not leased to a third party as of the date of mutual execution and delivery of this Lease, such Potential Offering Space shall be deemed to become Available when Landlord has located a prospective tenant that may be interested in leasing such Potential Offering Space; and (ii) if such Potential Offering Space is leased to a third party tenant as of the date of mutual execution and delivery of this Lease, such Potential Offering Space shall be deemed to become Available when Landlord has determined that such third-party tenant, and any occupant of such Potential Offering Space claiming under such third-party tenant, will not extend or renew the term of its lease, or enter into a new lease, for such Potential Offering Space. Upon receiving an Advice, Tenant may lease the Offering Space, in its entirety only, on the terms set forth in the Advice, by delivering to Landlord a written notice (for purposes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within five (5) business days after receiving the Advice.</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color w:val="auto"/>
        </w:rPr>
        <w:t>Exhibit F - 6</w:t>
      </w:r>
    </w:p>
    <w:p>
      <w:pPr>
        <w:sectPr>
          <w:pgSz w:w="11900" w:h="16838" w:orient="portrait"/>
          <w:cols w:equalWidth="0" w:num="1">
            <w:col w:w="11232"/>
          </w:cols>
          <w:pgMar w:left="328" w:top="1440" w:right="339" w:bottom="1440" w:gutter="0" w:footer="0" w:header="0"/>
          <w:type w:val="continuous"/>
        </w:sectPr>
      </w:pPr>
    </w:p>
    <w:bookmarkStart w:id="156" w:name="page157"/>
    <w:bookmarkEnd w:id="156"/>
    <w:p>
      <w:pPr>
        <w:jc w:val="both"/>
        <w:ind w:left="1304" w:hanging="815"/>
        <w:spacing w:after="0" w:line="241" w:lineRule="auto"/>
        <w:tabs>
          <w:tab w:leader="none" w:pos="130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Tenant receives an Advice but does not deliver a Notice of Exercise within the period of time required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above, Landlord may lease the Offering Space to any party on the terms set forth in the Advice or on any other terms that are not substantially more favorable to the tenant than those set forth in the Advice; provided, however, that if Landlord, without first leasing the Offering Space as permitted under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below, proposes to lease the Offering Space to a prospective tenant on material terms that are substantially more favorable to the tenant than those set forth in the Advice, then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above shall apply again as if Landlord had not provided the Advice to Tenant. For purposes hereof, the material terms offered to another party (the “</w:t>
      </w:r>
      <w:r>
        <w:rPr>
          <w:rFonts w:ascii="Times New Roman" w:cs="Times New Roman" w:eastAsia="Times New Roman" w:hAnsi="Times New Roman"/>
          <w:sz w:val="20"/>
          <w:szCs w:val="20"/>
          <w:b w:val="1"/>
          <w:bCs w:val="1"/>
          <w:color w:val="auto"/>
        </w:rPr>
        <w:t>Proposed Terms</w:t>
      </w:r>
      <w:r>
        <w:rPr>
          <w:rFonts w:ascii="Times New Roman" w:cs="Times New Roman" w:eastAsia="Times New Roman" w:hAnsi="Times New Roman"/>
          <w:sz w:val="20"/>
          <w:szCs w:val="20"/>
          <w:color w:val="auto"/>
        </w:rPr>
        <w:t>”) shall not be deemed to be substantially more favorable than those set forth in an Advice unless the annualized net present value of the rent for the Offering Space as provided under the Proposed Terms is less than 92.5% of the annualized net present value of the rent for the Offering Space as provided under the Advice, as determined in good faith by Landlord using a discount rate selected in good faith by Landlord and taking into account all proposed material terms relating to the Offering Space, including the length of the term, the net rent, any base year, any tax or expense escalation or other financial escalation, and any allowances or other financial concessions, but excluding any right to extend the term or any right to expand the leased premises (whether in the form of an expansion option, a right of first offer or refusal, or any similar right).</w:t>
      </w:r>
    </w:p>
    <w:p>
      <w:pPr>
        <w:spacing w:after="0" w:line="194" w:lineRule="exact"/>
        <w:rPr>
          <w:sz w:val="20"/>
          <w:szCs w:val="20"/>
          <w:color w:val="auto"/>
        </w:rPr>
      </w:pPr>
    </w:p>
    <w:p>
      <w:pPr>
        <w:jc w:val="both"/>
        <w:ind w:left="1244" w:hanging="647"/>
        <w:spacing w:after="0" w:line="249" w:lineRule="auto"/>
        <w:tabs>
          <w:tab w:leader="none" w:pos="1224" w:val="left"/>
        </w:tabs>
        <w:rPr>
          <w:sz w:val="20"/>
          <w:szCs w:val="20"/>
          <w:color w:val="auto"/>
        </w:rPr>
      </w:pPr>
      <w:r>
        <w:rPr>
          <w:rFonts w:ascii="Times New Roman" w:cs="Times New Roman" w:eastAsia="Times New Roman" w:hAnsi="Times New Roman"/>
          <w:sz w:val="20"/>
          <w:szCs w:val="20"/>
          <w:color w:val="auto"/>
        </w:rPr>
        <w:t>6.1.3</w:t>
        <w:tab/>
        <w:t>Notwithstanding any contrary provision hereof, (i) Landlord shall not be required to provide Tenant with an Advice if any of the following conditions exists when Landlord would otherwise deliver the Advice; and (ii) if Tenant receives an Advice from Landlord, Tenant shall not be entitled to lease the Offering Space based on such Advice if any of the following conditions exists:</w:t>
      </w:r>
    </w:p>
    <w:p>
      <w:pPr>
        <w:spacing w:after="0" w:line="180" w:lineRule="exact"/>
        <w:rPr>
          <w:sz w:val="20"/>
          <w:szCs w:val="20"/>
          <w:color w:val="auto"/>
        </w:rPr>
      </w:pPr>
    </w:p>
    <w:p>
      <w:pPr>
        <w:ind w:left="1924" w:hanging="628"/>
        <w:spacing w:after="0"/>
        <w:tabs>
          <w:tab w:leader="none" w:pos="192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Default exists;</w:t>
      </w:r>
    </w:p>
    <w:p>
      <w:pPr>
        <w:spacing w:after="0" w:line="215"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33% of the Premises is sublet (other than pursuant to a Permitted Transfer);</w:t>
      </w:r>
    </w:p>
    <w:p>
      <w:pPr>
        <w:spacing w:after="0" w:line="215" w:lineRule="exact"/>
        <w:rPr>
          <w:rFonts w:ascii="Times New Roman" w:cs="Times New Roman" w:eastAsia="Times New Roman" w:hAnsi="Times New Roman"/>
          <w:sz w:val="20"/>
          <w:szCs w:val="20"/>
          <w:color w:val="auto"/>
        </w:rPr>
      </w:pPr>
    </w:p>
    <w:p>
      <w:pPr>
        <w:ind w:left="1964" w:hanging="668"/>
        <w:spacing w:after="0"/>
        <w:tabs>
          <w:tab w:leader="none" w:pos="196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has been assigned (other than pursuant to a Permitted Transfer);</w:t>
      </w:r>
    </w:p>
    <w:p>
      <w:pPr>
        <w:spacing w:after="0" w:line="215"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is not occupying the Premises; or</w:t>
      </w:r>
    </w:p>
    <w:p>
      <w:pPr>
        <w:spacing w:after="0" w:line="215" w:lineRule="exact"/>
        <w:rPr>
          <w:rFonts w:ascii="Times New Roman" w:cs="Times New Roman" w:eastAsia="Times New Roman" w:hAnsi="Times New Roman"/>
          <w:sz w:val="20"/>
          <w:szCs w:val="20"/>
          <w:color w:val="auto"/>
        </w:rPr>
      </w:pPr>
    </w:p>
    <w:p>
      <w:pPr>
        <w:ind w:left="1944" w:hanging="648"/>
        <w:spacing w:after="0" w:line="269" w:lineRule="auto"/>
        <w:tabs>
          <w:tab w:leader="none" w:pos="193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Exclusion (defined in </w:t>
      </w:r>
      <w:r>
        <w:rPr>
          <w:rFonts w:ascii="Times New Roman" w:cs="Times New Roman" w:eastAsia="Times New Roman" w:hAnsi="Times New Roman"/>
          <w:sz w:val="20"/>
          <w:szCs w:val="20"/>
          <w:u w:val="single" w:color="auto"/>
          <w:color w:val="auto"/>
        </w:rPr>
        <w:t>Section 5.6.1</w:t>
      </w:r>
      <w:r>
        <w:rPr>
          <w:rFonts w:ascii="Times New Roman" w:cs="Times New Roman" w:eastAsia="Times New Roman" w:hAnsi="Times New Roman"/>
          <w:sz w:val="20"/>
          <w:szCs w:val="20"/>
          <w:color w:val="auto"/>
        </w:rPr>
        <w:t xml:space="preserve"> above) or an Acceleration (defined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below) has occurred.</w:t>
      </w:r>
    </w:p>
    <w:p>
      <w:pPr>
        <w:spacing w:after="0" w:line="159" w:lineRule="exact"/>
        <w:rPr>
          <w:sz w:val="20"/>
          <w:szCs w:val="20"/>
          <w:color w:val="auto"/>
        </w:rPr>
      </w:pPr>
    </w:p>
    <w:p>
      <w:pPr>
        <w:jc w:val="both"/>
        <w:ind w:left="1304"/>
        <w:spacing w:after="0" w:line="254" w:lineRule="auto"/>
        <w:rPr>
          <w:sz w:val="20"/>
          <w:szCs w:val="20"/>
          <w:color w:val="auto"/>
        </w:rPr>
      </w:pPr>
      <w:r>
        <w:rPr>
          <w:rFonts w:ascii="Times New Roman" w:cs="Times New Roman" w:eastAsia="Times New Roman" w:hAnsi="Times New Roman"/>
          <w:sz w:val="20"/>
          <w:szCs w:val="20"/>
          <w:color w:val="auto"/>
        </w:rPr>
        <w:t>If, by operation of the preceding sentence, Landlord is not required to provide Tenant with an Advice, or Tenant, after receiving an Advice, is not entitled to lease the Offering Space based on such Advice, then Landlord may lease the Offering Space to any party on any terms determined by Landlord in its sole and absolute discretion.</w:t>
      </w:r>
    </w:p>
    <w:p>
      <w:pPr>
        <w:spacing w:after="0" w:line="170" w:lineRule="exact"/>
        <w:rPr>
          <w:sz w:val="20"/>
          <w:szCs w:val="20"/>
          <w:color w:val="auto"/>
        </w:rPr>
      </w:pPr>
    </w:p>
    <w:p>
      <w:pPr>
        <w:ind w:left="644" w:hanging="644"/>
        <w:spacing w:after="0"/>
        <w:tabs>
          <w:tab w:leader="none" w:pos="6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for Offering Space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304" w:hanging="760"/>
        <w:spacing w:after="0" w:line="245" w:lineRule="auto"/>
        <w:tabs>
          <w:tab w:leader="none" w:pos="130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for the Offering Space shall be the greater of (i) coterminous with the term for the balance of the Premises, or (ii) 24 full calendar months, together with any partial calendar month occurring at the beginning of such term. If the term for the Offering Space is not coterminous with the term for the balance of the Premises, then (a)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above shall apply independently to the balance of the Premises and to the Offering Space, and (b) notwithstanding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of this Lease, and for purposes of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above as it applies to the Offering Space, the term “Expiration Date” shall mean the last day of the term for the Offering Space.</w:t>
      </w:r>
    </w:p>
    <w:p>
      <w:pPr>
        <w:spacing w:after="0" w:line="184" w:lineRule="exact"/>
        <w:rPr>
          <w:rFonts w:ascii="Times New Roman" w:cs="Times New Roman" w:eastAsia="Times New Roman" w:hAnsi="Times New Roman"/>
          <w:sz w:val="20"/>
          <w:szCs w:val="20"/>
          <w:color w:val="auto"/>
        </w:rPr>
      </w:pPr>
    </w:p>
    <w:p>
      <w:pPr>
        <w:jc w:val="both"/>
        <w:ind w:left="1304" w:hanging="815"/>
        <w:spacing w:after="0" w:line="249" w:lineRule="auto"/>
        <w:tabs>
          <w:tab w:leader="none" w:pos="130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for the Offering Space shall commence on the commencement date stated in the Advice and thereupon the Offering Space shall be considered a part of the Premises subject to the provisions of this Lease; provided, however, that the provisions of the Advice (including the provision of the Advice establishing the expiration date for the Offering Space) shall prevail to the extent they conflict with the provisions of this Lease.</w:t>
      </w:r>
    </w:p>
    <w:p>
      <w:pPr>
        <w:sectPr>
          <w:pgSz w:w="11900" w:h="16838" w:orient="portrait"/>
          <w:cols w:equalWidth="0" w:num="1">
            <w:col w:w="10584"/>
          </w:cols>
          <w:pgMar w:left="976"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21"/>
          <w:szCs w:val="21"/>
          <w:color w:val="auto"/>
        </w:rPr>
        <w:t>Exhibit F - 7</w:t>
      </w:r>
    </w:p>
    <w:p>
      <w:pPr>
        <w:sectPr>
          <w:pgSz w:w="11900" w:h="16838" w:orient="portrait"/>
          <w:cols w:equalWidth="0" w:num="1">
            <w:col w:w="10584"/>
          </w:cols>
          <w:pgMar w:left="976" w:top="1413" w:right="339" w:bottom="1440" w:gutter="0" w:footer="0" w:header="0"/>
          <w:type w:val="continuous"/>
        </w:sectPr>
      </w:pPr>
    </w:p>
    <w:bookmarkStart w:id="157" w:name="page158"/>
    <w:bookmarkEnd w:id="157"/>
    <w:p>
      <w:pPr>
        <w:jc w:val="both"/>
        <w:ind w:left="1952" w:hanging="870"/>
        <w:spacing w:after="0" w:line="254" w:lineRule="auto"/>
        <w:tabs>
          <w:tab w:leader="none" w:pos="195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pay Monthly Rent and Additional Rent for the Offering Space in accordance with the provisions of the Advice, which shall reflect the Prevailing Market (defined in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below) rate for the Offering Space as determined in Landlord’s reasonable judgment.</w:t>
      </w:r>
    </w:p>
    <w:p>
      <w:pPr>
        <w:spacing w:after="0" w:line="174" w:lineRule="exact"/>
        <w:rPr>
          <w:sz w:val="20"/>
          <w:szCs w:val="20"/>
          <w:color w:val="auto"/>
        </w:rPr>
      </w:pPr>
    </w:p>
    <w:p>
      <w:pPr>
        <w:jc w:val="both"/>
        <w:ind w:left="1952" w:hanging="859"/>
        <w:spacing w:after="0" w:line="244" w:lineRule="auto"/>
        <w:tabs>
          <w:tab w:leader="none" w:pos="1939"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be otherwise provided in the Advice, (i) the Offering Space shall be accepted by Tenant in its configuration and condition existing when Landlord tenders possession of the Offering Space to Tenant, without any obligation on the part of Landlord to perform or pay for any alterations or improvements thereto; and (ii) if Landlord is delayed in delivering possession of the Offering Space by any holdover or unlawful possession of the Offering Space by any party, Landlord shall use reasonable efforts to obtain possession of the Offering Space and any obligation of Landlord to tender possession of, permit entry to, or perform alterations to the Offering Space shall be deferred until after Landlord has obtained possession of the Offering Space.</w:t>
      </w:r>
    </w:p>
    <w:p>
      <w:pPr>
        <w:spacing w:after="0" w:line="181"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 of First Offer; Ongoing Right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952" w:hanging="760"/>
        <w:spacing w:after="0" w:line="249" w:lineRule="auto"/>
        <w:tabs>
          <w:tab w:leader="none" w:pos="1952"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contrary provision hereof, Landlord shall not be required to provide Tenant with an Advice, and Tenant shall not be entitled to exercise its Right of First Offer, after the date occurring nine (9) months before the scheduled expiration date of this Lease (as determined taking into account any valid exercise by Tenant of its Extension Option)</w:t>
      </w:r>
      <w:r>
        <w:rPr>
          <w:rFonts w:ascii="Times New Roman" w:cs="Times New Roman" w:eastAsia="Times New Roman" w:hAnsi="Times New Roman"/>
          <w:sz w:val="20"/>
          <w:szCs w:val="20"/>
          <w:i w:val="1"/>
          <w:iCs w:val="1"/>
          <w:color w:val="auto"/>
        </w:rPr>
        <w:t>.</w:t>
      </w:r>
    </w:p>
    <w:p>
      <w:pPr>
        <w:spacing w:after="0" w:line="179" w:lineRule="exact"/>
        <w:rPr>
          <w:rFonts w:ascii="Times New Roman" w:cs="Times New Roman" w:eastAsia="Times New Roman" w:hAnsi="Times New Roman"/>
          <w:sz w:val="20"/>
          <w:szCs w:val="20"/>
          <w:color w:val="auto"/>
        </w:rPr>
      </w:pPr>
    </w:p>
    <w:p>
      <w:pPr>
        <w:jc w:val="both"/>
        <w:ind w:left="1952" w:hanging="815"/>
        <w:spacing w:after="0" w:line="254" w:lineRule="auto"/>
        <w:tabs>
          <w:tab w:leader="none" w:pos="1952"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Landlord leases a Potential Offering Space to a third party as permitted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above and subsequently determines that such Potential Offering Space has again become Available, then the provisions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apply again to such Potential Offering Space.</w:t>
      </w:r>
    </w:p>
    <w:p>
      <w:pPr>
        <w:spacing w:after="0" w:line="170" w:lineRule="exact"/>
        <w:rPr>
          <w:sz w:val="20"/>
          <w:szCs w:val="20"/>
          <w:color w:val="auto"/>
        </w:rPr>
      </w:pPr>
    </w:p>
    <w:p>
      <w:pPr>
        <w:jc w:val="both"/>
        <w:ind w:left="1292" w:hanging="644"/>
        <w:spacing w:after="0" w:line="245" w:lineRule="auto"/>
        <w:tabs>
          <w:tab w:leader="none" w:pos="128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Offering Amendment</w:t>
      </w:r>
      <w:r>
        <w:rPr>
          <w:rFonts w:ascii="Times New Roman" w:cs="Times New Roman" w:eastAsia="Times New Roman" w:hAnsi="Times New Roman"/>
          <w:sz w:val="20"/>
          <w:szCs w:val="20"/>
          <w:color w:val="auto"/>
        </w:rPr>
        <w:t>. If Tenant validly exercises its Right of First Offer, Landlord, within a reasonable period of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thereafter, shall prepare and deliver to Tenant an amendment (the “</w:t>
      </w:r>
      <w:r>
        <w:rPr>
          <w:rFonts w:ascii="Times New Roman" w:cs="Times New Roman" w:eastAsia="Times New Roman" w:hAnsi="Times New Roman"/>
          <w:sz w:val="20"/>
          <w:szCs w:val="20"/>
          <w:b w:val="1"/>
          <w:bCs w:val="1"/>
          <w:color w:val="auto"/>
        </w:rPr>
        <w:t>Offering Amendment</w:t>
      </w:r>
      <w:r>
        <w:rPr>
          <w:rFonts w:ascii="Times New Roman" w:cs="Times New Roman" w:eastAsia="Times New Roman" w:hAnsi="Times New Roman"/>
          <w:sz w:val="20"/>
          <w:szCs w:val="20"/>
          <w:color w:val="auto"/>
        </w:rPr>
        <w:t xml:space="preserve">”) adding the Offering Space to the Premises on the terms set forth in the Advice and reflecting the changes in the Base Rent, the rentable square footage of the Premises, Tenant’s Share, and other appropriate terms in accordance with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Tenant shall execute and return (or provide Landlord with reasonable written objections to) the Offering Amendment within 15 days after receiving it, but an otherwise valid exercise of the Right of First Offer shall be fully effective whether or not the Offering Amendment is executed.</w:t>
      </w:r>
    </w:p>
    <w:p>
      <w:pPr>
        <w:spacing w:after="0" w:line="179" w:lineRule="exact"/>
        <w:rPr>
          <w:rFonts w:ascii="Times New Roman" w:cs="Times New Roman" w:eastAsia="Times New Roman" w:hAnsi="Times New Roman"/>
          <w:sz w:val="20"/>
          <w:szCs w:val="20"/>
          <w:color w:val="auto"/>
        </w:rPr>
      </w:pPr>
    </w:p>
    <w:p>
      <w:pPr>
        <w:jc w:val="both"/>
        <w:ind w:left="1292" w:hanging="644"/>
        <w:spacing w:after="0" w:line="260" w:lineRule="auto"/>
        <w:tabs>
          <w:tab w:leader="none" w:pos="1292"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Definition of Prevailing Market</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Prevailing Market</w:t>
      </w:r>
      <w:r>
        <w:rPr>
          <w:rFonts w:ascii="Times New Roman" w:cs="Times New Roman" w:eastAsia="Times New Roman" w:hAnsi="Times New Roman"/>
          <w:sz w:val="19"/>
          <w:szCs w:val="19"/>
          <w:color w:val="auto"/>
        </w:rPr>
        <w:t>” means the arms-length, fair-market,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annual rental rate per rentable square foot, under renewal and expansion leases and amendments entered into on or about the date on which the Prevailing Market is being determined hereunder, for space comparable to the Offering Space in the Project. The determination of Prevailing Market shall take into account (i) any material economic differences between the terms of this Lease and any comparison lease or amendment, such as rent abatements, construction costs and other concessions, and the manner, if any, in which the landlord under any such lease is reimbursed for operating expenses and taxes; and (ii) any material differences in configuration or condition between the Offering Space and any comparison space.</w:t>
      </w:r>
    </w:p>
    <w:p>
      <w:pPr>
        <w:spacing w:after="0" w:line="165" w:lineRule="exact"/>
        <w:rPr>
          <w:rFonts w:ascii="Times New Roman" w:cs="Times New Roman" w:eastAsia="Times New Roman" w:hAnsi="Times New Roman"/>
          <w:sz w:val="19"/>
          <w:szCs w:val="19"/>
          <w:color w:val="auto"/>
        </w:rPr>
      </w:pPr>
    </w:p>
    <w:p>
      <w:pPr>
        <w:jc w:val="both"/>
        <w:ind w:left="1292" w:hanging="644"/>
        <w:spacing w:after="0" w:line="256" w:lineRule="auto"/>
        <w:tabs>
          <w:tab w:leader="none" w:pos="128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Subordination</w:t>
      </w:r>
      <w:r>
        <w:rPr>
          <w:rFonts w:ascii="Times New Roman" w:cs="Times New Roman" w:eastAsia="Times New Roman" w:hAnsi="Times New Roman"/>
          <w:sz w:val="20"/>
          <w:szCs w:val="20"/>
          <w:color w:val="auto"/>
        </w:rPr>
        <w:t>. Notwithstanding any contrary provision hereof, Tenant’s Right of First Offer shall be subject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subordinate to the expansion rights (whether such rights are designated as a right of first offer, right of first refusal, expansion option or otherwise) of any tenant of the Project existing on the date hereof.</w:t>
      </w:r>
    </w:p>
    <w:p>
      <w:pPr>
        <w:spacing w:after="0" w:line="168"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ACCELERATION OPTION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292" w:hanging="648"/>
        <w:spacing w:after="0" w:line="23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7.1 Tenant shall have the right (the “</w:t>
      </w:r>
      <w:r>
        <w:rPr>
          <w:rFonts w:ascii="Times New Roman" w:cs="Times New Roman" w:eastAsia="Times New Roman" w:hAnsi="Times New Roman"/>
          <w:sz w:val="20"/>
          <w:szCs w:val="20"/>
          <w:b w:val="1"/>
          <w:bCs w:val="1"/>
          <w:color w:val="auto"/>
        </w:rPr>
        <w:t>Acceleration Option</w:t>
      </w:r>
      <w:r>
        <w:rPr>
          <w:rFonts w:ascii="Times New Roman" w:cs="Times New Roman" w:eastAsia="Times New Roman" w:hAnsi="Times New Roman"/>
          <w:sz w:val="20"/>
          <w:szCs w:val="20"/>
          <w:color w:val="auto"/>
        </w:rPr>
        <w:t xml:space="preserve">”) to accelerate the expiration date of this Lease, with respect to entire Premises only (subject to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below), from the scheduled Expiration Date to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anniversary of the Commencement Date (the “</w:t>
      </w:r>
      <w:r>
        <w:rPr>
          <w:rFonts w:ascii="Times New Roman" w:cs="Times New Roman" w:eastAsia="Times New Roman" w:hAnsi="Times New Roman"/>
          <w:sz w:val="20"/>
          <w:szCs w:val="20"/>
          <w:b w:val="1"/>
          <w:bCs w:val="1"/>
          <w:color w:val="auto"/>
        </w:rPr>
        <w:t>Accelerated Expiration Date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Acceleration</w:t>
      </w:r>
      <w:r>
        <w:rPr>
          <w:rFonts w:ascii="Times New Roman" w:cs="Times New Roman" w:eastAsia="Times New Roman" w:hAnsi="Times New Roman"/>
          <w:sz w:val="20"/>
          <w:szCs w:val="20"/>
          <w:color w:val="auto"/>
        </w:rPr>
        <w:t>”), if:</w:t>
      </w:r>
    </w:p>
    <w:p>
      <w:pPr>
        <w:spacing w:after="0" w:line="189" w:lineRule="exact"/>
        <w:rPr>
          <w:rFonts w:ascii="Times New Roman" w:cs="Times New Roman" w:eastAsia="Times New Roman" w:hAnsi="Times New Roman"/>
          <w:sz w:val="20"/>
          <w:szCs w:val="20"/>
          <w:b w:val="1"/>
          <w:bCs w:val="1"/>
          <w:color w:val="auto"/>
        </w:rPr>
      </w:pPr>
    </w:p>
    <w:p>
      <w:pPr>
        <w:ind w:left="1952" w:right="20" w:hanging="760"/>
        <w:spacing w:after="0" w:line="269" w:lineRule="auto"/>
        <w:tabs>
          <w:tab w:leader="none" w:pos="1952"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delivers to Landlord, at least nine (9) months before the Accelerated Expiration Date, a written notice (the “</w:t>
      </w:r>
      <w:r>
        <w:rPr>
          <w:rFonts w:ascii="Times New Roman" w:cs="Times New Roman" w:eastAsia="Times New Roman" w:hAnsi="Times New Roman"/>
          <w:sz w:val="20"/>
          <w:szCs w:val="20"/>
          <w:b w:val="1"/>
          <w:bCs w:val="1"/>
          <w:color w:val="auto"/>
        </w:rPr>
        <w:t>Acceleration Notice</w:t>
      </w:r>
      <w:r>
        <w:rPr>
          <w:rFonts w:ascii="Times New Roman" w:cs="Times New Roman" w:eastAsia="Times New Roman" w:hAnsi="Times New Roman"/>
          <w:sz w:val="20"/>
          <w:szCs w:val="20"/>
          <w:color w:val="auto"/>
        </w:rPr>
        <w:t>”) exercising the Acceleration Option;</w:t>
      </w:r>
    </w:p>
    <w:p>
      <w:pPr>
        <w:sectPr>
          <w:pgSz w:w="11900" w:h="16838" w:orient="portrait"/>
          <w:cols w:equalWidth="0" w:num="1">
            <w:col w:w="11232"/>
          </w:cols>
          <w:pgMar w:left="328"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color w:val="auto"/>
        </w:rPr>
        <w:t>Exhibit F - 8</w:t>
      </w:r>
    </w:p>
    <w:p>
      <w:pPr>
        <w:sectPr>
          <w:pgSz w:w="11900" w:h="16838" w:orient="portrait"/>
          <w:cols w:equalWidth="0" w:num="1">
            <w:col w:w="11232"/>
          </w:cols>
          <w:pgMar w:left="328" w:top="1413" w:right="339" w:bottom="1440" w:gutter="0" w:footer="0" w:header="0"/>
          <w:type w:val="continuous"/>
        </w:sectPr>
      </w:pPr>
    </w:p>
    <w:bookmarkStart w:id="158" w:name="page159"/>
    <w:bookmarkEnd w:id="158"/>
    <w:p>
      <w:pPr>
        <w:spacing w:after="0" w:line="189" w:lineRule="exact"/>
        <w:rPr>
          <w:sz w:val="20"/>
          <w:szCs w:val="20"/>
          <w:color w:val="auto"/>
        </w:rPr>
      </w:pPr>
    </w:p>
    <w:p>
      <w:pPr>
        <w:ind w:left="870" w:hanging="815"/>
        <w:spacing w:after="0"/>
        <w:tabs>
          <w:tab w:leader="none" w:pos="87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monetary or material non-monetary Default exists when Tenant delivers the Acceleration Notice to Landlord;</w:t>
      </w:r>
    </w:p>
    <w:p>
      <w:pPr>
        <w:spacing w:after="0" w:line="215" w:lineRule="exact"/>
        <w:rPr>
          <w:rFonts w:ascii="Times New Roman" w:cs="Times New Roman" w:eastAsia="Times New Roman" w:hAnsi="Times New Roman"/>
          <w:sz w:val="20"/>
          <w:szCs w:val="20"/>
          <w:color w:val="auto"/>
        </w:rPr>
      </w:pPr>
    </w:p>
    <w:p>
      <w:pPr>
        <w:jc w:val="both"/>
        <w:ind w:left="870" w:hanging="870"/>
        <w:spacing w:after="0" w:line="254" w:lineRule="auto"/>
        <w:tabs>
          <w:tab w:leader="none" w:pos="87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 of the Premises (other than any Excluded Space (defined in </w:t>
      </w:r>
      <w:r>
        <w:rPr>
          <w:rFonts w:ascii="Times New Roman" w:cs="Times New Roman" w:eastAsia="Times New Roman" w:hAnsi="Times New Roman"/>
          <w:sz w:val="20"/>
          <w:szCs w:val="20"/>
          <w:u w:val="single" w:color="auto"/>
          <w:color w:val="auto"/>
        </w:rPr>
        <w:t>Section 7.7.1</w:t>
      </w:r>
      <w:r>
        <w:rPr>
          <w:rFonts w:ascii="Times New Roman" w:cs="Times New Roman" w:eastAsia="Times New Roman" w:hAnsi="Times New Roman"/>
          <w:sz w:val="20"/>
          <w:szCs w:val="20"/>
          <w:color w:val="auto"/>
        </w:rPr>
        <w:t xml:space="preserve"> below)) is sublet past the Accelerated Expiration Date when Tenant delivers the Acceleration Notice to Landlord (unless Tenant has the right to terminate the sublease effective not later than the Accelerated Expiration Date); and</w:t>
      </w:r>
    </w:p>
    <w:p>
      <w:pPr>
        <w:spacing w:after="0" w:line="174" w:lineRule="exact"/>
        <w:rPr>
          <w:rFonts w:ascii="Times New Roman" w:cs="Times New Roman" w:eastAsia="Times New Roman" w:hAnsi="Times New Roman"/>
          <w:sz w:val="20"/>
          <w:szCs w:val="20"/>
          <w:color w:val="auto"/>
        </w:rPr>
      </w:pPr>
    </w:p>
    <w:p>
      <w:pPr>
        <w:ind w:left="870" w:hanging="859"/>
        <w:spacing w:after="0" w:line="269" w:lineRule="auto"/>
        <w:tabs>
          <w:tab w:leader="none" w:pos="85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has not been assigned (other than pursuant to a Permitted Transfer) before Tenant delivers the Acceleration Notice to Landlord.</w:t>
      </w:r>
    </w:p>
    <w:p>
      <w:pPr>
        <w:spacing w:after="0" w:line="186" w:lineRule="exact"/>
        <w:rPr>
          <w:sz w:val="20"/>
          <w:szCs w:val="20"/>
          <w:color w:val="auto"/>
        </w:rPr>
      </w:pPr>
    </w:p>
    <w:p>
      <w:pPr>
        <w:jc w:val="both"/>
        <w:ind w:left="10" w:hanging="647"/>
        <w:spacing w:after="0" w:line="249" w:lineRule="auto"/>
        <w:rPr>
          <w:sz w:val="20"/>
          <w:szCs w:val="20"/>
          <w:color w:val="auto"/>
        </w:rPr>
      </w:pPr>
      <w:r>
        <w:rPr>
          <w:rFonts w:ascii="Times New Roman" w:cs="Times New Roman" w:eastAsia="Times New Roman" w:hAnsi="Times New Roman"/>
          <w:sz w:val="20"/>
          <w:szCs w:val="20"/>
          <w:color w:val="auto"/>
        </w:rPr>
        <w:t>7.2</w:t>
      </w:r>
      <w:r>
        <w:rPr>
          <w:sz w:val="20"/>
          <w:szCs w:val="20"/>
          <w:color w:val="auto"/>
        </w:rPr>
        <w:t xml:space="preserve"> </w:t>
      </w:r>
      <w:r>
        <w:rPr>
          <w:rFonts w:ascii="Times New Roman" w:cs="Times New Roman" w:eastAsia="Times New Roman" w:hAnsi="Times New Roman"/>
          <w:sz w:val="20"/>
          <w:szCs w:val="20"/>
          <w:color w:val="auto"/>
        </w:rPr>
        <w:t xml:space="preserve">If Tenant validly exercises the Acceleration Option, then (i) notwithstanding any contrary provision of this Lease, but subject to the terms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the Term shall expire on the Accelerated Expiration Date with the same force and effect as if the Term were, by the provisions of this Lease, fixed to expire on the Accelerated Expiration Date; and (ii) without limiting the foregoing:</w:t>
      </w:r>
    </w:p>
    <w:p>
      <w:pPr>
        <w:spacing w:after="0" w:line="180" w:lineRule="exact"/>
        <w:rPr>
          <w:sz w:val="20"/>
          <w:szCs w:val="20"/>
          <w:color w:val="auto"/>
        </w:rPr>
      </w:pPr>
    </w:p>
    <w:p>
      <w:pPr>
        <w:ind w:left="870" w:hanging="656"/>
        <w:spacing w:after="0" w:line="269" w:lineRule="auto"/>
        <w:tabs>
          <w:tab w:leader="none" w:pos="85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surrender the Premises to Landlord in accordance with the terms of this Lease on or before the Accelerated Expiration Date;</w:t>
      </w:r>
    </w:p>
    <w:p>
      <w:pPr>
        <w:spacing w:after="0" w:line="159" w:lineRule="exact"/>
        <w:rPr>
          <w:rFonts w:ascii="Times New Roman" w:cs="Times New Roman" w:eastAsia="Times New Roman" w:hAnsi="Times New Roman"/>
          <w:sz w:val="20"/>
          <w:szCs w:val="20"/>
          <w:color w:val="auto"/>
        </w:rPr>
      </w:pPr>
    </w:p>
    <w:p>
      <w:pPr>
        <w:jc w:val="both"/>
        <w:ind w:left="870" w:hanging="656"/>
        <w:spacing w:after="0" w:line="254" w:lineRule="auto"/>
        <w:tabs>
          <w:tab w:leader="none" w:pos="87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remain liable for all Rent and other amounts payable under this Lease for the period up to and to and including the Accelerated Expiration Date, even though billings for such amounts may occur after the Accelerated Expiration Date;</w:t>
      </w:r>
    </w:p>
    <w:p>
      <w:pPr>
        <w:spacing w:after="0" w:line="174" w:lineRule="exact"/>
        <w:rPr>
          <w:rFonts w:ascii="Times New Roman" w:cs="Times New Roman" w:eastAsia="Times New Roman" w:hAnsi="Times New Roman"/>
          <w:sz w:val="20"/>
          <w:szCs w:val="20"/>
          <w:color w:val="auto"/>
        </w:rPr>
      </w:pPr>
    </w:p>
    <w:p>
      <w:pPr>
        <w:ind w:left="850" w:hanging="636"/>
        <w:spacing w:after="0"/>
        <w:tabs>
          <w:tab w:leader="none" w:pos="85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restoration obligations shall be as set forth in this Lease;</w:t>
      </w:r>
    </w:p>
    <w:p>
      <w:pPr>
        <w:spacing w:after="0" w:line="215" w:lineRule="exact"/>
        <w:rPr>
          <w:rFonts w:ascii="Times New Roman" w:cs="Times New Roman" w:eastAsia="Times New Roman" w:hAnsi="Times New Roman"/>
          <w:sz w:val="20"/>
          <w:szCs w:val="20"/>
          <w:color w:val="auto"/>
        </w:rPr>
      </w:pPr>
    </w:p>
    <w:p>
      <w:pPr>
        <w:ind w:left="870" w:right="20" w:hanging="656"/>
        <w:spacing w:after="0" w:line="269" w:lineRule="auto"/>
        <w:tabs>
          <w:tab w:leader="none" w:pos="87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Tenant fails to surrender any portion of the Premises on or before the Accelerated Expiration Date, Tenant’s tenancy shall be subject to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of this Lease; and</w:t>
      </w:r>
    </w:p>
    <w:p>
      <w:pPr>
        <w:spacing w:after="0" w:line="159" w:lineRule="exact"/>
        <w:rPr>
          <w:rFonts w:ascii="Times New Roman" w:cs="Times New Roman" w:eastAsia="Times New Roman" w:hAnsi="Times New Roman"/>
          <w:sz w:val="20"/>
          <w:szCs w:val="20"/>
          <w:color w:val="auto"/>
        </w:rPr>
      </w:pPr>
    </w:p>
    <w:p>
      <w:pPr>
        <w:ind w:left="870" w:hanging="656"/>
        <w:spacing w:after="0" w:line="269" w:lineRule="auto"/>
        <w:tabs>
          <w:tab w:leader="none" w:pos="85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rights or obligations of Landlord or Tenant under this Lease that, in the absence of the Acceleration, would have survived the Expiration Date shall survive the Accelerated Expiration Date.</w:t>
      </w:r>
    </w:p>
    <w:p>
      <w:pPr>
        <w:spacing w:after="0" w:line="186" w:lineRule="exact"/>
        <w:rPr>
          <w:sz w:val="20"/>
          <w:szCs w:val="20"/>
          <w:color w:val="auto"/>
        </w:rPr>
      </w:pPr>
    </w:p>
    <w:p>
      <w:pPr>
        <w:jc w:val="both"/>
        <w:ind w:left="10" w:hanging="647"/>
        <w:spacing w:after="0" w:line="242" w:lineRule="auto"/>
        <w:rPr>
          <w:sz w:val="20"/>
          <w:szCs w:val="20"/>
          <w:color w:val="auto"/>
        </w:rPr>
      </w:pPr>
      <w:r>
        <w:rPr>
          <w:rFonts w:ascii="Times New Roman" w:cs="Times New Roman" w:eastAsia="Times New Roman" w:hAnsi="Times New Roman"/>
          <w:sz w:val="20"/>
          <w:szCs w:val="20"/>
          <w:color w:val="auto"/>
        </w:rPr>
        <w:t>7.3</w:t>
      </w:r>
      <w:r>
        <w:rPr>
          <w:sz w:val="20"/>
          <w:szCs w:val="20"/>
          <w:color w:val="auto"/>
        </w:rPr>
        <w:t xml:space="preserve"> </w:t>
      </w:r>
      <w:r>
        <w:rPr>
          <w:rFonts w:ascii="Times New Roman" w:cs="Times New Roman" w:eastAsia="Times New Roman" w:hAnsi="Times New Roman"/>
          <w:sz w:val="20"/>
          <w:szCs w:val="20"/>
          <w:color w:val="auto"/>
        </w:rPr>
        <w:t>If Tenant exercises the Acceleration Option, then Tenant shall pay to Landlord, as a fee in connection with the Acceleration and not as a penalty, an amount (the “</w:t>
      </w:r>
      <w:r>
        <w:rPr>
          <w:rFonts w:ascii="Times New Roman" w:cs="Times New Roman" w:eastAsia="Times New Roman" w:hAnsi="Times New Roman"/>
          <w:sz w:val="20"/>
          <w:szCs w:val="20"/>
          <w:b w:val="1"/>
          <w:bCs w:val="1"/>
          <w:color w:val="auto"/>
        </w:rPr>
        <w:t>Acceleration Fee</w:t>
      </w:r>
      <w:r>
        <w:rPr>
          <w:rFonts w:ascii="Times New Roman" w:cs="Times New Roman" w:eastAsia="Times New Roman" w:hAnsi="Times New Roman"/>
          <w:sz w:val="20"/>
          <w:szCs w:val="20"/>
          <w:color w:val="auto"/>
        </w:rPr>
        <w:t xml:space="preserve">”) equal to the sum of the portion of each of the following amounts (other than any such amount that applies or is allocable only to any Excluded Space) that remains unamortized (as determined on a straight-line basis without interest) as of the Accelerated Expiration Date: any free or abated rent, internal or external commission, tenant improvement allowance, tenant improvement cost, moving allowance, rent credit allowance, or other allowance or concession incurred by Landlord or paid or credited to Tenant, excluding, however, (i) any free or abated rent that may be imputed to the Beneficial Occupancy Period described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of this Lease, and (ii) the abated rent described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of this Lease. At any time after Landlord receives the Acceleration Notice, Landlord may deliver to Tenant an invoice specifying the amount of the Acceleration Fee, whereupon Tenant shall pay to Landlord (x) 50% of the Acceleration Fee within 15 days after receiving such invoice, and (y) the balance of the Acceleration Fee not later than the later of the Accelerated Expiration Date or 15 days after receiving such invoice.</w:t>
      </w:r>
    </w:p>
    <w:p>
      <w:pPr>
        <w:spacing w:after="0" w:line="217" w:lineRule="exact"/>
        <w:rPr>
          <w:sz w:val="20"/>
          <w:szCs w:val="20"/>
          <w:color w:val="auto"/>
        </w:rPr>
      </w:pPr>
    </w:p>
    <w:p>
      <w:pPr>
        <w:jc w:val="both"/>
        <w:ind w:left="110" w:hanging="647"/>
        <w:spacing w:after="0" w:line="246" w:lineRule="auto"/>
        <w:tabs>
          <w:tab w:leader="none" w:pos="90" w:val="left"/>
        </w:tabs>
        <w:rPr>
          <w:sz w:val="20"/>
          <w:szCs w:val="20"/>
          <w:color w:val="auto"/>
        </w:rPr>
      </w:pPr>
      <w:r>
        <w:rPr>
          <w:rFonts w:ascii="Times New Roman" w:cs="Times New Roman" w:eastAsia="Times New Roman" w:hAnsi="Times New Roman"/>
          <w:sz w:val="20"/>
          <w:szCs w:val="20"/>
          <w:color w:val="auto"/>
        </w:rPr>
        <w:t>7.4</w:t>
        <w:tab/>
        <w:t>If, after Tenant delivers an Acceleration Notice to Landlord, a Default occurs (including, without limitation, by reason of Tenant’s failure to pay when due a portion of the Acceleration Fee), Landlord, at its option, may (i) declare Tenant’s exercise of the Acceleration Option to be null and void (in which event Landlord shall return to Tenant any portion of the Acceleration Fee received from Tenant, but only after applying it against any past due Rent), or (ii) continue to honor Tenant’s exercise of its Acceleration Option in accordance with the terms hereof.</w:t>
      </w:r>
    </w:p>
    <w:p>
      <w:pPr>
        <w:spacing w:after="0" w:line="208" w:lineRule="exact"/>
        <w:rPr>
          <w:sz w:val="20"/>
          <w:szCs w:val="20"/>
          <w:color w:val="auto"/>
        </w:rPr>
      </w:pPr>
    </w:p>
    <w:p>
      <w:pPr>
        <w:jc w:val="both"/>
        <w:ind w:left="50" w:hanging="647"/>
        <w:spacing w:after="0" w:line="250" w:lineRule="auto"/>
        <w:tabs>
          <w:tab w:leader="none" w:pos="30" w:val="left"/>
        </w:tabs>
        <w:rPr>
          <w:sz w:val="20"/>
          <w:szCs w:val="20"/>
          <w:color w:val="auto"/>
        </w:rPr>
      </w:pPr>
      <w:r>
        <w:rPr>
          <w:rFonts w:ascii="Times New Roman" w:cs="Times New Roman" w:eastAsia="Times New Roman" w:hAnsi="Times New Roman"/>
          <w:sz w:val="20"/>
          <w:szCs w:val="20"/>
          <w:color w:val="auto"/>
        </w:rPr>
        <w:t>7.5</w:t>
        <w:tab/>
        <w:t>If Tenant validly exercises the Acceleration Option, Landlord shall prepare an amendment (the “</w:t>
      </w:r>
      <w:r>
        <w:rPr>
          <w:rFonts w:ascii="Times New Roman" w:cs="Times New Roman" w:eastAsia="Times New Roman" w:hAnsi="Times New Roman"/>
          <w:sz w:val="20"/>
          <w:szCs w:val="20"/>
          <w:b w:val="1"/>
          <w:bCs w:val="1"/>
          <w:color w:val="auto"/>
        </w:rPr>
        <w:t>Acceleration Amendment</w:t>
      </w:r>
      <w:r>
        <w:rPr>
          <w:rFonts w:ascii="Times New Roman" w:cs="Times New Roman" w:eastAsia="Times New Roman" w:hAnsi="Times New Roman"/>
          <w:sz w:val="20"/>
          <w:szCs w:val="20"/>
          <w:color w:val="auto"/>
        </w:rPr>
        <w:t>”) reflecting the same. Landlord shall deliver the Acceleration Amendment to Tenant within a reasonable time after receiving the Acceleration Notice, and Tenant shall execute and return (or provide Landlord with reasonable written objections to) the Acceleration Amendment within 15 days after</w:t>
      </w:r>
    </w:p>
    <w:p>
      <w:pPr>
        <w:sectPr>
          <w:pgSz w:w="11900" w:h="16838" w:orient="portrait"/>
          <w:cols w:equalWidth="0" w:num="1">
            <w:col w:w="10150"/>
          </w:cols>
          <w:pgMar w:left="141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90"/>
        <w:spacing w:after="0"/>
        <w:rPr>
          <w:sz w:val="20"/>
          <w:szCs w:val="20"/>
          <w:color w:val="auto"/>
        </w:rPr>
      </w:pPr>
      <w:r>
        <w:rPr>
          <w:rFonts w:ascii="Times New Roman" w:cs="Times New Roman" w:eastAsia="Times New Roman" w:hAnsi="Times New Roman"/>
          <w:sz w:val="21"/>
          <w:szCs w:val="21"/>
          <w:color w:val="auto"/>
        </w:rPr>
        <w:t>Exhibit F - 9</w:t>
      </w:r>
    </w:p>
    <w:p>
      <w:pPr>
        <w:sectPr>
          <w:pgSz w:w="11900" w:h="16838" w:orient="portrait"/>
          <w:cols w:equalWidth="0" w:num="1">
            <w:col w:w="10150"/>
          </w:cols>
          <w:pgMar w:left="1410" w:top="1440" w:right="339" w:bottom="1440" w:gutter="0" w:footer="0" w:header="0"/>
          <w:type w:val="continuous"/>
        </w:sectPr>
      </w:pPr>
    </w:p>
    <w:bookmarkStart w:id="159" w:name="page160"/>
    <w:bookmarkEnd w:id="159"/>
    <w:p>
      <w:pPr>
        <w:ind w:left="640"/>
        <w:spacing w:after="0" w:line="269" w:lineRule="auto"/>
        <w:rPr>
          <w:sz w:val="20"/>
          <w:szCs w:val="20"/>
          <w:color w:val="auto"/>
        </w:rPr>
      </w:pPr>
      <w:r>
        <w:rPr>
          <w:rFonts w:ascii="Times New Roman" w:cs="Times New Roman" w:eastAsia="Times New Roman" w:hAnsi="Times New Roman"/>
          <w:sz w:val="20"/>
          <w:szCs w:val="20"/>
          <w:color w:val="auto"/>
        </w:rPr>
        <w:t>receiving it. An otherwise valid exercise of the Acceleration Option shall be fully effective whether or not the Acceleration Amendment is executed.</w:t>
      </w:r>
    </w:p>
    <w:p>
      <w:pPr>
        <w:spacing w:after="0" w:line="186" w:lineRule="exact"/>
        <w:rPr>
          <w:sz w:val="20"/>
          <w:szCs w:val="20"/>
          <w:color w:val="auto"/>
        </w:rPr>
      </w:pPr>
    </w:p>
    <w:p>
      <w:pPr>
        <w:jc w:val="both"/>
        <w:ind w:left="560" w:hanging="647"/>
        <w:spacing w:after="0" w:line="244" w:lineRule="auto"/>
        <w:tabs>
          <w:tab w:leader="none" w:pos="5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Notwithstanding any contrary provision of this Lease, from and after the date Tenant delivers an Acceleration Notice to Landlord, (a) any unexercised right or option of Tenant to renew or extend the Term or to expand the Premises (whether in the form of an expansion option, right of first offer or refusal, or any other similar right), and any outstanding tenant improvement allowance or other allowance not claimed and properly used by Tenant in accordance with this Lease as of such date, shall immediately be deemed terminated and no longer available or of any further force or effect, and (b) Tenant shall not sublease all or any portion of the Premises (other than any Excluded Space) for any period following the Accelerated Expiration Date.</w:t>
      </w:r>
    </w:p>
    <w:p>
      <w:pPr>
        <w:spacing w:after="0" w:line="2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b w:val="1"/>
          <w:bCs w:val="1"/>
          <w:color w:val="auto"/>
        </w:rPr>
        <w:t>Partial Acceleration.</w:t>
      </w:r>
    </w:p>
    <w:p>
      <w:pPr>
        <w:spacing w:after="0" w:line="247"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7.7.1</w:t>
        <w:tab/>
        <w:t xml:space="preserve">Notwithstanding any contrary provision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Tenant may exclude any portion of the Premises from</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Tenant’s exercise of the Acceleration Option (for purposes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b w:val="1"/>
          <w:bCs w:val="1"/>
          <w:color w:val="auto"/>
        </w:rPr>
        <w:t>Exclusion</w:t>
      </w:r>
      <w:r>
        <w:rPr>
          <w:rFonts w:ascii="Times New Roman" w:cs="Times New Roman" w:eastAsia="Times New Roman" w:hAnsi="Times New Roman"/>
          <w:sz w:val="20"/>
          <w:szCs w:val="20"/>
          <w:color w:val="auto"/>
        </w:rPr>
        <w:t>”), but only if:</w:t>
      </w:r>
    </w:p>
    <w:p>
      <w:pPr>
        <w:spacing w:after="0" w:line="194" w:lineRule="exact"/>
        <w:rPr>
          <w:sz w:val="20"/>
          <w:szCs w:val="20"/>
          <w:color w:val="auto"/>
        </w:rPr>
      </w:pPr>
    </w:p>
    <w:p>
      <w:pPr>
        <w:jc w:val="both"/>
        <w:ind w:left="1940" w:hanging="752"/>
        <w:spacing w:after="0" w:line="295" w:lineRule="auto"/>
        <w:tabs>
          <w:tab w:leader="none" w:pos="194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Acceleration Notice describes such Exclusion, including by reasonably describing, by reference to size, location and outline, the portion of the Premises that Tenant proposes to so exclude (the “</w:t>
      </w:r>
      <w:r>
        <w:rPr>
          <w:rFonts w:ascii="Times New Roman" w:cs="Times New Roman" w:eastAsia="Times New Roman" w:hAnsi="Times New Roman"/>
          <w:sz w:val="19"/>
          <w:szCs w:val="19"/>
          <w:b w:val="1"/>
          <w:bCs w:val="1"/>
          <w:color w:val="auto"/>
        </w:rPr>
        <w:t>Excluded Space</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940" w:right="20" w:hanging="807"/>
        <w:spacing w:after="0" w:line="269" w:lineRule="auto"/>
        <w:tabs>
          <w:tab w:leader="none" w:pos="19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balance of the Premises either (i) contains Suite 500, or (ii) otherwise contains at least 11,673 rentable square feet (as determined in accordance with the BOMA Standard); and</w:t>
      </w:r>
    </w:p>
    <w:p>
      <w:pPr>
        <w:spacing w:after="0" w:line="159" w:lineRule="exact"/>
        <w:rPr>
          <w:rFonts w:ascii="Times New Roman" w:cs="Times New Roman" w:eastAsia="Times New Roman" w:hAnsi="Times New Roman"/>
          <w:sz w:val="20"/>
          <w:szCs w:val="20"/>
          <w:color w:val="auto"/>
        </w:rPr>
      </w:pPr>
    </w:p>
    <w:p>
      <w:pPr>
        <w:jc w:val="both"/>
        <w:ind w:left="1940" w:hanging="862"/>
        <w:spacing w:after="0" w:line="249" w:lineRule="auto"/>
        <w:tabs>
          <w:tab w:leader="none" w:pos="19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Excluded Space, in Landlord’s good faith judgment, can be separated from the balance of the Premises by means of reasonable alterations without causing any portion of the Excluded Space or the balance of the Premises to (i) lack reasonable access to multi-tenant corridors or the elevator lobby, (ii) violate any Laws, or (iii) be unmarketable in any other respect.</w:t>
      </w:r>
    </w:p>
    <w:p>
      <w:pPr>
        <w:spacing w:after="0" w:line="207" w:lineRule="exact"/>
        <w:rPr>
          <w:sz w:val="20"/>
          <w:szCs w:val="20"/>
          <w:color w:val="auto"/>
        </w:rPr>
      </w:pPr>
    </w:p>
    <w:p>
      <w:pPr>
        <w:ind w:left="1260" w:right="20" w:hanging="647"/>
        <w:spacing w:after="0" w:line="269" w:lineRule="auto"/>
        <w:tabs>
          <w:tab w:leader="none" w:pos="1240" w:val="left"/>
        </w:tabs>
        <w:rPr>
          <w:sz w:val="20"/>
          <w:szCs w:val="20"/>
          <w:color w:val="auto"/>
        </w:rPr>
      </w:pPr>
      <w:r>
        <w:rPr>
          <w:rFonts w:ascii="Times New Roman" w:cs="Times New Roman" w:eastAsia="Times New Roman" w:hAnsi="Times New Roman"/>
          <w:sz w:val="20"/>
          <w:szCs w:val="20"/>
          <w:color w:val="auto"/>
        </w:rPr>
        <w:t>7.7.2</w:t>
        <w:tab/>
        <w:t xml:space="preserve">If Tenant validly exercises the Acceleration Option and an Exclusion occurs in accordance with </w:t>
      </w:r>
      <w:r>
        <w:rPr>
          <w:rFonts w:ascii="Times New Roman" w:cs="Times New Roman" w:eastAsia="Times New Roman" w:hAnsi="Times New Roman"/>
          <w:sz w:val="20"/>
          <w:szCs w:val="20"/>
          <w:u w:val="single" w:color="auto"/>
          <w:color w:val="auto"/>
        </w:rPr>
        <w:t>Section 7.7.1</w:t>
      </w:r>
      <w:r>
        <w:rPr>
          <w:rFonts w:ascii="Times New Roman" w:cs="Times New Roman" w:eastAsia="Times New Roman" w:hAnsi="Times New Roman"/>
          <w:sz w:val="20"/>
          <w:szCs w:val="20"/>
          <w:color w:val="auto"/>
        </w:rPr>
        <w:t xml:space="preserve"> above, then:</w:t>
      </w:r>
    </w:p>
    <w:p>
      <w:pPr>
        <w:spacing w:after="0" w:line="159" w:lineRule="exact"/>
        <w:rPr>
          <w:sz w:val="20"/>
          <w:szCs w:val="20"/>
          <w:color w:val="auto"/>
        </w:rPr>
      </w:pPr>
    </w:p>
    <w:p>
      <w:pPr>
        <w:ind w:left="1940" w:hanging="752"/>
        <w:spacing w:after="0" w:line="269" w:lineRule="auto"/>
        <w:tabs>
          <w:tab w:leader="none" w:pos="19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the provisions of </w:t>
      </w:r>
      <w:r>
        <w:rPr>
          <w:rFonts w:ascii="Times New Roman" w:cs="Times New Roman" w:eastAsia="Times New Roman" w:hAnsi="Times New Roman"/>
          <w:sz w:val="20"/>
          <w:szCs w:val="20"/>
          <w:u w:val="single" w:color="auto"/>
          <w:color w:val="auto"/>
        </w:rPr>
        <w:t>Sections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7.4</w:t>
      </w:r>
      <w:r>
        <w:rPr>
          <w:rFonts w:ascii="Times New Roman" w:cs="Times New Roman" w:eastAsia="Times New Roman" w:hAnsi="Times New Roman"/>
          <w:sz w:val="20"/>
          <w:szCs w:val="20"/>
          <w:color w:val="auto"/>
        </w:rPr>
        <w:t xml:space="preserve"> above shall not apply to the Excluded Space;</w:t>
      </w:r>
    </w:p>
    <w:p>
      <w:pPr>
        <w:spacing w:after="0" w:line="159" w:lineRule="exact"/>
        <w:rPr>
          <w:rFonts w:ascii="Times New Roman" w:cs="Times New Roman" w:eastAsia="Times New Roman" w:hAnsi="Times New Roman"/>
          <w:sz w:val="20"/>
          <w:szCs w:val="20"/>
          <w:color w:val="auto"/>
        </w:rPr>
      </w:pPr>
    </w:p>
    <w:p>
      <w:pPr>
        <w:jc w:val="both"/>
        <w:ind w:left="1940" w:hanging="807"/>
        <w:spacing w:after="0" w:line="249" w:lineRule="auto"/>
        <w:tabs>
          <w:tab w:leader="none" w:pos="19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 the Term, with respect to the Excluded Space, shall not expire on the Acclerated Expiration Date but shall continue in effect as if Tenant had not exercised the Extension Option, and from and after the date immediately following the Accelerated Expiration Date, the Premises shall consist solely of the Excluded Space;</w:t>
      </w:r>
    </w:p>
    <w:p>
      <w:pPr>
        <w:spacing w:after="0" w:line="179" w:lineRule="exact"/>
        <w:rPr>
          <w:rFonts w:ascii="Times New Roman" w:cs="Times New Roman" w:eastAsia="Times New Roman" w:hAnsi="Times New Roman"/>
          <w:sz w:val="20"/>
          <w:szCs w:val="20"/>
          <w:color w:val="auto"/>
        </w:rPr>
      </w:pPr>
    </w:p>
    <w:p>
      <w:pPr>
        <w:jc w:val="both"/>
        <w:ind w:left="1940" w:hanging="862"/>
        <w:spacing w:after="0" w:line="243" w:lineRule="auto"/>
        <w:tabs>
          <w:tab w:leader="none" w:pos="19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Landlord, using Building-standard materials and finishes, performs any alterations to the Premises or the Building (including, without limitation, the installation of any new utility meters, demising walls, multi-tenant corridors or entry doors) that, in Landlord’s good faith judgment, are necessary to separate the Excluded Space from the balance of the Premises or to prevent such separation or the Exclusion from causing any portion of the Excluded Space or the balance of the Premises to (i) lack reasonable access to multi-tenant corridors or the elevator lobby, (ii) violate any Law, or (ii) be unmarketable in any other respect, then Tenant shall reimburse Landlord for the entire cost thereof (plus a construction management fee in the amount of 3% of such cost) within 10 days after receiving written demand; and</w:t>
      </w:r>
    </w:p>
    <w:p>
      <w:pPr>
        <w:spacing w:after="0" w:line="189" w:lineRule="exact"/>
        <w:rPr>
          <w:rFonts w:ascii="Times New Roman" w:cs="Times New Roman" w:eastAsia="Times New Roman" w:hAnsi="Times New Roman"/>
          <w:sz w:val="20"/>
          <w:szCs w:val="20"/>
          <w:color w:val="auto"/>
        </w:rPr>
      </w:pPr>
    </w:p>
    <w:p>
      <w:pPr>
        <w:jc w:val="both"/>
        <w:ind w:left="1940" w:hanging="851"/>
        <w:spacing w:after="0" w:line="254" w:lineRule="auto"/>
        <w:tabs>
          <w:tab w:leader="none" w:pos="192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Acceleration Amendment shall reflect changes in the rentable square footage, Base Rent, Tenant’s Share and other appropriate terms resulting from the Exclusion (provided, however, that in no event shall the Letter of Credit Amount be modified as a result of the Exclusion).</w:t>
      </w:r>
    </w:p>
    <w:p>
      <w:pPr>
        <w:sectPr>
          <w:pgSz w:w="11900" w:h="16838" w:orient="portrait"/>
          <w:cols w:equalWidth="0" w:num="1">
            <w:col w:w="10580"/>
          </w:cols>
          <w:pgMar w:left="98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Exhibit F - 10</w:t>
      </w:r>
    </w:p>
    <w:p>
      <w:pPr>
        <w:sectPr>
          <w:pgSz w:w="11900" w:h="16838" w:orient="portrait"/>
          <w:cols w:equalWidth="0" w:num="1">
            <w:col w:w="10580"/>
          </w:cols>
          <w:pgMar w:left="980" w:top="1413" w:right="339" w:bottom="1440" w:gutter="0" w:footer="0" w:header="0"/>
          <w:type w:val="continuous"/>
        </w:sectPr>
      </w:pPr>
    </w:p>
    <w:bookmarkStart w:id="160" w:name="page161"/>
    <w:bookmarkEnd w:id="160"/>
    <w:p>
      <w:pPr>
        <w:ind w:left="352" w:hanging="352"/>
        <w:spacing w:after="0"/>
        <w:tabs>
          <w:tab w:leader="none" w:pos="35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MONUMENT SIGNAGE.</w:t>
      </w:r>
    </w:p>
    <w:p>
      <w:pPr>
        <w:spacing w:after="0" w:line="243" w:lineRule="exact"/>
        <w:rPr>
          <w:sz w:val="20"/>
          <w:szCs w:val="20"/>
          <w:color w:val="auto"/>
        </w:rPr>
      </w:pPr>
    </w:p>
    <w:p>
      <w:pPr>
        <w:jc w:val="both"/>
        <w:ind w:left="1152" w:hanging="629"/>
        <w:spacing w:after="0" w:line="253" w:lineRule="auto"/>
        <w:tabs>
          <w:tab w:leader="none" w:pos="1132"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color w:val="auto"/>
        </w:rPr>
        <w:t xml:space="preserve">Tenant’s Right to Monument Signage. </w:t>
      </w:r>
      <w:r>
        <w:rPr>
          <w:rFonts w:ascii="Times New Roman" w:cs="Times New Roman" w:eastAsia="Times New Roman" w:hAnsi="Times New Roman"/>
          <w:sz w:val="19"/>
          <w:szCs w:val="19"/>
          <w:color w:val="auto"/>
        </w:rPr>
        <w:t>Subject to the terms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during the Term Tenant shall have the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signage (“</w:t>
      </w:r>
      <w:r>
        <w:rPr>
          <w:rFonts w:ascii="Times New Roman" w:cs="Times New Roman" w:eastAsia="Times New Roman" w:hAnsi="Times New Roman"/>
          <w:sz w:val="19"/>
          <w:szCs w:val="19"/>
          <w:b w:val="1"/>
          <w:bCs w:val="1"/>
          <w:color w:val="auto"/>
        </w:rPr>
        <w:t>Tenant’s Monument Signage</w:t>
      </w:r>
      <w:r>
        <w:rPr>
          <w:rFonts w:ascii="Times New Roman" w:cs="Times New Roman" w:eastAsia="Times New Roman" w:hAnsi="Times New Roman"/>
          <w:sz w:val="19"/>
          <w:szCs w:val="19"/>
          <w:color w:val="auto"/>
        </w:rPr>
        <w:t>”) bearing Tenant’s Name (defined below) installed on the Designated Panel (defined below) of the monument sign serving the Building (the “</w:t>
      </w:r>
      <w:r>
        <w:rPr>
          <w:rFonts w:ascii="Times New Roman" w:cs="Times New Roman" w:eastAsia="Times New Roman" w:hAnsi="Times New Roman"/>
          <w:sz w:val="19"/>
          <w:szCs w:val="19"/>
          <w:b w:val="1"/>
          <w:bCs w:val="1"/>
          <w:color w:val="auto"/>
        </w:rPr>
        <w:t>Monument Sign</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Tenant’s Name</w:t>
      </w:r>
      <w:r>
        <w:rPr>
          <w:rFonts w:ascii="Times New Roman" w:cs="Times New Roman" w:eastAsia="Times New Roman" w:hAnsi="Times New Roman"/>
          <w:sz w:val="19"/>
          <w:szCs w:val="19"/>
          <w:color w:val="auto"/>
        </w:rPr>
        <w:t>” means, at any time, Tenant’s name, provided that such name (i) is being used lawfully by Tenant and does not infringe any trade name, trade mark, copyright or similar right of Landlord or any other party, and (ii) is, in Landlord’s reasonable judgment, consistent with a first-class office building (Landlord hereby acknowledging that the name of Tenant set forth in the first paragraph of this Lease is compatible with a first-class office building). As used, here, “</w:t>
      </w:r>
      <w:r>
        <w:rPr>
          <w:rFonts w:ascii="Times New Roman" w:cs="Times New Roman" w:eastAsia="Times New Roman" w:hAnsi="Times New Roman"/>
          <w:sz w:val="19"/>
          <w:szCs w:val="19"/>
          <w:b w:val="1"/>
          <w:bCs w:val="1"/>
          <w:color w:val="auto"/>
        </w:rPr>
        <w:t>Designated Panel</w:t>
      </w:r>
      <w:r>
        <w:rPr>
          <w:rFonts w:ascii="Times New Roman" w:cs="Times New Roman" w:eastAsia="Times New Roman" w:hAnsi="Times New Roman"/>
          <w:sz w:val="19"/>
          <w:szCs w:val="19"/>
          <w:color w:val="auto"/>
        </w:rPr>
        <w:t xml:space="preserve">” means the top right panel on the Monument Sign; provided, however, that if at any time the Premises do not include at least one (1) full floor of the Building, then Landlord may, at any time thereafter and at Tenant’s expense, relocate the Designated Panel to any other panel on the Monument Sign, even if the Premises are later expanded to include at least one (1) full floor of the Building. Notwithstanding any contrary provision hereof, (i) Tenant’s rights under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shall be personal to the party named as Tenant in the first paragraph of this Lease (“</w:t>
      </w:r>
      <w:r>
        <w:rPr>
          <w:rFonts w:ascii="Times New Roman" w:cs="Times New Roman" w:eastAsia="Times New Roman" w:hAnsi="Times New Roman"/>
          <w:sz w:val="19"/>
          <w:szCs w:val="19"/>
          <w:b w:val="1"/>
          <w:bCs w:val="1"/>
          <w:color w:val="auto"/>
        </w:rPr>
        <w:t>Original Tenant</w:t>
      </w:r>
      <w:r>
        <w:rPr>
          <w:rFonts w:ascii="Times New Roman" w:cs="Times New Roman" w:eastAsia="Times New Roman" w:hAnsi="Times New Roman"/>
          <w:sz w:val="19"/>
          <w:szCs w:val="19"/>
          <w:color w:val="auto"/>
        </w:rPr>
        <w:t xml:space="preserve">”) and to any successor to Original Tenant’s interest in this Lease that acquires its interest in this Lease solely by means of one or more </w:t>
      </w:r>
      <w:r>
        <w:rPr>
          <w:rFonts w:ascii="Times New Roman" w:cs="Times New Roman" w:eastAsia="Times New Roman" w:hAnsi="Times New Roman"/>
          <w:sz w:val="19"/>
          <w:szCs w:val="19"/>
          <w:b w:val="1"/>
          <w:bCs w:val="1"/>
          <w:color w:val="auto"/>
        </w:rPr>
        <w:t>Permitted Transfers</w:t>
      </w:r>
      <w:r>
        <w:rPr>
          <w:rFonts w:ascii="Times New Roman" w:cs="Times New Roman" w:eastAsia="Times New Roman" w:hAnsi="Times New Roman"/>
          <w:sz w:val="19"/>
          <w:szCs w:val="19"/>
          <w:color w:val="auto"/>
        </w:rPr>
        <w:t xml:space="preserve"> originating with Original Tenant, and may not be transferred to any other party; and (ii) if at any time the Minimum Occupancy Requirement (defined below) is not satisfied, then, at Landlord’s option (which shall not be deemed waived by the passage of time), Tenant shall no longer have any further rights under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even if the Minimum Occupancy Requirement later becomes satisfied, as applicable. For purposes hereof, the “</w:t>
      </w:r>
      <w:r>
        <w:rPr>
          <w:rFonts w:ascii="Times New Roman" w:cs="Times New Roman" w:eastAsia="Times New Roman" w:hAnsi="Times New Roman"/>
          <w:sz w:val="19"/>
          <w:szCs w:val="19"/>
          <w:b w:val="1"/>
          <w:bCs w:val="1"/>
          <w:color w:val="auto"/>
        </w:rPr>
        <w:t>Minimum Occupancy Requirement</w:t>
      </w:r>
      <w:r>
        <w:rPr>
          <w:rFonts w:ascii="Times New Roman" w:cs="Times New Roman" w:eastAsia="Times New Roman" w:hAnsi="Times New Roman"/>
          <w:sz w:val="19"/>
          <w:szCs w:val="19"/>
          <w:color w:val="auto"/>
        </w:rPr>
        <w:t>” shall be deemed satisfied if and only if the Premises include (a) at least 11,673 rentable square feet (as determined in accordance with the BOMA Standard), and</w:t>
      </w:r>
    </w:p>
    <w:p>
      <w:pPr>
        <w:spacing w:after="0" w:line="11" w:lineRule="exact"/>
        <w:rPr>
          <w:sz w:val="20"/>
          <w:szCs w:val="20"/>
          <w:color w:val="auto"/>
        </w:rPr>
      </w:pPr>
    </w:p>
    <w:p>
      <w:pPr>
        <w:ind w:left="1252" w:firstLine="8"/>
        <w:spacing w:after="0" w:line="246" w:lineRule="auto"/>
        <w:tabs>
          <w:tab w:leader="none" w:pos="154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has not been assigned more than once, and the Premises have not been subleased to more than one (1) other party, in each case other than pursuant to a Permitted Transfer.</w:t>
      </w:r>
    </w:p>
    <w:p>
      <w:pPr>
        <w:spacing w:after="0" w:line="205" w:lineRule="exact"/>
        <w:rPr>
          <w:sz w:val="20"/>
          <w:szCs w:val="20"/>
          <w:color w:val="auto"/>
        </w:rPr>
      </w:pPr>
    </w:p>
    <w:p>
      <w:pPr>
        <w:jc w:val="both"/>
        <w:ind w:left="1132" w:hanging="629"/>
        <w:spacing w:after="0" w:line="243" w:lineRule="auto"/>
        <w:tabs>
          <w:tab w:leader="none" w:pos="1112"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b w:val="1"/>
          <w:bCs w:val="1"/>
          <w:color w:val="auto"/>
        </w:rPr>
        <w:t xml:space="preserve">Landlord’s Approval. </w:t>
      </w:r>
      <w:r>
        <w:rPr>
          <w:rFonts w:ascii="Times New Roman" w:cs="Times New Roman" w:eastAsia="Times New Roman" w:hAnsi="Times New Roman"/>
          <w:sz w:val="20"/>
          <w:szCs w:val="20"/>
          <w:color w:val="auto"/>
        </w:rPr>
        <w:t>Any proposed Tenant’s Monument Signage shall comply with all applicable Laws and shall be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Landlord’s prior written consent. Without limitation, Landlord may withhold consent to any Tenant’s Monument Signage that, in Landlord’s sole judgment, is not harmonious with the design standards of the Building and Monument Sign, and Landlord may require that Tenant’s Monument Signage be of the same size and style as the other signage on the Monument Sign. To obtain Landlord’s consent, Tenant shall submit design drawings to Landlord showing the type and sizes of all lettering; the colors, finishes and types of materials used in Tenant’s Monument Signage; and (if applicable and Landlord consents thereto) any arrangements for illumination. Without limitation, Landlord may condition its consent to Tenant’s Monument Signage upon the obtaining of any permits or approvals necessary therefor, including any such permits or approvals required from any governmental agency or any applicable owners’ association or design review committee.</w:t>
      </w:r>
    </w:p>
    <w:p>
      <w:pPr>
        <w:spacing w:after="0" w:line="213" w:lineRule="exact"/>
        <w:rPr>
          <w:sz w:val="20"/>
          <w:szCs w:val="20"/>
          <w:color w:val="auto"/>
        </w:rPr>
      </w:pPr>
    </w:p>
    <w:p>
      <w:pPr>
        <w:jc w:val="both"/>
        <w:ind w:left="1232" w:hanging="629"/>
        <w:spacing w:after="0" w:line="245" w:lineRule="auto"/>
        <w:tabs>
          <w:tab w:leader="none" w:pos="1212"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0"/>
          <w:szCs w:val="20"/>
          <w:b w:val="1"/>
          <w:bCs w:val="1"/>
          <w:color w:val="auto"/>
        </w:rPr>
        <w:t xml:space="preserve">Fabrication; Installation; Maintenance; Removal; Costs. </w:t>
      </w:r>
      <w:r>
        <w:rPr>
          <w:rFonts w:ascii="Times New Roman" w:cs="Times New Roman" w:eastAsia="Times New Roman" w:hAnsi="Times New Roman"/>
          <w:sz w:val="20"/>
          <w:szCs w:val="20"/>
          <w:color w:val="auto"/>
        </w:rPr>
        <w:t>Landlord shall (a) fabricate (substantially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Tenant’s design approved by Landlord), install and, at the expiration or earlier termination of Tenant’s rights under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remove Tenant’s Monument Signage; and (b) maintain, repair, and (if applicable) illuminate the Monument Sign. Tenant shall reimburse Landlord, promptly upon demand, for (x) all costs incurred by Landlord in fabricating, installing or removing Tenant’s Monument Signage, and (y) Tenant’s pro rata share (as determined taking into account any other parties using the Monument Sign) of all costs incurred by Landlord in maintaining, repairing and (if applicable) illuminating the Monument Sign.</w:t>
      </w:r>
    </w:p>
    <w:p>
      <w:pPr>
        <w:spacing w:after="0" w:line="206" w:lineRule="exact"/>
        <w:rPr>
          <w:sz w:val="20"/>
          <w:szCs w:val="20"/>
          <w:color w:val="auto"/>
        </w:rPr>
      </w:pPr>
    </w:p>
    <w:p>
      <w:pPr>
        <w:jc w:val="right"/>
        <w:ind w:left="632" w:hanging="632"/>
        <w:spacing w:after="0" w:line="244" w:lineRule="auto"/>
        <w:tabs>
          <w:tab w:leader="none" w:pos="43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HAZARDOUS MATERIALS. </w:t>
      </w:r>
      <w:r>
        <w:rPr>
          <w:rFonts w:ascii="Times New Roman" w:cs="Times New Roman" w:eastAsia="Times New Roman" w:hAnsi="Times New Roman"/>
          <w:sz w:val="20"/>
          <w:szCs w:val="20"/>
          <w:color w:val="auto"/>
        </w:rPr>
        <w:t>Landlord represents, to its actual knowledge (without any duty of inquiry other than review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Phase I Environmental Site Assessment Report dated July 10, 2018 prepared by Partner Engineering and Science, Inc.), that the Building does not contain any asbestos-containing building materials or other Hazardous Materials (defined below) in amounts or conditions that violate applicable environmental laws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As used herein, “</w:t>
      </w:r>
      <w:r>
        <w:rPr>
          <w:rFonts w:ascii="Times New Roman" w:cs="Times New Roman" w:eastAsia="Times New Roman" w:hAnsi="Times New Roman"/>
          <w:sz w:val="20"/>
          <w:szCs w:val="20"/>
          <w:b w:val="1"/>
          <w:bCs w:val="1"/>
          <w:color w:val="auto"/>
        </w:rPr>
        <w:t>Hazardous Material</w:t>
      </w:r>
      <w:r>
        <w:rPr>
          <w:rFonts w:ascii="Times New Roman" w:cs="Times New Roman" w:eastAsia="Times New Roman" w:hAnsi="Times New Roman"/>
          <w:sz w:val="20"/>
          <w:szCs w:val="20"/>
          <w:color w:val="auto"/>
        </w:rPr>
        <w:t>” means any material or substance that is now or hereafter defined or regulated by any statute, regulation, ordinance, or governmental authority thereunder, as radioactive, toxic, hazardous, or waste, or a chemical known to the State of California to cause cancer or reproductive toxicity, including</w:t>
      </w:r>
    </w:p>
    <w:p>
      <w:pPr>
        <w:ind w:left="912" w:hanging="277"/>
        <w:spacing w:after="0"/>
        <w:tabs>
          <w:tab w:leader="none" w:pos="91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petroleum and any of its constituents or byproducts, (ii) radioactive materials, (iii) asbestos in any form or condition, and</w:t>
      </w:r>
    </w:p>
    <w:p>
      <w:pPr>
        <w:ind w:left="972" w:hanging="337"/>
        <w:spacing w:after="0"/>
        <w:tabs>
          <w:tab w:leader="none" w:pos="972"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substances or materials regulated by any of the</w:t>
      </w:r>
    </w:p>
    <w:p>
      <w:pPr>
        <w:sectPr>
          <w:pgSz w:w="11900" w:h="16838" w:orient="portrait"/>
          <w:cols w:equalWidth="0" w:num="1">
            <w:col w:w="11232"/>
          </w:cols>
          <w:pgMar w:left="328"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1"/>
          <w:szCs w:val="21"/>
          <w:color w:val="auto"/>
        </w:rPr>
        <w:t>Exhibit F - 11</w:t>
      </w:r>
    </w:p>
    <w:p>
      <w:pPr>
        <w:sectPr>
          <w:pgSz w:w="11900" w:h="16838" w:orient="portrait"/>
          <w:cols w:equalWidth="0" w:num="1">
            <w:col w:w="11232"/>
          </w:cols>
          <w:pgMar w:left="328" w:top="1409" w:right="339" w:bottom="1440" w:gutter="0" w:footer="0" w:header="0"/>
          <w:type w:val="continuous"/>
        </w:sectPr>
      </w:pPr>
    </w:p>
    <w:bookmarkStart w:id="161" w:name="page162"/>
    <w:bookmarkEnd w:id="161"/>
    <w:p>
      <w:pPr>
        <w:jc w:val="both"/>
        <w:ind w:left="632"/>
        <w:spacing w:after="0" w:line="246" w:lineRule="auto"/>
        <w:rPr>
          <w:sz w:val="20"/>
          <w:szCs w:val="20"/>
          <w:color w:val="auto"/>
        </w:rPr>
      </w:pPr>
      <w:r>
        <w:rPr>
          <w:rFonts w:ascii="Times New Roman" w:cs="Times New Roman" w:eastAsia="Times New Roman" w:hAnsi="Times New Roman"/>
          <w:sz w:val="20"/>
          <w:szCs w:val="20"/>
          <w:color w:val="auto"/>
        </w:rPr>
        <w:t>following, as amended from time to time, and any rules promulgated thereunder: the Comprehensive Environmental Response Compensation and Liability Act of 1980, 42 U.S.C. §§9601 et seq.; the Resource Conservation and Recovery Act, 42 U.S.C. §§6901, et seq.; the Toxic Substances Control Act, 15 U.S.C. §§2601, et seq.; the Clean Water Act, 33 U.S.C. §§1251 et seq; the Clean Air Act, 42 U.S.C. §§7401 et seq.; The California Health and Safety Code; The California Water Code; The California Labor Code; The California Public Resources Code; The California Fish and Game Code.</w:t>
      </w:r>
    </w:p>
    <w:p>
      <w:pPr>
        <w:spacing w:after="0" w:line="208" w:lineRule="exact"/>
        <w:rPr>
          <w:sz w:val="20"/>
          <w:szCs w:val="20"/>
          <w:color w:val="auto"/>
        </w:rPr>
      </w:pPr>
    </w:p>
    <w:p>
      <w:pPr>
        <w:ind w:left="452" w:hanging="452"/>
        <w:spacing w:after="0"/>
        <w:tabs>
          <w:tab w:leader="none" w:pos="45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ROOFTOP SPACE.</w:t>
      </w:r>
    </w:p>
    <w:p>
      <w:pPr>
        <w:spacing w:after="0" w:line="247" w:lineRule="exact"/>
        <w:rPr>
          <w:sz w:val="20"/>
          <w:szCs w:val="20"/>
          <w:color w:val="auto"/>
        </w:rPr>
      </w:pPr>
    </w:p>
    <w:p>
      <w:pPr>
        <w:jc w:val="both"/>
        <w:ind w:left="1292" w:hanging="647"/>
        <w:spacing w:after="0" w:line="246" w:lineRule="auto"/>
        <w:tabs>
          <w:tab w:leader="none" w:pos="1272" w:val="left"/>
        </w:tabs>
        <w:rPr>
          <w:sz w:val="20"/>
          <w:szCs w:val="20"/>
          <w:color w:val="auto"/>
        </w:rPr>
      </w:pPr>
      <w:r>
        <w:rPr>
          <w:rFonts w:ascii="Times New Roman" w:cs="Times New Roman" w:eastAsia="Times New Roman" w:hAnsi="Times New Roman"/>
          <w:sz w:val="20"/>
          <w:szCs w:val="20"/>
          <w:color w:val="auto"/>
        </w:rPr>
        <w:t>10.1.</w:t>
        <w:tab/>
        <w:t xml:space="preserve">Subject to the terms of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during the Term Tenant may use the Roof Space (defined below) for the purpose of installing, operating, maintaining and removing a 36- inch Dish/Antenna or other communication device approved by Landlord (the “</w:t>
      </w:r>
      <w:r>
        <w:rPr>
          <w:rFonts w:ascii="Times New Roman" w:cs="Times New Roman" w:eastAsia="Times New Roman" w:hAnsi="Times New Roman"/>
          <w:sz w:val="20"/>
          <w:szCs w:val="20"/>
          <w:b w:val="1"/>
          <w:bCs w:val="1"/>
          <w:color w:val="auto"/>
        </w:rPr>
        <w:t>Dish/Antenna</w:t>
      </w:r>
      <w:r>
        <w:rPr>
          <w:rFonts w:ascii="Times New Roman" w:cs="Times New Roman" w:eastAsia="Times New Roman" w:hAnsi="Times New Roman"/>
          <w:sz w:val="20"/>
          <w:szCs w:val="20"/>
          <w:color w:val="auto"/>
        </w:rPr>
        <w:t>”). As used herein, “</w:t>
      </w:r>
      <w:r>
        <w:rPr>
          <w:rFonts w:ascii="Times New Roman" w:cs="Times New Roman" w:eastAsia="Times New Roman" w:hAnsi="Times New Roman"/>
          <w:sz w:val="20"/>
          <w:szCs w:val="20"/>
          <w:b w:val="1"/>
          <w:bCs w:val="1"/>
          <w:color w:val="auto"/>
        </w:rPr>
        <w:t>Roof Space</w:t>
      </w:r>
      <w:r>
        <w:rPr>
          <w:rFonts w:ascii="Times New Roman" w:cs="Times New Roman" w:eastAsia="Times New Roman" w:hAnsi="Times New Roman"/>
          <w:sz w:val="20"/>
          <w:szCs w:val="20"/>
          <w:color w:val="auto"/>
        </w:rPr>
        <w:t>” means space on the roof of the Building, not exceeding 25 square feet in size, and otherwise reasonably designated by Landlord. Landlord may relocate the Roof Space from time to time as reasonably necessary during the Term.</w:t>
      </w:r>
    </w:p>
    <w:p>
      <w:pPr>
        <w:spacing w:after="0" w:line="212" w:lineRule="exact"/>
        <w:rPr>
          <w:sz w:val="20"/>
          <w:szCs w:val="20"/>
          <w:color w:val="auto"/>
        </w:rPr>
      </w:pPr>
    </w:p>
    <w:p>
      <w:pPr>
        <w:jc w:val="both"/>
        <w:ind w:left="1292" w:hanging="647"/>
        <w:spacing w:after="0" w:line="241" w:lineRule="auto"/>
        <w:tabs>
          <w:tab w:leader="none" w:pos="1272" w:val="left"/>
        </w:tabs>
        <w:rPr>
          <w:sz w:val="20"/>
          <w:szCs w:val="20"/>
          <w:color w:val="auto"/>
        </w:rPr>
      </w:pPr>
      <w:r>
        <w:rPr>
          <w:rFonts w:ascii="Times New Roman" w:cs="Times New Roman" w:eastAsia="Times New Roman" w:hAnsi="Times New Roman"/>
          <w:sz w:val="20"/>
          <w:szCs w:val="20"/>
          <w:color w:val="auto"/>
        </w:rPr>
        <w:t>10.2.</w:t>
        <w:tab/>
        <w:t xml:space="preserve">Tenant’s design and installation of the Dish/Antenna shall be subject to </w:t>
      </w:r>
      <w:r>
        <w:rPr>
          <w:rFonts w:ascii="Times New Roman" w:cs="Times New Roman" w:eastAsia="Times New Roman" w:hAnsi="Times New Roman"/>
          <w:sz w:val="20"/>
          <w:szCs w:val="20"/>
          <w:u w:val="single" w:color="auto"/>
          <w:color w:val="auto"/>
        </w:rPr>
        <w:t>Sections 6.2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of this Lease as if the Dish/Antenna were being installed in the Premises. Without limiting the foregoing, (a) Landlord shall have the right to approve Tenant’s plans and specifications for the Dish/Antenna, the manner in which the Dish/Antenna is attached to the roof of the Building, and the manner in which any cables are run to and from the Dish/Antenna, and (b) in any event the height of the Dish/Antenna shall not exceed 14 feet above the roof deck. Tenant shall be responsible for obtaining all necessary governmental and regulatory approvals and for the cost of installing, operating, maintaining and removing the Dish/Antenna. The Dish/Antenna shall be tagged with weatherproof labels showing manufacturer, model, frequency range, and Tenant’s name. All cable connected to the Dish/Antenna (the “</w:t>
      </w:r>
      <w:r>
        <w:rPr>
          <w:rFonts w:ascii="Times New Roman" w:cs="Times New Roman" w:eastAsia="Times New Roman" w:hAnsi="Times New Roman"/>
          <w:sz w:val="20"/>
          <w:szCs w:val="20"/>
          <w:b w:val="1"/>
          <w:bCs w:val="1"/>
          <w:color w:val="auto"/>
        </w:rPr>
        <w:t>Dish/Antenna Cable</w:t>
      </w:r>
      <w:r>
        <w:rPr>
          <w:rFonts w:ascii="Times New Roman" w:cs="Times New Roman" w:eastAsia="Times New Roman" w:hAnsi="Times New Roman"/>
          <w:sz w:val="20"/>
          <w:szCs w:val="20"/>
          <w:color w:val="auto"/>
        </w:rPr>
        <w:t>”) shall be tagged in the telecom closet on each floor with a label showing Tenant’s name, phone number and suite number. Tenant shall notify Landlord upon completion of the installation of the Dish/Antenna. If Landlord determines that the Dish/Antenna equipment does not comply with the approved plans and specifications, that the installation was defective, or that the Building has been damaged during installation of the Dish/Antenna, Tenant shall cure such defective condition promptly upon Landlord’s request. If Tenant fails to promptly perform such cure, Landlord may do so, in which event Tenant shall pay Landlord, upon demand, the reasonable cost of such cure. If at any time Landlord, in its sole discretion, deems it necessary, Tenant, at its expense, shall provide and install appropriate aesthetic screening, reasonably satisfactory to Landlord, for the Dish/Antenna (the “</w:t>
      </w:r>
      <w:r>
        <w:rPr>
          <w:rFonts w:ascii="Times New Roman" w:cs="Times New Roman" w:eastAsia="Times New Roman" w:hAnsi="Times New Roman"/>
          <w:sz w:val="20"/>
          <w:szCs w:val="20"/>
          <w:b w:val="1"/>
          <w:bCs w:val="1"/>
          <w:color w:val="auto"/>
        </w:rPr>
        <w:t>Aesthetic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Screening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92" w:hanging="647"/>
        <w:spacing w:after="0" w:line="245" w:lineRule="auto"/>
        <w:tabs>
          <w:tab w:leader="none" w:pos="1272" w:val="left"/>
        </w:tabs>
        <w:rPr>
          <w:sz w:val="20"/>
          <w:szCs w:val="20"/>
          <w:color w:val="auto"/>
        </w:rPr>
      </w:pPr>
      <w:r>
        <w:rPr>
          <w:rFonts w:ascii="Times New Roman" w:cs="Times New Roman" w:eastAsia="Times New Roman" w:hAnsi="Times New Roman"/>
          <w:sz w:val="20"/>
          <w:szCs w:val="20"/>
          <w:color w:val="auto"/>
        </w:rPr>
        <w:t>10.3.</w:t>
        <w:tab/>
        <w:t>Tenant, after reasonable notice to Landlord, may access the roof of the Building and the Roof Space for the purpose of installing, maintaining, repairing and removing the Dish/Antenna, Dish/Antenna Cable, the appurtenances and the Aesthetic Screening, if any (collectively, the “</w:t>
      </w:r>
      <w:r>
        <w:rPr>
          <w:rFonts w:ascii="Times New Roman" w:cs="Times New Roman" w:eastAsia="Times New Roman" w:hAnsi="Times New Roman"/>
          <w:sz w:val="20"/>
          <w:szCs w:val="20"/>
          <w:b w:val="1"/>
          <w:bCs w:val="1"/>
          <w:color w:val="auto"/>
        </w:rPr>
        <w:t>Dish/Antenna Items</w:t>
      </w:r>
      <w:r>
        <w:rPr>
          <w:rFonts w:ascii="Times New Roman" w:cs="Times New Roman" w:eastAsia="Times New Roman" w:hAnsi="Times New Roman"/>
          <w:sz w:val="20"/>
          <w:szCs w:val="20"/>
          <w:color w:val="auto"/>
        </w:rPr>
        <w:t>”). Notwithstanding the foregoing, only authorized engineers, employees or properly authorized contractors of Tenant, FCC inspectors, or persons under their direct supervision shall have access to the roof of the Building and the Roof Space. Tenant shall use diligent efforts to minimize the number of people having access to the roof of the Building and the Roof Space and the frequency of their visits.</w:t>
      </w:r>
    </w:p>
    <w:p>
      <w:pPr>
        <w:spacing w:after="0" w:line="211" w:lineRule="exact"/>
        <w:rPr>
          <w:sz w:val="20"/>
          <w:szCs w:val="20"/>
          <w:color w:val="auto"/>
        </w:rPr>
      </w:pPr>
    </w:p>
    <w:p>
      <w:pPr>
        <w:jc w:val="both"/>
        <w:ind w:left="1272" w:hanging="647"/>
        <w:spacing w:after="0" w:line="245" w:lineRule="auto"/>
        <w:tabs>
          <w:tab w:leader="none" w:pos="1252" w:val="left"/>
        </w:tabs>
        <w:rPr>
          <w:sz w:val="20"/>
          <w:szCs w:val="20"/>
          <w:color w:val="auto"/>
        </w:rPr>
      </w:pPr>
      <w:r>
        <w:rPr>
          <w:rFonts w:ascii="Times New Roman" w:cs="Times New Roman" w:eastAsia="Times New Roman" w:hAnsi="Times New Roman"/>
          <w:sz w:val="20"/>
          <w:szCs w:val="20"/>
          <w:color w:val="auto"/>
        </w:rPr>
        <w:t>10.4.</w:t>
        <w:tab/>
        <w:t xml:space="preserve">Tenant shall ensure that the installation, maintenance, operation and removal of the Dish/Antenna Items does not damage, or unreasonably interfere with Landlord’s or any other occupant’s use of, the Building or its roof. Notwithstanding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9.4</w:t>
      </w:r>
      <w:r>
        <w:rPr>
          <w:rFonts w:ascii="Times New Roman" w:cs="Times New Roman" w:eastAsia="Times New Roman" w:hAnsi="Times New Roman"/>
          <w:sz w:val="20"/>
          <w:szCs w:val="20"/>
          <w:color w:val="auto"/>
        </w:rPr>
        <w:t xml:space="preserve"> of this Lease, Tenant shall be responsible for any damage caused to the roof or any other part of the Building that may be caused by Tenant or any of its agents or representatives in exercising Tenant’s rights or performing Tenant’s obligations under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of this Lease, the Roof Space shall be deemed part of the Premises.</w:t>
      </w:r>
    </w:p>
    <w:p>
      <w:pPr>
        <w:spacing w:after="0" w:line="211" w:lineRule="exact"/>
        <w:rPr>
          <w:sz w:val="20"/>
          <w:szCs w:val="20"/>
          <w:color w:val="auto"/>
        </w:rPr>
      </w:pPr>
    </w:p>
    <w:p>
      <w:pPr>
        <w:jc w:val="both"/>
        <w:ind w:left="1292" w:hanging="647"/>
        <w:spacing w:after="0" w:line="249" w:lineRule="auto"/>
        <w:tabs>
          <w:tab w:leader="none" w:pos="1272" w:val="left"/>
        </w:tabs>
        <w:rPr>
          <w:sz w:val="20"/>
          <w:szCs w:val="20"/>
          <w:color w:val="auto"/>
        </w:rPr>
      </w:pPr>
      <w:r>
        <w:rPr>
          <w:rFonts w:ascii="Times New Roman" w:cs="Times New Roman" w:eastAsia="Times New Roman" w:hAnsi="Times New Roman"/>
          <w:sz w:val="20"/>
          <w:szCs w:val="20"/>
          <w:color w:val="auto"/>
        </w:rPr>
        <w:t>10.5.</w:t>
        <w:tab/>
        <w:t>Tenant shall install only equipment of types and frequencies that will not unreasonably interfere with Landlord or existing tenants of the Building. If Tenant’s equipment causes such interference, Tenant shall change the frequency on which it transmits and/or receives and take any other steps necessary to eliminate the interference. If, in Landlord’s reasonable judgment, such interference cannot be eliminated within a</w:t>
      </w:r>
    </w:p>
    <w:p>
      <w:pPr>
        <w:sectPr>
          <w:pgSz w:w="11900" w:h="16838" w:orient="portrait"/>
          <w:cols w:equalWidth="0" w:num="1">
            <w:col w:w="11232"/>
          </w:cols>
          <w:pgMar w:left="328"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1"/>
          <w:szCs w:val="21"/>
          <w:color w:val="auto"/>
        </w:rPr>
        <w:t>Exhibit F - 12</w:t>
      </w:r>
    </w:p>
    <w:p>
      <w:pPr>
        <w:sectPr>
          <w:pgSz w:w="11900" w:h="16838" w:orient="portrait"/>
          <w:cols w:equalWidth="0" w:num="1">
            <w:col w:w="11232"/>
          </w:cols>
          <w:pgMar w:left="328" w:top="1413" w:right="339" w:bottom="1440" w:gutter="0" w:footer="0" w:header="0"/>
          <w:type w:val="continuous"/>
        </w:sectPr>
      </w:pPr>
    </w:p>
    <w:bookmarkStart w:id="162" w:name="page163"/>
    <w:bookmarkEnd w:id="162"/>
    <w:p>
      <w:pPr>
        <w:ind w:left="180" w:right="20"/>
        <w:spacing w:after="0" w:line="269" w:lineRule="auto"/>
        <w:rPr>
          <w:sz w:val="20"/>
          <w:szCs w:val="20"/>
          <w:color w:val="auto"/>
        </w:rPr>
      </w:pPr>
      <w:r>
        <w:rPr>
          <w:rFonts w:ascii="Times New Roman" w:cs="Times New Roman" w:eastAsia="Times New Roman" w:hAnsi="Times New Roman"/>
          <w:sz w:val="20"/>
          <w:szCs w:val="20"/>
          <w:color w:val="auto"/>
        </w:rPr>
        <w:t>reasonable period of time, Tenant shall remove the Dish/Antenna from the Roof Space and remove such other Dish/Antenna Items as Landlord may request.</w:t>
      </w:r>
    </w:p>
    <w:p>
      <w:pPr>
        <w:spacing w:after="0" w:line="186" w:lineRule="exact"/>
        <w:rPr>
          <w:sz w:val="20"/>
          <w:szCs w:val="20"/>
          <w:color w:val="auto"/>
        </w:rPr>
      </w:pPr>
    </w:p>
    <w:p>
      <w:pPr>
        <w:jc w:val="both"/>
        <w:ind w:left="160" w:hanging="647"/>
        <w:spacing w:after="0" w:line="241" w:lineRule="auto"/>
        <w:tabs>
          <w:tab w:leader="none" w:pos="140" w:val="left"/>
        </w:tabs>
        <w:rPr>
          <w:sz w:val="20"/>
          <w:szCs w:val="20"/>
          <w:color w:val="auto"/>
        </w:rPr>
      </w:pPr>
      <w:r>
        <w:rPr>
          <w:rFonts w:ascii="Times New Roman" w:cs="Times New Roman" w:eastAsia="Times New Roman" w:hAnsi="Times New Roman"/>
          <w:sz w:val="20"/>
          <w:szCs w:val="20"/>
          <w:color w:val="auto"/>
        </w:rPr>
        <w:t>10.6.</w:t>
        <w:tab/>
        <w:t>Tenant, at its expense, shall install, operate and maintain the Dish/Antenna Items in a good and workmanlike manner, and in compliance with all Building, electric, communication, and safety codes, ordinances, standards, regulations and requirements, now in effect or hereafter promulgated, of the Federal Government, including the Federal Communications Commission (the “</w:t>
      </w:r>
      <w:r>
        <w:rPr>
          <w:rFonts w:ascii="Times New Roman" w:cs="Times New Roman" w:eastAsia="Times New Roman" w:hAnsi="Times New Roman"/>
          <w:sz w:val="20"/>
          <w:szCs w:val="20"/>
          <w:b w:val="1"/>
          <w:bCs w:val="1"/>
          <w:color w:val="auto"/>
        </w:rPr>
        <w:t>FCC</w:t>
      </w:r>
      <w:r>
        <w:rPr>
          <w:rFonts w:ascii="Times New Roman" w:cs="Times New Roman" w:eastAsia="Times New Roman" w:hAnsi="Times New Roman"/>
          <w:sz w:val="20"/>
          <w:szCs w:val="20"/>
          <w:color w:val="auto"/>
        </w:rPr>
        <w:t>”), the Federal Aviation Administration (“</w:t>
      </w:r>
      <w:r>
        <w:rPr>
          <w:rFonts w:ascii="Times New Roman" w:cs="Times New Roman" w:eastAsia="Times New Roman" w:hAnsi="Times New Roman"/>
          <w:sz w:val="20"/>
          <w:szCs w:val="20"/>
          <w:b w:val="1"/>
          <w:bCs w:val="1"/>
          <w:color w:val="auto"/>
        </w:rPr>
        <w:t>FAA</w:t>
      </w:r>
      <w:r>
        <w:rPr>
          <w:rFonts w:ascii="Times New Roman" w:cs="Times New Roman" w:eastAsia="Times New Roman" w:hAnsi="Times New Roman"/>
          <w:sz w:val="20"/>
          <w:szCs w:val="20"/>
          <w:color w:val="auto"/>
        </w:rPr>
        <w:t>”) or any successor agency of either the FCC or FAA having jurisdiction over radio or telecommunications, and of the state, city and county in which the Building is located. No Landlord Party shall be responsible for any licensing, operation or maintenance of Tenant’s equipment. Tenant shall be responsible for performing any obligations under its FCC license. The Dish/Antenna shall be connected to Landlord’s power supply in strict compliance with all applicable Building, electrical, fire and safety codes. No Landlord Party shall be liable for any stoppage or shortage of electrical power furnished to the Dish/Antenna or the Roof Space because of (i) any act, omission or requirement of the public utility serving the Building, (ii) any act or omission of any other tenant, invitee or licensee or their respective agents, employees or contractors, or (iii) any other cause beyond Landlord’s reasonable control, and Tenant shall not be entitled to any rental abatement for any such stoppage or shortage of electrical power. No Landlord Party shall have any liability for the conduct or safety of any of Tenant’s representatives, repair, maintenance and engineering personnel while in or on any part of the Building or the Roof Space.</w:t>
      </w:r>
    </w:p>
    <w:p>
      <w:pPr>
        <w:spacing w:after="0" w:line="223" w:lineRule="exact"/>
        <w:rPr>
          <w:sz w:val="20"/>
          <w:szCs w:val="20"/>
          <w:color w:val="auto"/>
        </w:rPr>
      </w:pPr>
    </w:p>
    <w:p>
      <w:pPr>
        <w:jc w:val="both"/>
        <w:ind w:left="160" w:hanging="647"/>
        <w:spacing w:after="0" w:line="244" w:lineRule="auto"/>
        <w:tabs>
          <w:tab w:leader="none" w:pos="140" w:val="left"/>
        </w:tabs>
        <w:rPr>
          <w:sz w:val="20"/>
          <w:szCs w:val="20"/>
          <w:color w:val="auto"/>
        </w:rPr>
      </w:pPr>
      <w:r>
        <w:rPr>
          <w:rFonts w:ascii="Times New Roman" w:cs="Times New Roman" w:eastAsia="Times New Roman" w:hAnsi="Times New Roman"/>
          <w:sz w:val="20"/>
          <w:szCs w:val="20"/>
          <w:color w:val="auto"/>
        </w:rPr>
        <w:t>10.7.</w:t>
        <w:tab/>
        <w:t>The Dish/Antenna Items shall remain the personal property of Tenant, and shall be removed by Tenant at its own expense at the expiration or earlier termination of this Lease or Tenant’s right to possession hereunder. Tenant shall repair any damage caused by such removal, including by patching any holes to match, as closely as possible, the color surrounding the area where the equipment and appurtenances were attached. Tenant shall maintain the Dish/Antenna Items in a safe and aesthetically satisfactory condition, as reasonably determined by Landlord, and in good operating condition. Tenant shall keep the roof of the Building and the Roof Space free of all trash or waste materials produced by Tenant or Tenant’s agents, employees or contractors.</w:t>
      </w:r>
    </w:p>
    <w:p>
      <w:pPr>
        <w:spacing w:after="0" w:line="213" w:lineRule="exact"/>
        <w:rPr>
          <w:sz w:val="20"/>
          <w:szCs w:val="20"/>
          <w:color w:val="auto"/>
        </w:rPr>
      </w:pPr>
    </w:p>
    <w:p>
      <w:pPr>
        <w:jc w:val="both"/>
        <w:ind w:left="180" w:hanging="647"/>
        <w:spacing w:after="0" w:line="244" w:lineRule="auto"/>
        <w:tabs>
          <w:tab w:leader="none" w:pos="160" w:val="left"/>
        </w:tabs>
        <w:rPr>
          <w:sz w:val="20"/>
          <w:szCs w:val="20"/>
          <w:color w:val="auto"/>
        </w:rPr>
      </w:pPr>
      <w:r>
        <w:rPr>
          <w:rFonts w:ascii="Times New Roman" w:cs="Times New Roman" w:eastAsia="Times New Roman" w:hAnsi="Times New Roman"/>
          <w:sz w:val="20"/>
          <w:szCs w:val="20"/>
          <w:color w:val="auto"/>
        </w:rPr>
        <w:t>10.8.</w:t>
        <w:tab/>
        <w:t>Before commencing any installation, operation, repair or removal of the Dish/Antenna Items, Tenant shall (a) obtain Landlord’s reasonable approval of the service provider retained to perform such work for Tenant, and (b) notify Landlord of such work and coordinate such work with Landlord in order to avoid impairing any warranties relating to the roof. For the performance of any such work affecting the roof, Tenant, upon Landlord’s request, shall, at Tenant’s expense, retain (or cause its contractor to retain) any contractor having a then existing warranty in effect relating to the roof. Except in an emergency, Landlord shall notify Tenant 30 days before commencing any roof repairs that could interrupt Tenant’s telecommunication service or otherwise adversely affect Tenant’s Dish/Antenna.</w:t>
      </w:r>
    </w:p>
    <w:p>
      <w:pPr>
        <w:spacing w:after="0" w:line="209"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Times New Roman" w:cs="Times New Roman" w:eastAsia="Times New Roman" w:hAnsi="Times New Roman"/>
          <w:sz w:val="20"/>
          <w:szCs w:val="20"/>
          <w:color w:val="auto"/>
        </w:rPr>
        <w:t>10.9.</w:t>
        <w:tab/>
        <w:t>Tenant shall not allow any provider of telecommunication, video, data or related services (“</w:t>
      </w:r>
      <w:r>
        <w:rPr>
          <w:rFonts w:ascii="Times New Roman" w:cs="Times New Roman" w:eastAsia="Times New Roman" w:hAnsi="Times New Roman"/>
          <w:sz w:val="20"/>
          <w:szCs w:val="20"/>
          <w:b w:val="1"/>
          <w:bCs w:val="1"/>
          <w:color w:val="auto"/>
        </w:rPr>
        <w:t>Communication Services</w:t>
      </w:r>
      <w:r>
        <w:rPr>
          <w:rFonts w:ascii="Times New Roman" w:cs="Times New Roman" w:eastAsia="Times New Roman" w:hAnsi="Times New Roman"/>
          <w:sz w:val="20"/>
          <w:szCs w:val="20"/>
          <w:color w:val="auto"/>
        </w:rPr>
        <w:t>”) to locate any equipment on the roof of the Building or in the Roof Space for any purpose, nor may Tenant use the Roof Space and/or Dish/Antenna to provide Communication Services to an unaffiliated tenant, occupant or licensee of another building, or to facilitate the provision of Communication Services on behalf of another Communication Services provider to an unaffiliated tenant, occupant or licensee of the Building or any other building.</w:t>
      </w:r>
    </w:p>
    <w:p>
      <w:pPr>
        <w:spacing w:after="0" w:line="211"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0"/>
          <w:szCs w:val="20"/>
          <w:color w:val="auto"/>
        </w:rPr>
        <w:t>10.10.</w:t>
        <w:tab/>
        <w:t xml:space="preserve">If a Default occurs as a result of any failure by Tenant to perform any obligation under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Landlord, without limiting any other rights or remedies, may remove all or any of the Dish/Antenna Items and restore the Building and the Roof Space to the conditions existing before the Dish/Antenna Items were installed, in which event Tenant shall reimburse Landlord, upon demand, for all reasonable expenses of such removal and restoration.</w:t>
      </w:r>
    </w:p>
    <w:p>
      <w:pPr>
        <w:spacing w:after="0" w:line="207"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20"/>
          <w:szCs w:val="20"/>
          <w:color w:val="auto"/>
        </w:rPr>
        <w:t>10.11.</w:t>
        <w:tab/>
        <w:t xml:space="preserve">Tenant’s rights under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may not be transferred to any other party except in connection with a Transfer permitted under this Lease. If Landlord establishes a standard license agreement with respect to the use of roof space by tenants of the Building, Tenant, upon Landlord’s request, shall enter into such license agreement with Landlord provided</w:t>
      </w:r>
    </w:p>
    <w:p>
      <w:pPr>
        <w:sectPr>
          <w:pgSz w:w="11900" w:h="16838" w:orient="portrait"/>
          <w:cols w:equalWidth="0" w:num="1">
            <w:col w:w="10120"/>
          </w:cols>
          <w:pgMar w:left="14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Exhibit F - 13</w:t>
      </w:r>
    </w:p>
    <w:p>
      <w:pPr>
        <w:sectPr>
          <w:pgSz w:w="11900" w:h="16838" w:orient="portrait"/>
          <w:cols w:equalWidth="0" w:num="1">
            <w:col w:w="10120"/>
          </w:cols>
          <w:pgMar w:left="1440" w:top="1413" w:right="339" w:bottom="1440" w:gutter="0" w:footer="0" w:header="0"/>
          <w:type w:val="continuous"/>
        </w:sectPr>
      </w:pPr>
    </w:p>
    <w:bookmarkStart w:id="163" w:name="page164"/>
    <w:bookmarkEnd w:id="163"/>
    <w:p>
      <w:pPr>
        <w:ind w:left="1292"/>
        <w:spacing w:after="0"/>
        <w:rPr>
          <w:sz w:val="20"/>
          <w:szCs w:val="20"/>
          <w:color w:val="auto"/>
        </w:rPr>
      </w:pPr>
      <w:r>
        <w:rPr>
          <w:rFonts w:ascii="Times New Roman" w:cs="Times New Roman" w:eastAsia="Times New Roman" w:hAnsi="Times New Roman"/>
          <w:sz w:val="19"/>
          <w:szCs w:val="19"/>
          <w:color w:val="auto"/>
        </w:rPr>
        <w:t xml:space="preserve">that such license agreement does not materially reduce Tenant’s rights or increase Tenant’s obligations under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ind w:left="432" w:hanging="432"/>
        <w:spacing w:after="0"/>
        <w:tabs>
          <w:tab w:leader="none" w:pos="43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STORAGE SPACE.</w:t>
      </w:r>
    </w:p>
    <w:p>
      <w:pPr>
        <w:spacing w:after="0" w:line="247" w:lineRule="exact"/>
        <w:rPr>
          <w:sz w:val="20"/>
          <w:szCs w:val="20"/>
          <w:color w:val="auto"/>
        </w:rPr>
      </w:pPr>
    </w:p>
    <w:p>
      <w:pPr>
        <w:jc w:val="both"/>
        <w:ind w:left="1292" w:hanging="647"/>
        <w:spacing w:after="0" w:line="242" w:lineRule="auto"/>
        <w:tabs>
          <w:tab w:leader="none" w:pos="1272" w:val="left"/>
        </w:tabs>
        <w:rPr>
          <w:sz w:val="20"/>
          <w:szCs w:val="20"/>
          <w:color w:val="auto"/>
        </w:rPr>
      </w:pPr>
      <w:r>
        <w:rPr>
          <w:rFonts w:ascii="Times New Roman" w:cs="Times New Roman" w:eastAsia="Times New Roman" w:hAnsi="Times New Roman"/>
          <w:sz w:val="20"/>
          <w:szCs w:val="20"/>
          <w:color w:val="auto"/>
        </w:rPr>
        <w:t>11.1.</w:t>
        <w:tab/>
        <w:t>Landlord shall lease to Tenant, and Tenant shall lease from Landlord, storage the space containing between 200 and 300 square feet located in or beneath the Building selected by Landlord (the “</w:t>
      </w:r>
      <w:r>
        <w:rPr>
          <w:rFonts w:ascii="Times New Roman" w:cs="Times New Roman" w:eastAsia="Times New Roman" w:hAnsi="Times New Roman"/>
          <w:sz w:val="20"/>
          <w:szCs w:val="20"/>
          <w:b w:val="1"/>
          <w:bCs w:val="1"/>
          <w:color w:val="auto"/>
        </w:rPr>
        <w:t>Storage Space</w:t>
      </w:r>
      <w:r>
        <w:rPr>
          <w:rFonts w:ascii="Times New Roman" w:cs="Times New Roman" w:eastAsia="Times New Roman" w:hAnsi="Times New Roman"/>
          <w:sz w:val="20"/>
          <w:szCs w:val="20"/>
          <w:color w:val="auto"/>
        </w:rPr>
        <w:t>”), during the period (the “</w:t>
      </w:r>
      <w:r>
        <w:rPr>
          <w:rFonts w:ascii="Times New Roman" w:cs="Times New Roman" w:eastAsia="Times New Roman" w:hAnsi="Times New Roman"/>
          <w:sz w:val="20"/>
          <w:szCs w:val="20"/>
          <w:b w:val="1"/>
          <w:bCs w:val="1"/>
          <w:color w:val="auto"/>
        </w:rPr>
        <w:t>Storage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commencing on the Storage Commencement Date and ending on the earlier of the date of expiration of this Lease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earlier date, if any, identified by Tenant, at least 30 days in advance, in a notice to Landlord terminating the Storage Term (the “</w:t>
      </w:r>
      <w:r>
        <w:rPr>
          <w:rFonts w:ascii="Times New Roman" w:cs="Times New Roman" w:eastAsia="Times New Roman" w:hAnsi="Times New Roman"/>
          <w:sz w:val="20"/>
          <w:szCs w:val="20"/>
          <w:b w:val="1"/>
          <w:bCs w:val="1"/>
          <w:color w:val="auto"/>
        </w:rPr>
        <w:t>Storage Expiration Date</w:t>
      </w:r>
      <w:r>
        <w:rPr>
          <w:rFonts w:ascii="Times New Roman" w:cs="Times New Roman" w:eastAsia="Times New Roman" w:hAnsi="Times New Roman"/>
          <w:sz w:val="20"/>
          <w:szCs w:val="20"/>
          <w:color w:val="auto"/>
        </w:rPr>
        <w:t>”). As used herein, “</w:t>
      </w:r>
      <w:r>
        <w:rPr>
          <w:rFonts w:ascii="Times New Roman" w:cs="Times New Roman" w:eastAsia="Times New Roman" w:hAnsi="Times New Roman"/>
          <w:sz w:val="20"/>
          <w:szCs w:val="20"/>
          <w:b w:val="1"/>
          <w:bCs w:val="1"/>
          <w:color w:val="auto"/>
        </w:rPr>
        <w:t>Storage Commencement Date</w:t>
      </w:r>
      <w:r>
        <w:rPr>
          <w:rFonts w:ascii="Times New Roman" w:cs="Times New Roman" w:eastAsia="Times New Roman" w:hAnsi="Times New Roman"/>
          <w:sz w:val="20"/>
          <w:szCs w:val="20"/>
          <w:color w:val="auto"/>
        </w:rPr>
        <w:t xml:space="preserve">” means the date, if any, identified by Tenant, at least 30 days in advance, in a notice to Landlord commencing the Storage Term. Notwithstanding any contrary provision hereof, (a) if Tenant fails to identify a Storage Commencement Date in accordance with the immediately preceding sentence within one (1) year after the Commencement Date, Tenant’s rights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shall terminate and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shall have no further force or effect; and (b) if the Lease or Tenant’s right to possession of the Premises thereunder expires or terminates before the Storage Expiration Date, as same may be extended herein, then the Storage Expiration Date shall be such earlier expiration or termination date.</w:t>
      </w:r>
    </w:p>
    <w:p>
      <w:pPr>
        <w:spacing w:after="0" w:line="217" w:lineRule="exact"/>
        <w:rPr>
          <w:sz w:val="20"/>
          <w:szCs w:val="20"/>
          <w:color w:val="auto"/>
        </w:rPr>
      </w:pPr>
    </w:p>
    <w:p>
      <w:pPr>
        <w:jc w:val="both"/>
        <w:ind w:left="1292" w:hanging="647"/>
        <w:spacing w:after="0" w:line="241" w:lineRule="auto"/>
        <w:tabs>
          <w:tab w:leader="none" w:pos="1272" w:val="left"/>
        </w:tabs>
        <w:rPr>
          <w:sz w:val="20"/>
          <w:szCs w:val="20"/>
          <w:color w:val="auto"/>
        </w:rPr>
      </w:pPr>
      <w:r>
        <w:rPr>
          <w:rFonts w:ascii="Times New Roman" w:cs="Times New Roman" w:eastAsia="Times New Roman" w:hAnsi="Times New Roman"/>
          <w:sz w:val="20"/>
          <w:szCs w:val="20"/>
          <w:color w:val="auto"/>
        </w:rPr>
        <w:t>11.2.</w:t>
        <w:tab/>
        <w:t>The Storage Space shall be used by Tenant for the storage of equipment, inventory or other non-perishable items normally used in Tenant’s business, and for no other purpose whatsoever. Tenant agrees to keep the Storage Space in a neat and orderly fashion and to keep all stored items in cartons, file cabinets or other suitable containers. Landlord shall have the right to designate the location within the Storage Space of any items to be placed therein. All items stored in the Storage Space shall be at least 18 inches below the bottom of all sprinklers located in the ceiling of the Storage Space, if any. Tenant shall not store anything in the Storage Space which is unsafe or which otherwise may create a hazardous condition, or which may increase Landlord’s insurance rates, or cause a cancellation or modification of Landlord’s insurance coverage. Without limitation, Tenant shall not store any flammable, combustible or explosive fluid, chemical or substance nor any perishable food or beverage products, except with Landlord’s prior written approval. Landlord reserves the right to adopt and enforce reasonable rules and regulations governing the use of the Storage Space from time to time. Upon expiration or earlier termination of Tenant’s rights to the Storage Space, Tenant shall completely vacate and surrender the Storage Space to Landlord in the condition in which it was delivered to Tenant, ordinary wear and tear excepted, broom-clean and empty of all personalty and other items placed therein by or on behalf of Tenant.</w:t>
      </w:r>
    </w:p>
    <w:p>
      <w:pPr>
        <w:spacing w:after="0" w:line="220" w:lineRule="exact"/>
        <w:rPr>
          <w:sz w:val="20"/>
          <w:szCs w:val="20"/>
          <w:color w:val="auto"/>
        </w:rPr>
      </w:pPr>
    </w:p>
    <w:p>
      <w:pPr>
        <w:jc w:val="both"/>
        <w:ind w:left="1272" w:hanging="647"/>
        <w:spacing w:after="0" w:line="276" w:lineRule="auto"/>
        <w:tabs>
          <w:tab w:leader="none" w:pos="1252"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Tenant shall pay rent for the Storage Space (“</w:t>
      </w:r>
      <w:r>
        <w:rPr>
          <w:rFonts w:ascii="Times New Roman" w:cs="Times New Roman" w:eastAsia="Times New Roman" w:hAnsi="Times New Roman"/>
          <w:sz w:val="19"/>
          <w:szCs w:val="19"/>
          <w:b w:val="1"/>
          <w:bCs w:val="1"/>
          <w:color w:val="auto"/>
        </w:rPr>
        <w:t>Storage Base Rent</w:t>
      </w:r>
      <w:r>
        <w:rPr>
          <w:rFonts w:ascii="Times New Roman" w:cs="Times New Roman" w:eastAsia="Times New Roman" w:hAnsi="Times New Roman"/>
          <w:sz w:val="19"/>
          <w:szCs w:val="19"/>
          <w:color w:val="auto"/>
        </w:rPr>
        <w:t xml:space="preserve">”) in the amount of </w:t>
      </w:r>
      <w:r>
        <w:rPr>
          <w:rFonts w:ascii="Times New Roman" w:cs="Times New Roman" w:eastAsia="Times New Roman" w:hAnsi="Times New Roman"/>
          <w:sz w:val="19"/>
          <w:szCs w:val="19"/>
          <w:b w:val="1"/>
          <w:bCs w:val="1"/>
          <w:color w:val="auto"/>
        </w:rPr>
        <w:t>$1.75</w:t>
      </w:r>
      <w:r>
        <w:rPr>
          <w:rFonts w:ascii="Times New Roman" w:cs="Times New Roman" w:eastAsia="Times New Roman" w:hAnsi="Times New Roman"/>
          <w:sz w:val="19"/>
          <w:szCs w:val="19"/>
          <w:color w:val="auto"/>
        </w:rPr>
        <w:t xml:space="preserve"> per square foot of Storage Space per month, payable in advance on or before the first day of each month of the Term. Any partial month shall be appropriately prorated. All Storage Base Rent shall be payable in the same manner that Base Rent is payable under this Lease.</w:t>
      </w:r>
    </w:p>
    <w:p>
      <w:pPr>
        <w:spacing w:after="0" w:line="182" w:lineRule="exact"/>
        <w:rPr>
          <w:sz w:val="20"/>
          <w:szCs w:val="20"/>
          <w:color w:val="auto"/>
        </w:rPr>
      </w:pPr>
    </w:p>
    <w:p>
      <w:pPr>
        <w:jc w:val="both"/>
        <w:ind w:left="1292" w:hanging="647"/>
        <w:spacing w:after="0" w:line="245" w:lineRule="auto"/>
        <w:tabs>
          <w:tab w:leader="none" w:pos="1272" w:val="left"/>
        </w:tabs>
        <w:rPr>
          <w:sz w:val="20"/>
          <w:szCs w:val="20"/>
          <w:color w:val="auto"/>
        </w:rPr>
      </w:pPr>
      <w:r>
        <w:rPr>
          <w:rFonts w:ascii="Times New Roman" w:cs="Times New Roman" w:eastAsia="Times New Roman" w:hAnsi="Times New Roman"/>
          <w:sz w:val="20"/>
          <w:szCs w:val="20"/>
          <w:color w:val="auto"/>
        </w:rPr>
        <w:t>11.4.</w:t>
        <w:tab/>
        <w:t xml:space="preserve">All terms and provisions (including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of this Lease shall apply to the Storage Space; provided, however, that notwithstanding any contrary provision hereof, (a) the Storage Space shall not be included in the determination of Tenant’s Share, (b) Landlord shall not be required to provide air-cooling, heat, water, janitorial service, cleaning or window washing to the Storage Space, (c) Tenant shall not be entitled to receive any work allowances or rent credits with respect to the Storage Space, and (d) Landlord may withhold or condition its consent to any alteration or improvement to the Storage Space in its reasonable discretion.</w:t>
      </w:r>
    </w:p>
    <w:p>
      <w:pPr>
        <w:spacing w:after="0" w:line="211" w:lineRule="exact"/>
        <w:rPr>
          <w:sz w:val="20"/>
          <w:szCs w:val="20"/>
          <w:color w:val="auto"/>
        </w:rPr>
      </w:pPr>
    </w:p>
    <w:p>
      <w:pPr>
        <w:ind w:left="652"/>
        <w:spacing w:after="0"/>
        <w:tabs>
          <w:tab w:leader="none" w:pos="1212"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Tenant agrees to accept the Storage Space in its condition and “as-built” configuration existing on the date hereof.</w:t>
      </w:r>
    </w:p>
    <w:p>
      <w:pPr>
        <w:spacing w:after="0" w:line="243" w:lineRule="exact"/>
        <w:rPr>
          <w:sz w:val="20"/>
          <w:szCs w:val="20"/>
          <w:color w:val="auto"/>
        </w:rPr>
      </w:pPr>
    </w:p>
    <w:p>
      <w:pPr>
        <w:jc w:val="both"/>
        <w:ind w:left="1252" w:hanging="647"/>
        <w:spacing w:after="0" w:line="254" w:lineRule="auto"/>
        <w:tabs>
          <w:tab w:leader="none" w:pos="1232" w:val="left"/>
        </w:tabs>
        <w:rPr>
          <w:sz w:val="20"/>
          <w:szCs w:val="20"/>
          <w:color w:val="auto"/>
        </w:rPr>
      </w:pPr>
      <w:r>
        <w:rPr>
          <w:rFonts w:ascii="Times New Roman" w:cs="Times New Roman" w:eastAsia="Times New Roman" w:hAnsi="Times New Roman"/>
          <w:sz w:val="20"/>
          <w:szCs w:val="20"/>
          <w:color w:val="auto"/>
        </w:rPr>
        <w:t>11.6.</w:t>
        <w:tab/>
        <w:t>At any time and from time to time, Landlord shall have the right to relocate the Storage Space to a new location which shall be no smaller than the square footage of the Storage Space. Landlord shall pay the direct, out-of-pocket, reasonable expenses of such relocation.</w:t>
      </w:r>
    </w:p>
    <w:p>
      <w:pPr>
        <w:spacing w:after="0" w:line="201" w:lineRule="exact"/>
        <w:rPr>
          <w:sz w:val="20"/>
          <w:szCs w:val="20"/>
          <w:color w:val="auto"/>
        </w:rPr>
      </w:pPr>
    </w:p>
    <w:p>
      <w:pPr>
        <w:jc w:val="both"/>
        <w:ind w:left="1252" w:hanging="647"/>
        <w:spacing w:after="0" w:line="269" w:lineRule="auto"/>
        <w:tabs>
          <w:tab w:leader="none" w:pos="1232" w:val="left"/>
        </w:tabs>
        <w:rPr>
          <w:sz w:val="20"/>
          <w:szCs w:val="20"/>
          <w:color w:val="auto"/>
        </w:rPr>
      </w:pPr>
      <w:r>
        <w:rPr>
          <w:rFonts w:ascii="Times New Roman" w:cs="Times New Roman" w:eastAsia="Times New Roman" w:hAnsi="Times New Roman"/>
          <w:sz w:val="20"/>
          <w:szCs w:val="20"/>
          <w:color w:val="auto"/>
        </w:rPr>
        <w:t>11.7.</w:t>
        <w:tab/>
        <w:t xml:space="preserve">Tenant’s rights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may not be transferred to any other party except in connection with a Transfer permitted under this Lease.</w:t>
      </w:r>
    </w:p>
    <w:p>
      <w:pPr>
        <w:sectPr>
          <w:pgSz w:w="11900" w:h="16838" w:orient="portrait"/>
          <w:cols w:equalWidth="0" w:num="1">
            <w:col w:w="11232"/>
          </w:cols>
          <w:pgMar w:left="328"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1"/>
          <w:szCs w:val="21"/>
          <w:color w:val="auto"/>
        </w:rPr>
        <w:t>Exhibit F - 14</w:t>
      </w:r>
    </w:p>
    <w:p>
      <w:pPr>
        <w:sectPr>
          <w:pgSz w:w="11900" w:h="16838" w:orient="portrait"/>
          <w:cols w:equalWidth="0" w:num="1">
            <w:col w:w="11232"/>
          </w:cols>
          <w:pgMar w:left="328" w:top="1413" w:right="339" w:bottom="1440" w:gutter="0" w:footer="0" w:header="0"/>
          <w:type w:val="continuous"/>
        </w:sectPr>
      </w:pPr>
    </w:p>
    <w:bookmarkStart w:id="164" w:name="page165"/>
    <w:bookmarkEnd w:id="164"/>
    <w:p>
      <w:pPr>
        <w:spacing w:after="0" w:line="212" w:lineRule="exact"/>
        <w:rPr>
          <w:sz w:val="20"/>
          <w:szCs w:val="20"/>
          <w:color w:val="auto"/>
        </w:rPr>
      </w:pPr>
    </w:p>
    <w:p>
      <w:pPr>
        <w:ind w:left="452" w:hanging="452"/>
        <w:spacing w:after="0"/>
        <w:tabs>
          <w:tab w:leader="none" w:pos="45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PETS.</w:t>
      </w:r>
    </w:p>
    <w:p>
      <w:pPr>
        <w:spacing w:after="0" w:line="243" w:lineRule="exact"/>
        <w:rPr>
          <w:sz w:val="20"/>
          <w:szCs w:val="20"/>
          <w:color w:val="auto"/>
        </w:rPr>
      </w:pPr>
    </w:p>
    <w:p>
      <w:pPr>
        <w:jc w:val="both"/>
        <w:ind w:left="1232" w:hanging="647"/>
        <w:spacing w:after="0" w:line="243" w:lineRule="auto"/>
        <w:tabs>
          <w:tab w:leader="none" w:pos="1212"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Notwithstanding any contrary provision of this Lease, Landlord, at its option and in its sole and absolute discretion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below), may permit tenants of the Project to bring dogs and other pets into the Project, subject to such rules, regulations, policies and procedures as Landlord may establish in good faith from time to time governing the presence of pets in the Project consistent with a contemporary, first-class office project (collectively, the “</w:t>
      </w:r>
      <w:r>
        <w:rPr>
          <w:rFonts w:ascii="Times New Roman" w:cs="Times New Roman" w:eastAsia="Times New Roman" w:hAnsi="Times New Roman"/>
          <w:sz w:val="20"/>
          <w:szCs w:val="20"/>
          <w:b w:val="1"/>
          <w:bCs w:val="1"/>
          <w:color w:val="auto"/>
        </w:rPr>
        <w:t>Pet Rules</w:t>
      </w:r>
      <w:r>
        <w:rPr>
          <w:rFonts w:ascii="Times New Roman" w:cs="Times New Roman" w:eastAsia="Times New Roman" w:hAnsi="Times New Roman"/>
          <w:sz w:val="20"/>
          <w:szCs w:val="20"/>
          <w:color w:val="auto"/>
        </w:rPr>
        <w:t xml:space="preserve">”). Tenant acknowledges and agrees that the presence of dogs and other pets in the Project in conformity with the Pet Rules will not be incompatible with a first-class office project and will not breach any covenant of quiet enjoyment or other obligation of Landlord under or relating to this Lease. Tenant shall comply with the Pet Rules established by Landlord from time to time. For the avoidance of doubt, Tenant shall not bring into the Project or the Premises any dog or other pet (other than a service animal) unless and except as provided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below and to the extent, if any, that such activity is permitted under the Pet Rules.</w:t>
      </w:r>
    </w:p>
    <w:p>
      <w:pPr>
        <w:spacing w:after="0" w:line="209" w:lineRule="exact"/>
        <w:rPr>
          <w:sz w:val="20"/>
          <w:szCs w:val="20"/>
          <w:color w:val="auto"/>
        </w:rPr>
      </w:pPr>
    </w:p>
    <w:p>
      <w:pPr>
        <w:jc w:val="both"/>
        <w:ind w:left="1252" w:hanging="647"/>
        <w:spacing w:after="0" w:line="273" w:lineRule="auto"/>
        <w:tabs>
          <w:tab w:leader="none" w:pos="1232"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b w:val="1"/>
          <w:bCs w:val="1"/>
          <w:color w:val="auto"/>
        </w:rPr>
        <w:t xml:space="preserve">Dogs. </w:t>
      </w:r>
      <w:r>
        <w:rPr>
          <w:rFonts w:ascii="Times New Roman" w:cs="Times New Roman" w:eastAsia="Times New Roman" w:hAnsi="Times New Roman"/>
          <w:sz w:val="20"/>
          <w:szCs w:val="20"/>
          <w:color w:val="auto"/>
        </w:rPr>
        <w:t>Tenant may permit its employees to bring trained and obedient dogs into the Building and the Premises,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this Lease and the following conditions:</w:t>
      </w:r>
    </w:p>
    <w:p>
      <w:pPr>
        <w:spacing w:after="0" w:line="156" w:lineRule="exact"/>
        <w:rPr>
          <w:sz w:val="20"/>
          <w:szCs w:val="20"/>
          <w:color w:val="auto"/>
        </w:rPr>
      </w:pPr>
    </w:p>
    <w:p>
      <w:pPr>
        <w:ind w:left="1952" w:hanging="805"/>
        <w:spacing w:after="0" w:line="269" w:lineRule="auto"/>
        <w:tabs>
          <w:tab w:leader="none" w:pos="193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keep on file and provide a copy to Landlord or its property manager a list and current (i.e., not more than 1-year old) photos of such permitted dogs.</w:t>
      </w:r>
    </w:p>
    <w:p>
      <w:pPr>
        <w:spacing w:after="0" w:line="159" w:lineRule="exact"/>
        <w:rPr>
          <w:sz w:val="20"/>
          <w:szCs w:val="20"/>
          <w:color w:val="auto"/>
        </w:rPr>
      </w:pPr>
    </w:p>
    <w:p>
      <w:pPr>
        <w:ind w:left="1952" w:hanging="859"/>
        <w:spacing w:after="0"/>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dog must be six (6) months of age or older and must weigh no more than 75 pounds at full growth.</w:t>
      </w:r>
    </w:p>
    <w:p>
      <w:pPr>
        <w:spacing w:after="0" w:line="215" w:lineRule="exact"/>
        <w:rPr>
          <w:rFonts w:ascii="Times New Roman" w:cs="Times New Roman" w:eastAsia="Times New Roman" w:hAnsi="Times New Roman"/>
          <w:sz w:val="20"/>
          <w:szCs w:val="20"/>
          <w:color w:val="auto"/>
        </w:rPr>
      </w:pPr>
    </w:p>
    <w:p>
      <w:pPr>
        <w:ind w:left="1952" w:hanging="914"/>
        <w:spacing w:after="0"/>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dog must be spayed or neutered and shall be licensed and vaccinated in accordance with local laws.</w:t>
      </w:r>
    </w:p>
    <w:p>
      <w:pPr>
        <w:spacing w:after="0" w:line="215" w:lineRule="exact"/>
        <w:rPr>
          <w:rFonts w:ascii="Times New Roman" w:cs="Times New Roman" w:eastAsia="Times New Roman" w:hAnsi="Times New Roman"/>
          <w:sz w:val="20"/>
          <w:szCs w:val="20"/>
          <w:color w:val="auto"/>
        </w:rPr>
      </w:pPr>
    </w:p>
    <w:p>
      <w:pPr>
        <w:ind w:left="1952" w:hanging="969"/>
        <w:spacing w:after="0" w:line="269" w:lineRule="auto"/>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dog must not be, in any material part, Akita, Pit Family, Bloodhound, Great Dane, Saint Bernard, Doberman, Presia, Canario, Bull Dog, Rottweiler, Elkhound, Mastiff, Wolf, Wolf hybrid, or any combination thereof.</w:t>
      </w:r>
    </w:p>
    <w:p>
      <w:pPr>
        <w:spacing w:after="0" w:line="159" w:lineRule="exact"/>
        <w:rPr>
          <w:rFonts w:ascii="Times New Roman" w:cs="Times New Roman" w:eastAsia="Times New Roman" w:hAnsi="Times New Roman"/>
          <w:sz w:val="20"/>
          <w:szCs w:val="20"/>
          <w:color w:val="auto"/>
        </w:rPr>
      </w:pPr>
    </w:p>
    <w:p>
      <w:pPr>
        <w:jc w:val="both"/>
        <w:ind w:left="1952" w:hanging="859"/>
        <w:spacing w:after="0" w:line="249" w:lineRule="auto"/>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dog shall (i) be permitted in the Project when it is ill or behaving abnormally, (ii) be left unattended at the Premises, (iii) be kenneled or otherwise remain in the Premises for periods longer than 12 hours in any 24-hour period, (iv) create noise or unreasonably annoy other occupants, (v) be bathed or groomed within the Premises. No pet food or water shall be left outside of the Premises.</w:t>
      </w:r>
    </w:p>
    <w:p>
      <w:pPr>
        <w:spacing w:after="0" w:line="179" w:lineRule="exact"/>
        <w:rPr>
          <w:rFonts w:ascii="Times New Roman" w:cs="Times New Roman" w:eastAsia="Times New Roman" w:hAnsi="Times New Roman"/>
          <w:sz w:val="20"/>
          <w:szCs w:val="20"/>
          <w:color w:val="auto"/>
        </w:rPr>
      </w:pPr>
    </w:p>
    <w:p>
      <w:pPr>
        <w:jc w:val="both"/>
        <w:ind w:left="1952" w:hanging="805"/>
        <w:spacing w:after="0" w:line="246" w:lineRule="auto"/>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dog shall be walked or held in Common Areas, except on a leash. Each dog must remain on leash when not within the Premises. Each dog must be taken to a location designated by Landlord at the exterior of the Project, and shall not use any portion of the Building or any sidewalk of the Project, for its toilet purposes. In no event shall any toilet box, “pee-pee pad” or waste of any kind exist in the Premises. All waste shall be removed immediately, sealed in plastic bags, and disposed into an exterior dumpster or trash can.</w:t>
      </w:r>
    </w:p>
    <w:p>
      <w:pPr>
        <w:spacing w:after="0" w:line="184" w:lineRule="exact"/>
        <w:rPr>
          <w:rFonts w:ascii="Times New Roman" w:cs="Times New Roman" w:eastAsia="Times New Roman" w:hAnsi="Times New Roman"/>
          <w:sz w:val="20"/>
          <w:szCs w:val="20"/>
          <w:color w:val="auto"/>
        </w:rPr>
      </w:pPr>
    </w:p>
    <w:p>
      <w:pPr>
        <w:jc w:val="both"/>
        <w:ind w:left="1952" w:hanging="859"/>
        <w:spacing w:after="0" w:line="249" w:lineRule="auto"/>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be responsible for any extra maintenance, janitorial or similar requirement in connection with the dogs within the Premises or the Project, including carpet cleaning, excrement removal, painting, wall repair, floor care, and landscape repair/replacement. Tenant’s surrender obligations shall include fully remediating and correcting any damage or increased wear and tear caused by the dogs.</w:t>
      </w:r>
    </w:p>
    <w:p>
      <w:pPr>
        <w:spacing w:after="0" w:line="179" w:lineRule="exact"/>
        <w:rPr>
          <w:rFonts w:ascii="Times New Roman" w:cs="Times New Roman" w:eastAsia="Times New Roman" w:hAnsi="Times New Roman"/>
          <w:sz w:val="20"/>
          <w:szCs w:val="20"/>
          <w:color w:val="auto"/>
        </w:rPr>
      </w:pPr>
    </w:p>
    <w:p>
      <w:pPr>
        <w:jc w:val="both"/>
        <w:ind w:left="1952" w:hanging="914"/>
        <w:spacing w:after="0" w:line="256" w:lineRule="auto"/>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abide by any additional reasonable rules and regulations established by Landlord which may include the requirement that the dogs may not be transported in elevators (or, at Landlord’s option, but at no additional cost to Tenant, must be transported in a freight elevator) and must enter and exit the Project using doors designated by Landlord (such as the building entrance between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floors, currently known as Level 3).</w:t>
      </w:r>
    </w:p>
    <w:p>
      <w:pPr>
        <w:spacing w:after="0" w:line="91" w:lineRule="exact"/>
        <w:rPr>
          <w:rFonts w:ascii="Times New Roman" w:cs="Times New Roman" w:eastAsia="Times New Roman" w:hAnsi="Times New Roman"/>
          <w:sz w:val="20"/>
          <w:szCs w:val="20"/>
          <w:color w:val="auto"/>
        </w:rPr>
      </w:pPr>
    </w:p>
    <w:p>
      <w:pPr>
        <w:jc w:val="both"/>
        <w:ind w:left="1952" w:hanging="969"/>
        <w:spacing w:after="0" w:line="254" w:lineRule="auto"/>
        <w:tabs>
          <w:tab w:leader="none" w:pos="19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in which any such dog is brought into the Premises or the Project, the minimum amount of Commercial General Liability Insurance required to be maintained by Tenant under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xml:space="preserve"> of this Lease shall be $5,000,000.00 per occurrence and in the annual aggregate.</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1"/>
          <w:szCs w:val="21"/>
          <w:color w:val="auto"/>
        </w:rPr>
        <w:t>Exhibit F - 15</w:t>
      </w:r>
    </w:p>
    <w:p>
      <w:pPr>
        <w:sectPr>
          <w:pgSz w:w="11900" w:h="16838" w:orient="portrait"/>
          <w:cols w:equalWidth="0" w:num="1">
            <w:col w:w="11232"/>
          </w:cols>
          <w:pgMar w:left="328" w:top="1440" w:right="339" w:bottom="1440" w:gutter="0" w:footer="0" w:header="0"/>
          <w:type w:val="continuous"/>
        </w:sectPr>
      </w:pPr>
    </w:p>
    <w:bookmarkStart w:id="165" w:name="page166"/>
    <w:bookmarkEnd w:id="165"/>
    <w:p>
      <w:pPr>
        <w:spacing w:after="0" w:line="189" w:lineRule="exact"/>
        <w:rPr>
          <w:sz w:val="20"/>
          <w:szCs w:val="20"/>
          <w:color w:val="auto"/>
        </w:rPr>
      </w:pPr>
    </w:p>
    <w:p>
      <w:pPr>
        <w:ind w:left="958" w:right="20" w:hanging="958"/>
        <w:spacing w:after="0" w:line="269" w:lineRule="auto"/>
        <w:tabs>
          <w:tab w:leader="none" w:pos="94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bringing of such a dog into the Premises and/or the Project shall constitute an “Act of Tenant” within the meaning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of this Lease.</w:t>
      </w:r>
    </w:p>
    <w:p>
      <w:pPr>
        <w:spacing w:after="0" w:line="159" w:lineRule="exact"/>
        <w:rPr>
          <w:rFonts w:ascii="Times New Roman" w:cs="Times New Roman" w:eastAsia="Times New Roman" w:hAnsi="Times New Roman"/>
          <w:sz w:val="20"/>
          <w:szCs w:val="20"/>
          <w:color w:val="auto"/>
        </w:rPr>
      </w:pPr>
    </w:p>
    <w:p>
      <w:pPr>
        <w:jc w:val="both"/>
        <w:ind w:left="958" w:hanging="903"/>
        <w:spacing w:after="0" w:line="249" w:lineRule="auto"/>
        <w:tabs>
          <w:tab w:leader="none" w:pos="94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may terminate Tenant’s rights under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with respect to any such dog (i) immediately upon notice following any significant injury or death to any person resulting from such dog, (ii) if any of the foregoing conditions are breached with respect to such dog, or (iii) if Landlord determines, in its good faith discretion, that such dog is unreasonably bothersome or are a nuisance to other occupants.</w:t>
      </w:r>
    </w:p>
    <w:p>
      <w:pPr>
        <w:spacing w:after="0" w:line="179" w:lineRule="exact"/>
        <w:rPr>
          <w:rFonts w:ascii="Times New Roman" w:cs="Times New Roman" w:eastAsia="Times New Roman" w:hAnsi="Times New Roman"/>
          <w:sz w:val="20"/>
          <w:szCs w:val="20"/>
          <w:color w:val="auto"/>
        </w:rPr>
      </w:pPr>
    </w:p>
    <w:p>
      <w:pPr>
        <w:jc w:val="both"/>
        <w:ind w:left="958" w:hanging="958"/>
        <w:spacing w:after="0" w:line="249" w:lineRule="auto"/>
        <w:tabs>
          <w:tab w:leader="none" w:pos="95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may require Tenant and the owner of any such dog to execute a Pet Agreement in the form attached as </w:t>
      </w:r>
      <w:r>
        <w:rPr>
          <w:rFonts w:ascii="Times New Roman" w:cs="Times New Roman" w:eastAsia="Times New Roman" w:hAnsi="Times New Roman"/>
          <w:sz w:val="20"/>
          <w:szCs w:val="20"/>
          <w:b w:val="1"/>
          <w:bCs w:val="1"/>
          <w:u w:val="single" w:color="auto"/>
          <w:color w:val="auto"/>
        </w:rPr>
        <w:t>Exhibit F-1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such form may be modified by Landlord to incorporate some or all of the provisions contained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The obligations of Tenant under each such Pet Agreement shall be deemed to be incorporated into this Lease and made a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18"/>
        <w:spacing w:after="0"/>
        <w:rPr>
          <w:sz w:val="20"/>
          <w:szCs w:val="20"/>
          <w:color w:val="auto"/>
        </w:rPr>
      </w:pPr>
      <w:r>
        <w:rPr>
          <w:rFonts w:ascii="Times New Roman" w:cs="Times New Roman" w:eastAsia="Times New Roman" w:hAnsi="Times New Roman"/>
          <w:sz w:val="22"/>
          <w:szCs w:val="22"/>
          <w:color w:val="auto"/>
        </w:rPr>
        <w:t>Exhibit F - 16</w:t>
      </w:r>
    </w:p>
    <w:p>
      <w:pPr>
        <w:sectPr>
          <w:pgSz w:w="11900" w:h="16838" w:orient="portrait"/>
          <w:cols w:equalWidth="0" w:num="1">
            <w:col w:w="10238"/>
          </w:cols>
          <w:pgMar w:left="1322" w:top="1440"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PET AGREEMENT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Pet Agreement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Pet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entered  into  as  of  ______________,  20__  by  </w:t>
      </w:r>
      <w:r>
        <w:rPr>
          <w:rFonts w:ascii="Times New Roman" w:cs="Times New Roman" w:eastAsia="Times New Roman" w:hAnsi="Times New Roman"/>
          <w:sz w:val="20"/>
          <w:szCs w:val="20"/>
          <w:b w:val="1"/>
          <w:bCs w:val="1"/>
          <w:color w:val="auto"/>
        </w:rPr>
        <w:t>_____________________,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__________________________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_______________________, an individual and an employee of Tenant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Pet Owner</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 xml:space="preserve">in favor of </w:t>
      </w:r>
      <w:r>
        <w:rPr>
          <w:rFonts w:ascii="Times New Roman" w:cs="Times New Roman" w:eastAsia="Times New Roman" w:hAnsi="Times New Roman"/>
          <w:sz w:val="20"/>
          <w:szCs w:val="20"/>
          <w:b w:val="1"/>
          <w:bCs w:val="1"/>
          <w:color w:val="auto"/>
        </w:rPr>
        <w:t>______________________, a _________________________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pursuant to Section 12 of Exhibit F to that certain</w:t>
      </w:r>
    </w:p>
    <w:p>
      <w:pPr>
        <w:spacing w:after="0"/>
        <w:rPr>
          <w:sz w:val="20"/>
          <w:szCs w:val="20"/>
          <w:color w:val="auto"/>
        </w:rPr>
      </w:pPr>
      <w:r>
        <w:rPr>
          <w:rFonts w:ascii="Times New Roman" w:cs="Times New Roman" w:eastAsia="Times New Roman" w:hAnsi="Times New Roman"/>
          <w:sz w:val="19"/>
          <w:szCs w:val="19"/>
          <w:color w:val="auto"/>
        </w:rPr>
        <w:t>Office Lease dated as of ______________, 2018 (the “</w:t>
      </w:r>
      <w:r>
        <w:rPr>
          <w:rFonts w:ascii="Times New Roman" w:cs="Times New Roman" w:eastAsia="Times New Roman" w:hAnsi="Times New Roman"/>
          <w:sz w:val="19"/>
          <w:szCs w:val="19"/>
          <w:b w:val="1"/>
          <w:bCs w:val="1"/>
          <w:color w:val="auto"/>
        </w:rPr>
        <w:t>Lease</w:t>
      </w:r>
      <w:r>
        <w:rPr>
          <w:rFonts w:ascii="Times New Roman" w:cs="Times New Roman" w:eastAsia="Times New Roman" w:hAnsi="Times New Roman"/>
          <w:sz w:val="19"/>
          <w:szCs w:val="19"/>
          <w:color w:val="auto"/>
        </w:rPr>
        <w:t>”) between Landlord, as landlord, and Tenant, as tenant, for space in the building</w:t>
      </w:r>
    </w:p>
    <w:p>
      <w:pPr>
        <w:spacing w:after="0" w:line="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located at 6080 Center Drive, Los Angeles, California 90045. Capitalized terms used but not defined herein shall have the meanings given in the Lease.</w:t>
      </w:r>
    </w:p>
    <w:p>
      <w:pPr>
        <w:spacing w:after="0" w:line="20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consideration of, and as a condition to, Landlord’s granting to Tenant and Pet Owner, pursuant to Section 2.2 of Exhibit F to the Lease, of permission for Pet Owner to bring the dog identified below (the “</w:t>
      </w:r>
      <w:r>
        <w:rPr>
          <w:rFonts w:ascii="Times New Roman" w:cs="Times New Roman" w:eastAsia="Times New Roman" w:hAnsi="Times New Roman"/>
          <w:sz w:val="20"/>
          <w:szCs w:val="20"/>
          <w:b w:val="1"/>
          <w:bCs w:val="1"/>
          <w:color w:val="auto"/>
        </w:rPr>
        <w:t>Pet</w:t>
      </w:r>
      <w:r>
        <w:rPr>
          <w:rFonts w:ascii="Times New Roman" w:cs="Times New Roman" w:eastAsia="Times New Roman" w:hAnsi="Times New Roman"/>
          <w:sz w:val="20"/>
          <w:szCs w:val="20"/>
          <w:color w:val="auto"/>
        </w:rPr>
        <w:t>”) into the Premises and the Project (“</w:t>
      </w:r>
      <w:r>
        <w:rPr>
          <w:rFonts w:ascii="Times New Roman" w:cs="Times New Roman" w:eastAsia="Times New Roman" w:hAnsi="Times New Roman"/>
          <w:sz w:val="20"/>
          <w:szCs w:val="20"/>
          <w:b w:val="1"/>
          <w:bCs w:val="1"/>
          <w:color w:val="auto"/>
        </w:rPr>
        <w:t>Landlord’s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Permission</w:t>
      </w:r>
      <w:r>
        <w:rPr>
          <w:rFonts w:ascii="Times New Roman" w:cs="Times New Roman" w:eastAsia="Times New Roman" w:hAnsi="Times New Roman"/>
          <w:sz w:val="20"/>
          <w:szCs w:val="20"/>
          <w:color w:val="auto"/>
        </w:rPr>
        <w:t>”), and in consideration of other good and valuable consideration the receipt and sufficiency of which are hereby acknowledged,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and Pet Owner hereby agree as follows:</w:t>
      </w:r>
    </w:p>
    <w:p>
      <w:pPr>
        <w:spacing w:after="0" w:line="207"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and Pet Owner agree, on a joint and several basis, to:</w:t>
      </w:r>
    </w:p>
    <w:p>
      <w:pPr>
        <w:spacing w:after="0" w:line="2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the Pet under control at all times;</w:t>
      </w:r>
    </w:p>
    <w:p>
      <w:pPr>
        <w:ind w:left="1960" w:hanging="656"/>
        <w:spacing w:after="0" w:line="239" w:lineRule="auto"/>
        <w:tabs>
          <w:tab w:leader="none" w:pos="194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the Pet on a leash or in a kennel and in the direct control of the Pet Owner at all times while the Pet is in common areas (hallways, elevators, stairways, exterior pet relief area, etc.);</w:t>
      </w:r>
    </w:p>
    <w:p>
      <w:pPr>
        <w:ind w:left="1940" w:hanging="636"/>
        <w:spacing w:after="0"/>
        <w:tabs>
          <w:tab w:leader="none" w:pos="19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leave the Pet unattended for any unreasonable period;</w:t>
      </w:r>
    </w:p>
    <w:p>
      <w:pPr>
        <w:ind w:left="1940" w:hanging="636"/>
        <w:spacing w:after="0"/>
        <w:tabs>
          <w:tab w:leader="none" w:pos="19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the Pet’s waste properly and quickly;</w:t>
      </w:r>
    </w:p>
    <w:p>
      <w:pPr>
        <w:ind w:left="1960" w:hanging="656"/>
        <w:spacing w:after="0" w:line="239" w:lineRule="auto"/>
        <w:tabs>
          <w:tab w:leader="none" w:pos="195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the Pet from causing discomfort or annoyance to others and will immediately remedy any complaints made through Landlord;</w:t>
      </w:r>
    </w:p>
    <w:p>
      <w:pPr>
        <w:ind w:left="1940" w:hanging="636"/>
        <w:spacing w:after="0"/>
        <w:tabs>
          <w:tab w:leader="none" w:pos="19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immediately for any damages, loss, or expense caused by the Pet;</w:t>
      </w:r>
    </w:p>
    <w:p>
      <w:pPr>
        <w:ind w:left="1960" w:right="20" w:hanging="656"/>
        <w:spacing w:after="0" w:line="239" w:lineRule="auto"/>
        <w:tabs>
          <w:tab w:leader="none" w:pos="194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proof of vaccination (for cats - FVRCP; for dogs - rabies &amp; DHOPP; or as modified by local law), both before executing this Agreement and annually thereafter; and</w:t>
      </w:r>
    </w:p>
    <w:p>
      <w:pPr>
        <w:ind w:left="1940" w:hanging="636"/>
        <w:spacing w:after="0"/>
        <w:tabs>
          <w:tab w:leader="none" w:pos="19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(a) the Pet (i) is six (6) month of age or older, and (ii) weighs no more than 75 pounds at full growth;</w:t>
      </w:r>
    </w:p>
    <w:p>
      <w:pPr>
        <w:jc w:val="both"/>
        <w:ind w:left="1960" w:hanging="8"/>
        <w:spacing w:after="0" w:line="241" w:lineRule="auto"/>
        <w:tabs>
          <w:tab w:leader="none" w:pos="2275"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Pet is a dog or cat, then it is spayed or neutered and licensed and vaccinated in accordance with all applicable laws; and (c) if the Pet is a dog, then it is not, in any material part, Akita, Pit Family, Bloodhound, Great Dane, Saint Bernard, Doberman, Presia, Canario, Bull Dog, Rottweiler, Elkhound, Mastiff, Wolf, Wolf hybrid, or any combination thereof.</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and Pet Owner agree that, without limitation, Landlord, by notice to Tenant, may withdraw Landlord’s Permission</w:t>
      </w:r>
    </w:p>
    <w:p>
      <w:pPr>
        <w:spacing w:after="0" w:line="21" w:lineRule="exact"/>
        <w:rPr>
          <w:rFonts w:ascii="Times New Roman" w:cs="Times New Roman" w:eastAsia="Times New Roman" w:hAnsi="Times New Roman"/>
          <w:sz w:val="20"/>
          <w:szCs w:val="20"/>
          <w:color w:val="auto"/>
        </w:rPr>
      </w:pPr>
    </w:p>
    <w:p>
      <w:pPr>
        <w:jc w:val="both"/>
        <w:ind w:left="1300" w:firstLine="4"/>
        <w:spacing w:after="0" w:line="241" w:lineRule="auto"/>
        <w:tabs>
          <w:tab w:leader="none" w:pos="157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any injury or damage to person or property caused by the Pet, (b) if any condition set forth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above, in Section 12 of Exhibit F to the Lease, or any rule or regulation established by Landlord relating to pets at the Project, is breached, or (c) if Landlord determines, in its good faith discretion, that the Pet is unreasonably bothersome or is a nuisance to other occupants.</w:t>
      </w:r>
    </w:p>
    <w:p>
      <w:pPr>
        <w:sectPr>
          <w:pgSz w:w="11900" w:h="16838" w:orient="portrait"/>
          <w:cols w:equalWidth="0" w:num="1">
            <w:col w:w="11240"/>
          </w:cols>
          <w:pgMar w:left="320" w:top="1409" w:right="339" w:bottom="690" w:gutter="0" w:footer="0" w:header="0"/>
        </w:sect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Pet Owner Name: 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Pet Type (Breed): ____________________</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Pet Owner Contact: ________________________</w:t>
      </w:r>
    </w:p>
    <w:p>
      <w:pPr>
        <w:spacing w:after="0" w:line="3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0"/>
          <w:szCs w:val="20"/>
          <w:color w:val="auto"/>
        </w:rPr>
        <w:t>Age: _________</w:t>
      </w:r>
      <w:r>
        <w:rPr>
          <w:sz w:val="20"/>
          <w:szCs w:val="20"/>
          <w:color w:val="auto"/>
        </w:rPr>
        <w:tab/>
      </w:r>
      <w:r>
        <w:rPr>
          <w:rFonts w:ascii="Times New Roman" w:cs="Times New Roman" w:eastAsia="Times New Roman" w:hAnsi="Times New Roman"/>
          <w:sz w:val="19"/>
          <w:szCs w:val="19"/>
          <w:color w:val="auto"/>
        </w:rPr>
        <w:t>M / F (Please circle one)</w:t>
      </w:r>
    </w:p>
    <w:p>
      <w:pPr>
        <w:spacing w:after="0" w:line="200" w:lineRule="exact"/>
        <w:rPr>
          <w:sz w:val="20"/>
          <w:szCs w:val="20"/>
          <w:color w:val="auto"/>
        </w:rPr>
      </w:pPr>
    </w:p>
    <w:p>
      <w:pPr>
        <w:sectPr>
          <w:pgSz w:w="11900" w:h="16838" w:orient="portrait"/>
          <w:cols w:equalWidth="0" w:num="2">
            <w:col w:w="3460" w:space="120"/>
            <w:col w:w="7660"/>
          </w:cols>
          <w:pgMar w:left="320" w:top="1409" w:right="339" w:bottom="690" w:gutter="0" w:footer="0" w:header="0"/>
          <w:type w:val="continuous"/>
        </w:sectPr>
      </w:pP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Tenant and Pet Owner have executed this Agreement as of the date set forth above.</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_____________________, a __________________________</w:t>
      </w:r>
    </w:p>
    <w:p>
      <w:pPr>
        <w:spacing w:after="0" w:line="24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_____________________________</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_____________________________</w:t>
      </w: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_____________________________</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PET OWNER: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_____________________________</w:t>
      </w:r>
    </w:p>
    <w:p>
      <w:pPr>
        <w:sectPr>
          <w:pgSz w:w="11900" w:h="16838" w:orient="portrait"/>
          <w:cols w:equalWidth="0" w:num="1">
            <w:col w:w="11240"/>
          </w:cols>
          <w:pgMar w:left="320" w:top="1409" w:right="339" w:bottom="69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1"/>
          <w:szCs w:val="21"/>
          <w:color w:val="auto"/>
        </w:rPr>
        <w:t>Exhibit F - 1</w:t>
      </w:r>
    </w:p>
    <w:p>
      <w:pPr>
        <w:sectPr>
          <w:pgSz w:w="11900" w:h="16838" w:orient="portrait"/>
          <w:cols w:equalWidth="0" w:num="1">
            <w:col w:w="9019"/>
          </w:cols>
          <w:pgMar w:left="1440" w:top="747"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JUDICIAL REFERENCE</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IF THE JURY-WAIVER PROVISIONS OF </w:t>
      </w:r>
      <w:r>
        <w:rPr>
          <w:rFonts w:ascii="Times New Roman" w:cs="Times New Roman" w:eastAsia="Times New Roman" w:hAnsi="Times New Roman"/>
          <w:sz w:val="20"/>
          <w:szCs w:val="20"/>
          <w:u w:val="single" w:color="auto"/>
          <w:color w:val="auto"/>
        </w:rPr>
        <w:t>SECTION 23.8</w:t>
      </w:r>
      <w:r>
        <w:rPr>
          <w:rFonts w:ascii="Times New Roman" w:cs="Times New Roman" w:eastAsia="Times New Roman" w:hAnsi="Times New Roman"/>
          <w:sz w:val="20"/>
          <w:szCs w:val="20"/>
          <w:color w:val="auto"/>
        </w:rPr>
        <w:t xml:space="preserve"> OF THIS LEASE ARE NOT ENFORCEABLE UNDER CALIFORNIA LAW, THE PROVISIONS SET FORTH BELOW SHALL APPLY.</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w:t>
      </w:r>
      <w:r>
        <w:rPr>
          <w:rFonts w:ascii="Times New Roman" w:cs="Times New Roman" w:eastAsia="Times New Roman" w:hAnsi="Times New Roman"/>
          <w:sz w:val="20"/>
          <w:szCs w:val="20"/>
          <w:b w:val="1"/>
          <w:bCs w:val="1"/>
          <w:color w:val="auto"/>
        </w:rPr>
        <w:t>Referee Sections</w:t>
      </w:r>
      <w:r>
        <w:rPr>
          <w:rFonts w:ascii="Times New Roman" w:cs="Times New Roman" w:eastAsia="Times New Roman" w:hAnsi="Times New Roman"/>
          <w:sz w:val="20"/>
          <w:szCs w:val="20"/>
          <w:color w:val="auto"/>
        </w:rPr>
        <w:t xml:space="preserve">”).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w:t>
      </w:r>
      <w:r>
        <w:rPr>
          <w:rFonts w:ascii="Times New Roman" w:cs="Times New Roman" w:eastAsia="Times New Roman" w:hAnsi="Times New Roman"/>
          <w:sz w:val="20"/>
          <w:szCs w:val="20"/>
          <w:u w:val="single" w:color="auto"/>
          <w:color w:val="auto"/>
        </w:rPr>
        <w:t>Section 23.6</w:t>
      </w:r>
      <w:r>
        <w:rPr>
          <w:rFonts w:ascii="Times New Roman" w:cs="Times New Roman" w:eastAsia="Times New Roman" w:hAnsi="Times New Roman"/>
          <w:sz w:val="20"/>
          <w:szCs w:val="20"/>
          <w:color w:val="auto"/>
        </w:rPr>
        <w:t xml:space="preserve"> of this Lease. The venue of the proceedings shall be in the county in which the Premises are located. Within 10 days of receipt by any party of a request to resolve any dispute or controversy pursuant to this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 xml:space="preserve">, the parties shall agree upon a single referee who shall try all issues, whether of fact or law, and report a finding and judgment on such issues as required by the Referee Sections. If the parties are unable to agree upon a referee within such 10-day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Jams/Endispute, Inc., ADR Services, Inc. or a similar mediation/arbitration entity approved by each party in its sole and absolute discretion.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that are not permitted by the express provisions of this Lease, and the parties waive any right to recover any such damages. The parties may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 xml:space="preserve">.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 xml:space="preserve"> shall prejudice the right of any party to obtain provisional relief or other equitable remedies from a court of competent jurisdiction as shall otherwise be available under the Code of Civil Procedure and/or applicable court rules.</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G - 1</w:t>
      </w:r>
    </w:p>
    <w:p>
      <w:pPr>
        <w:sectPr>
          <w:pgSz w:w="11900" w:h="16838" w:orient="portrait"/>
          <w:cols w:equalWidth="0" w:num="1">
            <w:col w:w="11240"/>
          </w:cols>
          <w:pgMar w:left="320" w:top="1409" w:right="339" w:bottom="1440"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LETTER OF CREDIT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IRREVOCABLE STANDBY LETTER OF CREDIT NUMBER 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 DATE: ______________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ISSUING BANK: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SILICON VALLEY BANK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3003 TASMAN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2ND FLOOR, MAIL SORT HF210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SANTA CLARA, CALIFORNIA 95054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BENEFICIARY: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 HH PROPERTY OWNER LLC</w:t>
      </w:r>
    </w:p>
    <w:p>
      <w:pPr>
        <w:spacing w:after="0"/>
        <w:rPr>
          <w:sz w:val="20"/>
          <w:szCs w:val="20"/>
          <w:color w:val="auto"/>
        </w:rPr>
      </w:pPr>
      <w:r>
        <w:rPr>
          <w:rFonts w:ascii="Times New Roman" w:cs="Times New Roman" w:eastAsia="Times New Roman" w:hAnsi="Times New Roman"/>
          <w:sz w:val="20"/>
          <w:szCs w:val="20"/>
          <w:color w:val="auto"/>
        </w:rPr>
        <w:t>C/O EQ OFFICE</w:t>
      </w:r>
    </w:p>
    <w:p>
      <w:pPr>
        <w:spacing w:after="0"/>
        <w:rPr>
          <w:sz w:val="20"/>
          <w:szCs w:val="20"/>
          <w:color w:val="auto"/>
        </w:rPr>
      </w:pPr>
      <w:r>
        <w:rPr>
          <w:rFonts w:ascii="Times New Roman" w:cs="Times New Roman" w:eastAsia="Times New Roman" w:hAnsi="Times New Roman"/>
          <w:sz w:val="20"/>
          <w:szCs w:val="20"/>
          <w:color w:val="auto"/>
        </w:rPr>
        <w:t>233 S. WACKER DRIVE, SUITE 4700</w:t>
      </w:r>
    </w:p>
    <w:p>
      <w:pPr>
        <w:spacing w:after="0"/>
        <w:rPr>
          <w:sz w:val="20"/>
          <w:szCs w:val="20"/>
          <w:color w:val="auto"/>
        </w:rPr>
      </w:pPr>
      <w:r>
        <w:rPr>
          <w:rFonts w:ascii="Times New Roman" w:cs="Times New Roman" w:eastAsia="Times New Roman" w:hAnsi="Times New Roman"/>
          <w:sz w:val="20"/>
          <w:szCs w:val="20"/>
          <w:color w:val="auto"/>
        </w:rPr>
        <w:t>CHICAGO, ILLINOIS 60606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TREASURY DEPARTMENT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MAGNITE, INC.</w:t>
      </w:r>
    </w:p>
    <w:p>
      <w:pPr>
        <w:spacing w:after="0" w:line="192" w:lineRule="auto"/>
        <w:rPr>
          <w:sz w:val="20"/>
          <w:szCs w:val="20"/>
          <w:color w:val="auto"/>
        </w:rPr>
      </w:pPr>
      <w:r>
        <w:rPr>
          <w:rFonts w:ascii="Times New Roman" w:cs="Times New Roman" w:eastAsia="Times New Roman" w:hAnsi="Times New Roman"/>
          <w:sz w:val="16"/>
          <w:szCs w:val="16"/>
          <w:color w:val="auto"/>
        </w:rPr>
        <w:t>12181 BLUFF CREEK,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PLAYA VISTA, CA 90094</w:t>
      </w: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AMOUNT:</w:t>
        <w:tab/>
        <w:t>US$736,807.26 (SEVEN HUNDRED THIRTY SIX THOUSAND EIGHT HUNDRED SEVEN AND 26/100 U.S. DOLLARS)</w:t>
      </w:r>
    </w:p>
    <w:p>
      <w:pPr>
        <w:spacing w:after="0" w:line="248"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color w:val="auto"/>
        </w:rPr>
        <w:t>EXPIRATION DATE:</w:t>
      </w:r>
      <w:r>
        <w:rPr>
          <w:sz w:val="20"/>
          <w:szCs w:val="20"/>
          <w:color w:val="auto"/>
        </w:rPr>
        <w:tab/>
      </w:r>
      <w:r>
        <w:rPr>
          <w:rFonts w:ascii="Times New Roman" w:cs="Times New Roman" w:eastAsia="Times New Roman" w:hAnsi="Times New Roman"/>
          <w:sz w:val="16"/>
          <w:szCs w:val="16"/>
          <w:color w:val="auto"/>
        </w:rPr>
        <w:t>ONE YEAR FROM ISSUANCE</w:t>
      </w:r>
    </w:p>
    <w:p>
      <w:pPr>
        <w:spacing w:after="0" w:line="200" w:lineRule="exact"/>
        <w:rPr>
          <w:sz w:val="20"/>
          <w:szCs w:val="20"/>
          <w:color w:val="auto"/>
        </w:rPr>
      </w:pPr>
    </w:p>
    <w:p>
      <w:pPr>
        <w:spacing w:after="0" w:line="264"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6"/>
          <w:szCs w:val="16"/>
          <w:color w:val="auto"/>
        </w:rPr>
        <w:t>PLACE OF EXPIRATION:</w:t>
      </w:r>
      <w:r>
        <w:rPr>
          <w:sz w:val="20"/>
          <w:szCs w:val="20"/>
          <w:color w:val="auto"/>
        </w:rPr>
        <w:tab/>
      </w:r>
      <w:r>
        <w:rPr>
          <w:rFonts w:ascii="Times New Roman" w:cs="Times New Roman" w:eastAsia="Times New Roman" w:hAnsi="Times New Roman"/>
          <w:sz w:val="16"/>
          <w:szCs w:val="16"/>
          <w:color w:val="auto"/>
        </w:rPr>
        <w:t>SANTA CLARA, CALIFORNIA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SIR/MADAM: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ESTABLISH OUR IRREVOCABLE STANDBY LETTER OF CREDIT NO. SVBSF________ IN YOUR FAVOR AVAILABLE BY YOUR DRAFT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DRAWN ON US AT SIGHT IN THE FORM OF EXHIBIT "A" ATTACHED AND ACCOMPANIED BY THE FOLLOWING DOCUMENTS:</w:t>
      </w:r>
    </w:p>
    <w:p>
      <w:pPr>
        <w:spacing w:after="0" w:line="230" w:lineRule="exact"/>
        <w:rPr>
          <w:sz w:val="20"/>
          <w:szCs w:val="20"/>
          <w:color w:val="auto"/>
        </w:rPr>
      </w:pPr>
    </w:p>
    <w:p>
      <w:pPr>
        <w:ind w:left="180" w:hanging="172"/>
        <w:spacing w:after="0"/>
        <w:tabs>
          <w:tab w:leader="none" w:pos="1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OF THIS LETTER OF CREDIT AND ALL AMENDMENT(S), IF ANY.</w:t>
      </w:r>
    </w:p>
    <w:p>
      <w:pPr>
        <w:spacing w:after="0" w:line="24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2.BENEFICIARY’S SIGNED AND DATED STATEMENT STATING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draw  in  the  amount  of  _____________  U.S.  Dollars  ($__________)  under  SILCON  VALLEY  BANK  Irrevocable  Standby  Letter  of  Credit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 represents funds due and owing to us pursuant to the terms of that certain lease by and between BRE HH PROPERTY OWNER LLC, as landlord,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MAGNITE, INC., as tenant, and/or any amendment to the lease or any other agreement between such parties related to the lease.”</w:t>
      </w:r>
    </w:p>
    <w:p>
      <w:pPr>
        <w:spacing w:after="0" w:line="23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PARTIAL AND MULTIPLE DRAWINGS ARE ALLOWED. THIS LETTER OF CREDIT MUST ACCOMPANY ANY DRAWINGS HEREUNDER FOR ENDORSEMENT OF THE DRAWING AMOUNT AND WILL BE RETURNED TO BENEFICIARY UNLESS IT IS FULLY UTILIZED.</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It is a condition of this Irrevocable Standby Letter of Credit that it will be considered automatically EXTENDED, WITHOUT AMENDMENT for a one year period upon the expiration date set forth above and upon each anniversary of such date, unless at least 60 days prior to such expiration date or applicable anniversary thereof, we notify</w:t>
      </w: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you in writing, by certified mail return receipt requested or by overnight courier service, that we elect not to EXTEND this Irrevocable Standby Letter of Credit </w:t>
      </w:r>
      <w:r>
        <w:rPr>
          <w:rFonts w:ascii="Times New Roman" w:cs="Times New Roman" w:eastAsia="Times New Roman" w:hAnsi="Times New Roman"/>
          <w:sz w:val="19"/>
          <w:szCs w:val="19"/>
          <w:color w:val="auto"/>
        </w:rPr>
        <w:t>BEYOND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 xml:space="preserve">THE CURRENT EXPIRATION DATE. </w:t>
      </w:r>
      <w:r>
        <w:rPr>
          <w:rFonts w:ascii="Times New Roman" w:cs="Times New Roman" w:eastAsia="Times New Roman" w:hAnsi="Times New Roman"/>
          <w:sz w:val="16"/>
          <w:szCs w:val="16"/>
          <w:color w:val="auto"/>
        </w:rPr>
        <w:t>IN NO EVENT SHALL THIS LETTER OF CREDIT BE AUTOMATICALLY EXTENDED BEYOND decembER 15,</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2031. IN THE EVENT WE SEND SUCH NOTICE OF NON-EXTENSION, YOU MAY DRAW HEREUNDER BY YOUR PRESENTATION TO US OF YOUR SIGNED AND DATED STATEMENT STATING THAT YOU HAVE RECEIVED A NON-EXTENSION NOTICE FROM SILICON VALLEY BANK IN RESPECT OF LETTER OF CREDIT NO. SVBSF _____________, YOU ARE DRAWING ON SUCH LETTER OF CREDIT FOR US$________________, AND YOU HAVE NOT RECEIVED A REPLACEMENT LETTER OF CREDIT ACCEPTABLE TO YOU.</w:t>
      </w:r>
    </w:p>
    <w:p>
      <w:pPr>
        <w:spacing w:after="0" w:line="2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ALL DEMANDS FOR PAYMENT SHALL BE MADE BY PRESENTATION OF THE REQUIRED DOCUMENTS ON A BUSINESS DAY AT OUR OFFICE (THE “BANK’S OFFICE”) AT: SILICON VALLEY BANK, 3003 TASMAN DRIVE, MAIL SORT HF 210, SANTA CLARA, CA 95054, ATTENTION: GLOBAL TRADE FINANCE. AS USED IN THIS LETTER OF CREDIT, "BUSINESS DAY" SHALL MEAN ANY DAY OTHER THAN A SATURDAY, SUNDAY OR A DAY ON</w:t>
      </w:r>
    </w:p>
    <w:p>
      <w:pPr>
        <w:sectPr>
          <w:pgSz w:w="11900" w:h="16838" w:orient="portrait"/>
          <w:cols w:equalWidth="0" w:num="1">
            <w:col w:w="11240"/>
          </w:cols>
          <w:pgMar w:left="320" w:top="140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H - 1</w:t>
      </w:r>
    </w:p>
    <w:p>
      <w:pPr>
        <w:sectPr>
          <w:pgSz w:w="11900" w:h="16838" w:orient="portrait"/>
          <w:cols w:equalWidth="0" w:num="1">
            <w:col w:w="11240"/>
          </w:cols>
          <w:pgMar w:left="320" w:top="1409" w:right="339"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color w:val="auto"/>
        </w:rPr>
        <w:t>WHICH BANKING INSTITUTIONS IN THE STATE OF CALIFORNIA ARE AUTHORIZED OR REQUIRED BY LAW TO CLOSE.</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B DULY EXECUTED. APPLICANT SHALL PAY OUR TRANSFER FEE OF ¼ OF 1% OF THE TRANSFER AMOUNT (MINIMUM US$250.00) UNDER THIS LETTER OF CREDIT, but payment of such transfer fee shall not be a condition to the transfer.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AGREE THAT WE SHALL HAVE NO DUTY OR RIGHT TO INQUIRE AS TO THE BASIS UPON WHICH BENEFICIARY HAS DETERMINED THAT THE AMOUNT IS DUE AND OWING OR HAS DETERMINED TO PRESENT TO US ANY DRAFT UNDER THIS LETTER OF CREDIT, AND THE PRESENTATION OF SUCH DRAFT IN STRICT COMPLIANCE WITH THE TERMS AND CONDITIONS OF THIS LETTER OF CREDIT SHALL AUTOMATICALLY RESULT IN PAYMENT TO THE BENEFICIARY.</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HEREBY AGREE WITH THE BENEFICIARY THAT THE DRAFTS DRAWN UNDER AND IN ACCORDANCE WITH THE TERMS AND CONDITIONS OF THIS LETTER OF CREDIT SHALL BE DULY HONORED UPON PRESENTATION TO THE DRAWEE, IF NEGOTIATED ON OR BEFORE THE EXPIRATION DATE OF THIS CREDIT.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IRREVOCABLE STANDBY LETTER OF CREDIT IS SUBJECT TO THE INTERNATIONAL STANDBY PRACTICES (ISP98), ICC PUBLICATION NO. 590.</w:t>
      </w:r>
    </w:p>
    <w:p>
      <w:pPr>
        <w:spacing w:after="0" w:line="2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IF YOU HAVE ANY QUESTIONS REGARDING THIS TRANSACTION, PLEASE CONTACT FAUSTO OMNE AT TEL NO. 408-450-5073</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ALWAYS QUOTING OUR LETTER OF CREDIT NO. SVBSF_____________</w:t>
      </w:r>
      <w:r>
        <w:rPr>
          <w:rFonts w:ascii="Times New Roman" w:cs="Times New Roman" w:eastAsia="Times New Roman" w:hAnsi="Times New Roman"/>
          <w:sz w:val="16"/>
          <w:szCs w:val="16"/>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SILICON VALLEY BANK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SIGNATURE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 - 2</w:t>
      </w:r>
    </w:p>
    <w:p>
      <w:pPr>
        <w:sectPr>
          <w:pgSz w:w="11900" w:h="16838" w:orient="portrait"/>
          <w:cols w:equalWidth="0" w:num="1">
            <w:col w:w="11240"/>
          </w:cols>
          <w:pgMar w:left="320" w:top="1422" w:right="33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929005</wp:posOffset>
            </wp:positionV>
            <wp:extent cx="7020560" cy="3557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020560" cy="355790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258"/>
        </w:trPr>
        <w:tc>
          <w:tcPr>
            <w:tcW w:w="3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DATE: _______________</w:t>
            </w:r>
          </w:p>
        </w:tc>
        <w:tc>
          <w:tcPr>
            <w:tcW w:w="28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REF. NO. ___________________</w:t>
            </w:r>
          </w:p>
        </w:tc>
      </w:tr>
      <w:tr>
        <w:trPr>
          <w:trHeight w:val="748"/>
        </w:trPr>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9"/>
                <w:szCs w:val="19"/>
                <w:color w:val="auto"/>
              </w:rPr>
              <w:t>T SIGHT OF THIS DRAFT</w:t>
            </w:r>
          </w:p>
        </w:tc>
        <w:tc>
          <w:tcPr>
            <w:tcW w:w="2800" w:type="dxa"/>
            <w:vAlign w:val="bottom"/>
          </w:tcPr>
          <w:p>
            <w:pPr>
              <w:spacing w:after="0"/>
              <w:rPr>
                <w:sz w:val="24"/>
                <w:szCs w:val="24"/>
                <w:color w:val="auto"/>
              </w:rPr>
            </w:pPr>
          </w:p>
        </w:tc>
      </w:tr>
      <w:tr>
        <w:trPr>
          <w:trHeight w:val="447"/>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9"/>
                <w:szCs w:val="19"/>
                <w:color w:val="auto"/>
              </w:rPr>
              <w:t>AY TO THE ORDER OF</w:t>
            </w:r>
          </w:p>
        </w:tc>
        <w:tc>
          <w:tcPr>
            <w:tcW w:w="840" w:type="dxa"/>
            <w:vAlign w:val="bottom"/>
            <w:tcBorders>
              <w:bottom w:val="single" w:sz="8" w:color="auto"/>
            </w:tcBorders>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US$_________________</w:t>
            </w:r>
          </w:p>
        </w:tc>
      </w:tr>
    </w:tbl>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USDOLLARS _____________________________________________________________________</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DRAWN UNDER SILICON VALLEY BANK, SANTA CLARA, CALIFORNIA, STANDBY</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LETTER OF CREDIT NUMBER NO. _______________________ DATED ___________________</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9"/>
          <w:szCs w:val="19"/>
          <w:color w:val="auto"/>
        </w:rPr>
        <w:t>O: SILICON VALLEY BANK</w:t>
      </w:r>
    </w:p>
    <w:p>
      <w:pPr>
        <w:spacing w:after="0" w:line="20" w:lineRule="exact"/>
        <w:rPr>
          <w:sz w:val="20"/>
          <w:szCs w:val="20"/>
          <w:color w:val="auto"/>
        </w:rPr>
      </w:pPr>
    </w:p>
    <w:p>
      <w:pPr>
        <w:ind w:left="500"/>
        <w:spacing w:after="0"/>
        <w:tabs>
          <w:tab w:leader="none" w:pos="3040" w:val="left"/>
        </w:tabs>
        <w:rPr>
          <w:sz w:val="20"/>
          <w:szCs w:val="20"/>
          <w:color w:val="auto"/>
        </w:rPr>
      </w:pPr>
      <w:r>
        <w:rPr>
          <w:rFonts w:ascii="Times New Roman" w:cs="Times New Roman" w:eastAsia="Times New Roman" w:hAnsi="Times New Roman"/>
          <w:sz w:val="20"/>
          <w:szCs w:val="20"/>
          <w:color w:val="auto"/>
        </w:rPr>
        <w:t>3003 TASMAN DRIVE</w:t>
      </w:r>
      <w:r>
        <w:rPr>
          <w:sz w:val="20"/>
          <w:szCs w:val="20"/>
          <w:color w:val="auto"/>
        </w:rPr>
        <w:tab/>
      </w:r>
      <w:r>
        <w:rPr>
          <w:rFonts w:ascii="Times New Roman" w:cs="Times New Roman" w:eastAsia="Times New Roman" w:hAnsi="Times New Roman"/>
          <w:sz w:val="19"/>
          <w:szCs w:val="19"/>
          <w:color w:val="auto"/>
        </w:rPr>
        <w:t>_______________________________</w:t>
      </w:r>
    </w:p>
    <w:p>
      <w:pPr>
        <w:ind w:left="500"/>
        <w:spacing w:after="0"/>
        <w:tabs>
          <w:tab w:leader="none" w:pos="3400" w:val="left"/>
        </w:tabs>
        <w:rPr>
          <w:sz w:val="20"/>
          <w:szCs w:val="20"/>
          <w:color w:val="auto"/>
        </w:rPr>
      </w:pPr>
      <w:r>
        <w:rPr>
          <w:rFonts w:ascii="Times New Roman" w:cs="Times New Roman" w:eastAsia="Times New Roman" w:hAnsi="Times New Roman"/>
          <w:sz w:val="20"/>
          <w:szCs w:val="20"/>
          <w:color w:val="auto"/>
        </w:rPr>
        <w:t>SANTA CLARA, CA 95054</w:t>
      </w:r>
      <w:r>
        <w:rPr>
          <w:sz w:val="20"/>
          <w:szCs w:val="20"/>
          <w:color w:val="auto"/>
        </w:rPr>
        <w:tab/>
      </w:r>
      <w:r>
        <w:rPr>
          <w:rFonts w:ascii="Times New Roman" w:cs="Times New Roman" w:eastAsia="Times New Roman" w:hAnsi="Times New Roman"/>
          <w:sz w:val="19"/>
          <w:szCs w:val="19"/>
          <w:color w:val="auto"/>
        </w:rPr>
        <w:t>(BENEFICIARY'S NAME)</w:t>
      </w:r>
    </w:p>
    <w:p>
      <w:pPr>
        <w:spacing w:after="0" w:line="200" w:lineRule="exact"/>
        <w:rPr>
          <w:sz w:val="20"/>
          <w:szCs w:val="20"/>
          <w:color w:val="auto"/>
        </w:rPr>
      </w:pPr>
    </w:p>
    <w:p>
      <w:pPr>
        <w:spacing w:after="0" w:line="2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GUIDELINES TO PREPARE THE DRAFT</w:t>
      </w:r>
    </w:p>
    <w:p>
      <w:pPr>
        <w:spacing w:after="0" w:line="247"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ISSUANCE DATE OF DRAFT.</w:t>
      </w:r>
    </w:p>
    <w:p>
      <w:pPr>
        <w:spacing w:after="0" w:line="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 NO.: BENEFICIARY'S REFERENCE NUMBER, IF ANY.</w:t>
      </w:r>
    </w:p>
    <w:p>
      <w:pPr>
        <w:ind w:left="340" w:right="3300" w:hanging="332"/>
        <w:spacing w:after="0" w:line="239" w:lineRule="auto"/>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ORDER OF: NAME OF BENEFICIARY AS INDICATED IN THE L/C (MAKE SURE BENEFICIARY ENDORSES IT ON THE REVERSE SIDE).</w:t>
      </w: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AMOUNT OF DRAWING IN FIGURES.</w:t>
      </w: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USDOLLARS: AMOUNT OF DRAWING IN WORDS.</w:t>
      </w:r>
    </w:p>
    <w:p>
      <w:pPr>
        <w:ind w:left="340" w:hanging="332"/>
        <w:spacing w:after="0"/>
        <w:tabs>
          <w:tab w:leader="none" w:pos="34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LETTER OF CREDIT NUMBER: SILICON VALLEY BANK'S STANDBY L/C NUMBER THAT PERTAINS TO THE DRAWING.</w:t>
      </w:r>
    </w:p>
    <w:p>
      <w:pPr>
        <w:spacing w:after="0" w:line="11"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DATED: ISSUANCE DATE OF THE STANDBY L/C.</w:t>
      </w: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BENEFICIARY'S NAME: NAME OF BENEFICIARY AS INDICATED IN THE L/C.</w:t>
      </w:r>
    </w:p>
    <w:p>
      <w:pPr>
        <w:ind w:left="340" w:hanging="332"/>
        <w:spacing w:after="0"/>
        <w:tabs>
          <w:tab w:leader="none" w:pos="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AUTHORIZED SIGNATURE: SIGNED BY AN AUTHORIZED SIGNER OF BENEFICIARY.</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YOU NEED FURTHER ASSISTANCE IN COMPLETING THIS DRAFT, PLEASE CALL OUR L/C PAYMENT SECTION AT 408-654-6274 OR 408-654-7716</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TRANSFER FORM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SILICON VALLEY BANK</w:t>
      </w:r>
    </w:p>
    <w:p>
      <w:pPr>
        <w:spacing w:after="0" w:line="23"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6"/>
          <w:szCs w:val="16"/>
          <w:color w:val="auto"/>
        </w:rPr>
        <w:t>3003 TASMAN DRIVE</w:t>
      </w:r>
      <w:r>
        <w:rPr>
          <w:sz w:val="20"/>
          <w:szCs w:val="20"/>
          <w:color w:val="auto"/>
        </w:rPr>
        <w:tab/>
      </w:r>
      <w:r>
        <w:rPr>
          <w:rFonts w:ascii="Times New Roman" w:cs="Times New Roman" w:eastAsia="Times New Roman" w:hAnsi="Times New Roman"/>
          <w:sz w:val="16"/>
          <w:szCs w:val="16"/>
          <w:color w:val="auto"/>
        </w:rPr>
        <w:t>RE: IRREVOCABLE STANDBY LETTER OF CREDIT</w:t>
      </w:r>
    </w:p>
    <w:p>
      <w:pPr>
        <w:spacing w:after="0" w:line="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6"/>
          <w:szCs w:val="16"/>
          <w:color w:val="auto"/>
        </w:rPr>
        <w:t>SANTA CLARA, CA 95054</w:t>
        <w:tab/>
        <w:t>NO. _____________ ISSUED 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GLOBAL TRADE FINANCE SILICON VALLEY BANK, SANTA CLARA</w:t>
      </w:r>
    </w:p>
    <w:p>
      <w:pPr>
        <w:spacing w:after="0" w:line="5"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6"/>
          <w:szCs w:val="16"/>
          <w:color w:val="auto"/>
        </w:rPr>
        <w:t>STANDBY LETTERS OF CREDIT</w:t>
        <w:tab/>
        <w:t>L/C AMOUNT: ___________________</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GENTLEMEN: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THE UNDERSIGNED BENEFICIARY HEREBY IRREVOCABLY TRANSFERS TO:</w:t>
      </w:r>
    </w:p>
    <w:p>
      <w:pPr>
        <w:sectPr>
          <w:pgSz w:w="11900" w:h="17022"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22"/>
          <w:szCs w:val="22"/>
          <w:color w:val="auto"/>
        </w:rPr>
        <w:t>Exhibit H</w:t>
        <w:tab/>
        <w:t>3</w:t>
      </w:r>
    </w:p>
    <w:p>
      <w:pPr>
        <w:sectPr>
          <w:pgSz w:w="11900" w:h="17022" w:orient="portrait"/>
          <w:cols w:equalWidth="0" w:num="1">
            <w:col w:w="11240"/>
          </w:cols>
          <w:pgMar w:left="320" w:top="1440" w:right="339" w:bottom="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1"/>
          <w:szCs w:val="21"/>
          <w:color w:val="auto"/>
        </w:rPr>
        <w:t>Exhibit H - 3</w:t>
      </w:r>
    </w:p>
    <w:p>
      <w:pPr>
        <w:sectPr>
          <w:pgSz w:w="11900" w:h="16838" w:orient="portrait"/>
          <w:cols w:equalWidth="0" w:num="1">
            <w:col w:w="9019"/>
          </w:cols>
          <w:pgMar w:left="1440" w:top="0"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TRANSFEREE)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3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RIGHTS OF THE UNDERSIGNED BENEFICIARY TO DRAW UNDER THE ABOVE LETTER OF CREDIT UP TO ITS AVAILABLE AMOUNT AS SHOWN ABOVE AS OF THE DATE OF THIS TRANSFER.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 SIGNATURE AUTHENTICATED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name(s), title(s), and signature(s) conform to that/those on file with us for the company and the signature(s) is/are authorized to execute this instrument.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Bank)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 of Bank)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 Code)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Name and Title)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number)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(BENEFICIARY’S NAME)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BENEFICIARY)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 - 4</w:t>
      </w:r>
    </w:p>
    <w:p>
      <w:pPr>
        <w:sectPr>
          <w:pgSz w:w="11900" w:h="16838" w:orient="portrait"/>
          <w:cols w:equalWidth="0" w:num="1">
            <w:col w:w="11240"/>
          </w:cols>
          <w:pgMar w:left="320" w:top="1422"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PLAYA DISTRICT, 6080 CENTER DRIVE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JANITORIAL CLEANING SPECIFICATIONS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OFFICE AREAS (All Floors)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Empty all waste receptacles. Clean, and reline when needed. Remove material to designated areas.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Vacuum all carpeted main traffic and use areas, including conference rooms, reception areas, interior stairwells, hallways and corridors with the exception of individual offices. Spot vacuum/clean all others areas as needed. Wash and sanitize all drinking fountains.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Damp mop spillage in uncarpeted office areas.</w:t>
      </w:r>
    </w:p>
    <w:p>
      <w:pPr>
        <w:spacing w:after="0"/>
        <w:rPr>
          <w:sz w:val="20"/>
          <w:szCs w:val="20"/>
          <w:color w:val="auto"/>
        </w:rPr>
      </w:pPr>
      <w:r>
        <w:rPr>
          <w:rFonts w:ascii="Times New Roman" w:cs="Times New Roman" w:eastAsia="Times New Roman" w:hAnsi="Times New Roman"/>
          <w:sz w:val="20"/>
          <w:szCs w:val="20"/>
          <w:color w:val="auto"/>
        </w:rPr>
        <w:t>Spot clean carpets to remove light spillage. Report large spills and stains to supervisor.</w:t>
      </w:r>
    </w:p>
    <w:p>
      <w:pPr>
        <w:spacing w:after="0"/>
        <w:rPr>
          <w:sz w:val="20"/>
          <w:szCs w:val="20"/>
          <w:color w:val="auto"/>
        </w:rPr>
      </w:pPr>
      <w:r>
        <w:rPr>
          <w:rFonts w:ascii="Times New Roman" w:cs="Times New Roman" w:eastAsia="Times New Roman" w:hAnsi="Times New Roman"/>
          <w:sz w:val="20"/>
          <w:szCs w:val="20"/>
          <w:color w:val="auto"/>
        </w:rPr>
        <w:t>Assure all designated locked doors are closed after area has been cleaned.</w:t>
      </w:r>
    </w:p>
    <w:p>
      <w:pPr>
        <w:spacing w:after="0"/>
        <w:rPr>
          <w:sz w:val="20"/>
          <w:szCs w:val="20"/>
          <w:color w:val="auto"/>
        </w:rPr>
      </w:pPr>
      <w:r>
        <w:rPr>
          <w:rFonts w:ascii="Times New Roman" w:cs="Times New Roman" w:eastAsia="Times New Roman" w:hAnsi="Times New Roman"/>
          <w:sz w:val="20"/>
          <w:szCs w:val="20"/>
          <w:color w:val="auto"/>
        </w:rPr>
        <w:t>Arrange chairs at desk and conference room tables and turn off lights upon exiting.</w:t>
      </w:r>
    </w:p>
    <w:p>
      <w:pPr>
        <w:spacing w:after="0"/>
        <w:rPr>
          <w:sz w:val="20"/>
          <w:szCs w:val="20"/>
          <w:color w:val="auto"/>
        </w:rPr>
      </w:pPr>
      <w:r>
        <w:rPr>
          <w:rFonts w:ascii="Times New Roman" w:cs="Times New Roman" w:eastAsia="Times New Roman" w:hAnsi="Times New Roman"/>
          <w:sz w:val="20"/>
          <w:szCs w:val="20"/>
          <w:color w:val="auto"/>
        </w:rPr>
        <w:t>Clean conference room tables and remove any remaining food items.</w:t>
      </w:r>
    </w:p>
    <w:p>
      <w:pPr>
        <w:spacing w:after="0"/>
        <w:rPr>
          <w:sz w:val="20"/>
          <w:szCs w:val="20"/>
          <w:color w:val="auto"/>
        </w:rPr>
      </w:pPr>
      <w:r>
        <w:rPr>
          <w:rFonts w:ascii="Times New Roman" w:cs="Times New Roman" w:eastAsia="Times New Roman" w:hAnsi="Times New Roman"/>
          <w:sz w:val="20"/>
          <w:szCs w:val="20"/>
          <w:color w:val="auto"/>
        </w:rPr>
        <w:t>Clean and sweep all lunchroom/eating areas. Wash and wipe tables and counter tops and clean sinks.</w:t>
      </w:r>
    </w:p>
    <w:p>
      <w:pPr>
        <w:spacing w:after="0"/>
        <w:rPr>
          <w:sz w:val="20"/>
          <w:szCs w:val="20"/>
          <w:color w:val="auto"/>
        </w:rPr>
      </w:pPr>
      <w:r>
        <w:rPr>
          <w:rFonts w:ascii="Times New Roman" w:cs="Times New Roman" w:eastAsia="Times New Roman" w:hAnsi="Times New Roman"/>
          <w:sz w:val="20"/>
          <w:szCs w:val="20"/>
          <w:color w:val="auto"/>
        </w:rPr>
        <w:t>Remove scuff marks on floor as needed.</w:t>
      </w:r>
    </w:p>
    <w:p>
      <w:pPr>
        <w:spacing w:after="0"/>
        <w:rPr>
          <w:sz w:val="20"/>
          <w:szCs w:val="20"/>
          <w:color w:val="auto"/>
        </w:rPr>
      </w:pPr>
      <w:r>
        <w:rPr>
          <w:rFonts w:ascii="Times New Roman" w:cs="Times New Roman" w:eastAsia="Times New Roman" w:hAnsi="Times New Roman"/>
          <w:sz w:val="20"/>
          <w:szCs w:val="20"/>
          <w:color w:val="auto"/>
        </w:rPr>
        <w:t>Vacuum all carpeted areas completely, private offices and cubicle interiors, desk knee area spaces and under waste containers.</w:t>
      </w:r>
    </w:p>
    <w:p>
      <w:pPr>
        <w:spacing w:after="0"/>
        <w:rPr>
          <w:sz w:val="20"/>
          <w:szCs w:val="20"/>
          <w:color w:val="auto"/>
        </w:rPr>
      </w:pPr>
      <w:r>
        <w:rPr>
          <w:rFonts w:ascii="Times New Roman" w:cs="Times New Roman" w:eastAsia="Times New Roman" w:hAnsi="Times New Roman"/>
          <w:sz w:val="20"/>
          <w:szCs w:val="20"/>
          <w:color w:val="auto"/>
        </w:rPr>
        <w:t>Dust and wipe clean with damp or treated cloth all office furniture, files, and cubicle partition tops (DO NOT MOVE PAPERS).</w:t>
      </w:r>
    </w:p>
    <w:p>
      <w:pPr>
        <w:ind w:right="20"/>
        <w:spacing w:after="0" w:line="239" w:lineRule="auto"/>
        <w:rPr>
          <w:sz w:val="20"/>
          <w:szCs w:val="20"/>
          <w:color w:val="auto"/>
        </w:rPr>
      </w:pPr>
      <w:r>
        <w:rPr>
          <w:rFonts w:ascii="Times New Roman" w:cs="Times New Roman" w:eastAsia="Times New Roman" w:hAnsi="Times New Roman"/>
          <w:sz w:val="20"/>
          <w:szCs w:val="20"/>
          <w:color w:val="auto"/>
        </w:rPr>
        <w:t>Remove all finger marks and smudges from all vertical surfaces, including doors, door frames, around light switches, private entrance glass, and partitions.</w:t>
      </w:r>
    </w:p>
    <w:p>
      <w:pPr>
        <w:spacing w:after="0"/>
        <w:rPr>
          <w:sz w:val="20"/>
          <w:szCs w:val="20"/>
          <w:color w:val="auto"/>
        </w:rPr>
      </w:pPr>
      <w:r>
        <w:rPr>
          <w:rFonts w:ascii="Times New Roman" w:cs="Times New Roman" w:eastAsia="Times New Roman" w:hAnsi="Times New Roman"/>
          <w:sz w:val="20"/>
          <w:szCs w:val="20"/>
          <w:color w:val="auto"/>
        </w:rPr>
        <w:t>Damp wipe and polish all glass furniture tops.</w:t>
      </w:r>
    </w:p>
    <w:p>
      <w:pPr>
        <w:spacing w:after="0"/>
        <w:rPr>
          <w:sz w:val="20"/>
          <w:szCs w:val="20"/>
          <w:color w:val="auto"/>
        </w:rPr>
      </w:pPr>
      <w:r>
        <w:rPr>
          <w:rFonts w:ascii="Times New Roman" w:cs="Times New Roman" w:eastAsia="Times New Roman" w:hAnsi="Times New Roman"/>
          <w:sz w:val="20"/>
          <w:szCs w:val="20"/>
          <w:color w:val="auto"/>
        </w:rPr>
        <w:t>Damp mop hard surfaced floors and/or uncarpeted surface floors.</w:t>
      </w:r>
    </w:p>
    <w:p>
      <w:pPr>
        <w:spacing w:after="0"/>
        <w:rPr>
          <w:sz w:val="20"/>
          <w:szCs w:val="20"/>
          <w:color w:val="auto"/>
        </w:rPr>
      </w:pPr>
      <w:r>
        <w:rPr>
          <w:rFonts w:ascii="Times New Roman" w:cs="Times New Roman" w:eastAsia="Times New Roman" w:hAnsi="Times New Roman"/>
          <w:sz w:val="20"/>
          <w:szCs w:val="20"/>
          <w:color w:val="auto"/>
        </w:rPr>
        <w:t>Sweep uncarpeted floors employing dust control techniques with exception of lunchroom</w:t>
      </w:r>
    </w:p>
    <w:p>
      <w:pPr>
        <w:ind w:right="20"/>
        <w:spacing w:after="0" w:line="239" w:lineRule="auto"/>
        <w:rPr>
          <w:sz w:val="20"/>
          <w:szCs w:val="20"/>
          <w:color w:val="auto"/>
        </w:rPr>
      </w:pPr>
      <w:r>
        <w:rPr>
          <w:rFonts w:ascii="Times New Roman" w:cs="Times New Roman" w:eastAsia="Times New Roman" w:hAnsi="Times New Roman"/>
          <w:sz w:val="20"/>
          <w:szCs w:val="20"/>
          <w:color w:val="auto"/>
        </w:rPr>
        <w:t>Dust and wipe clean chair bases and arms, telephones, cubicle shelves, window sills, relite ledges and all other horizontal surfaces as needed to maintain clean appearance.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Edge vacuum all carpeted areas, as needed.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COMMON AREA RESTROOMS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Clean and sanitize all mirrors, brightwork, countertops and enameled surfaces.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 and disinfect all basins, urinals, bowls (cleaning underside of rim) and fixtures using scouring powder to remove stains.</w:t>
      </w:r>
    </w:p>
    <w:p>
      <w:pPr>
        <w:spacing w:after="0"/>
        <w:rPr>
          <w:sz w:val="20"/>
          <w:szCs w:val="20"/>
          <w:color w:val="auto"/>
        </w:rPr>
      </w:pPr>
      <w:r>
        <w:rPr>
          <w:rFonts w:ascii="Times New Roman" w:cs="Times New Roman" w:eastAsia="Times New Roman" w:hAnsi="Times New Roman"/>
          <w:sz w:val="20"/>
          <w:szCs w:val="20"/>
          <w:color w:val="auto"/>
        </w:rPr>
        <w:t>Wash both sides of all toilet seats with soap and/or disinfectant.</w:t>
      </w:r>
    </w:p>
    <w:p>
      <w:pPr>
        <w:spacing w:after="0"/>
        <w:rPr>
          <w:sz w:val="20"/>
          <w:szCs w:val="20"/>
          <w:color w:val="auto"/>
        </w:rPr>
      </w:pPr>
      <w:r>
        <w:rPr>
          <w:rFonts w:ascii="Times New Roman" w:cs="Times New Roman" w:eastAsia="Times New Roman" w:hAnsi="Times New Roman"/>
          <w:sz w:val="20"/>
          <w:szCs w:val="20"/>
          <w:color w:val="auto"/>
        </w:rPr>
        <w:t>Clean flushometers, piping, toilet seat hinges, and other metal.</w:t>
      </w:r>
    </w:p>
    <w:p>
      <w:pPr>
        <w:spacing w:after="0"/>
        <w:rPr>
          <w:sz w:val="20"/>
          <w:szCs w:val="20"/>
          <w:color w:val="auto"/>
        </w:rPr>
      </w:pPr>
      <w:r>
        <w:rPr>
          <w:rFonts w:ascii="Times New Roman" w:cs="Times New Roman" w:eastAsia="Times New Roman" w:hAnsi="Times New Roman"/>
          <w:sz w:val="20"/>
          <w:szCs w:val="20"/>
          <w:color w:val="auto"/>
        </w:rPr>
        <w:t>Empty, clean, and damp wipe all waste receptacles.</w:t>
      </w:r>
    </w:p>
    <w:p>
      <w:pPr>
        <w:spacing w:after="0"/>
        <w:rPr>
          <w:sz w:val="20"/>
          <w:szCs w:val="20"/>
          <w:color w:val="auto"/>
        </w:rPr>
      </w:pPr>
      <w:r>
        <w:rPr>
          <w:rFonts w:ascii="Times New Roman" w:cs="Times New Roman" w:eastAsia="Times New Roman" w:hAnsi="Times New Roman"/>
          <w:sz w:val="20"/>
          <w:szCs w:val="20"/>
          <w:color w:val="auto"/>
        </w:rPr>
        <w:t>Sweep, wet mop, and sanitize entire floor, including around toilet seats and under urinals.</w:t>
      </w:r>
    </w:p>
    <w:p>
      <w:pPr>
        <w:spacing w:after="0"/>
        <w:rPr>
          <w:sz w:val="20"/>
          <w:szCs w:val="20"/>
          <w:color w:val="auto"/>
        </w:rPr>
      </w:pPr>
      <w:r>
        <w:rPr>
          <w:rFonts w:ascii="Times New Roman" w:cs="Times New Roman" w:eastAsia="Times New Roman" w:hAnsi="Times New Roman"/>
          <w:sz w:val="20"/>
          <w:szCs w:val="20"/>
          <w:color w:val="auto"/>
        </w:rPr>
        <w:t>Damp wipe all walls, partitions, doors, and outside surfaces of all dispensers, as needed.</w:t>
      </w:r>
    </w:p>
    <w:p>
      <w:pPr>
        <w:spacing w:after="0"/>
        <w:rPr>
          <w:sz w:val="20"/>
          <w:szCs w:val="20"/>
          <w:color w:val="auto"/>
        </w:rPr>
      </w:pPr>
      <w:r>
        <w:rPr>
          <w:rFonts w:ascii="Times New Roman" w:cs="Times New Roman" w:eastAsia="Times New Roman" w:hAnsi="Times New Roman"/>
          <w:sz w:val="20"/>
          <w:szCs w:val="20"/>
          <w:color w:val="auto"/>
        </w:rPr>
        <w:t>Fill toilet paper, soap, towels, and sanitary napkin dispensers (if applicable).</w:t>
      </w:r>
    </w:p>
    <w:p>
      <w:pPr>
        <w:spacing w:after="0"/>
        <w:rPr>
          <w:sz w:val="20"/>
          <w:szCs w:val="20"/>
          <w:color w:val="auto"/>
        </w:rPr>
      </w:pPr>
      <w:r>
        <w:rPr>
          <w:rFonts w:ascii="Times New Roman" w:cs="Times New Roman" w:eastAsia="Times New Roman" w:hAnsi="Times New Roman"/>
          <w:sz w:val="20"/>
          <w:szCs w:val="20"/>
          <w:color w:val="auto"/>
        </w:rPr>
        <w:t>Wash and disinfect all showers including shower walls, floors, brightwork and doors (if applicable).</w:t>
      </w:r>
    </w:p>
    <w:p>
      <w:pPr>
        <w:spacing w:after="0"/>
        <w:rPr>
          <w:sz w:val="20"/>
          <w:szCs w:val="20"/>
          <w:color w:val="auto"/>
        </w:rPr>
      </w:pPr>
      <w:r>
        <w:rPr>
          <w:rFonts w:ascii="Times New Roman" w:cs="Times New Roman" w:eastAsia="Times New Roman" w:hAnsi="Times New Roman"/>
          <w:sz w:val="20"/>
          <w:szCs w:val="20"/>
          <w:color w:val="auto"/>
        </w:rPr>
        <w:t>Replace trash liner.</w:t>
      </w:r>
    </w:p>
    <w:p>
      <w:pPr>
        <w:spacing w:after="0"/>
        <w:rPr>
          <w:sz w:val="20"/>
          <w:szCs w:val="20"/>
          <w:color w:val="auto"/>
        </w:rPr>
      </w:pPr>
      <w:r>
        <w:rPr>
          <w:rFonts w:ascii="Times New Roman" w:cs="Times New Roman" w:eastAsia="Times New Roman" w:hAnsi="Times New Roman"/>
          <w:sz w:val="20"/>
          <w:szCs w:val="20"/>
          <w:color w:val="auto"/>
        </w:rPr>
        <w:t>Flush water through P-trap to ensure elimination of odor.</w:t>
      </w:r>
    </w:p>
    <w:p>
      <w:pPr>
        <w:spacing w:after="0"/>
        <w:rPr>
          <w:sz w:val="20"/>
          <w:szCs w:val="20"/>
          <w:color w:val="auto"/>
        </w:rPr>
      </w:pPr>
      <w:r>
        <w:rPr>
          <w:rFonts w:ascii="Times New Roman" w:cs="Times New Roman" w:eastAsia="Times New Roman" w:hAnsi="Times New Roman"/>
          <w:sz w:val="20"/>
          <w:szCs w:val="20"/>
          <w:color w:val="auto"/>
        </w:rPr>
        <w:t>Machine scrub floors.</w:t>
      </w:r>
    </w:p>
    <w:p>
      <w:pPr>
        <w:spacing w:after="0" w:line="19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COMMON AREA LOBBY, ELEVATOR, CORRIDOR, INTERIOR STAIRWAYS (EXCLUDING EMERGENCY EXIT STAIRWAYS) AND ENTRANCE AREAS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Sweep and spot mop all stone, vinyl or composition lobby floors.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Vacuum and spot clean all carpeted floor and mats.</w:t>
      </w:r>
    </w:p>
    <w:p>
      <w:pPr>
        <w:spacing w:after="0"/>
        <w:rPr>
          <w:sz w:val="20"/>
          <w:szCs w:val="20"/>
          <w:color w:val="auto"/>
        </w:rPr>
      </w:pPr>
      <w:r>
        <w:rPr>
          <w:rFonts w:ascii="Times New Roman" w:cs="Times New Roman" w:eastAsia="Times New Roman" w:hAnsi="Times New Roman"/>
          <w:sz w:val="20"/>
          <w:szCs w:val="20"/>
          <w:color w:val="auto"/>
        </w:rPr>
        <w:t>Dust and polish all brightwork, including mirrors and elevator call buttons.</w:t>
      </w:r>
    </w:p>
    <w:p>
      <w:pPr>
        <w:spacing w:after="0"/>
        <w:rPr>
          <w:sz w:val="20"/>
          <w:szCs w:val="20"/>
          <w:color w:val="auto"/>
        </w:rPr>
      </w:pPr>
      <w:r>
        <w:rPr>
          <w:rFonts w:ascii="Times New Roman" w:cs="Times New Roman" w:eastAsia="Times New Roman" w:hAnsi="Times New Roman"/>
          <w:sz w:val="20"/>
          <w:szCs w:val="20"/>
          <w:color w:val="auto"/>
        </w:rPr>
        <w:t>Dust and polish all metal surfaces in elevators, including tracks, and elevator doors.</w:t>
      </w:r>
    </w:p>
    <w:p>
      <w:pPr>
        <w:spacing w:after="0"/>
        <w:rPr>
          <w:sz w:val="20"/>
          <w:szCs w:val="20"/>
          <w:color w:val="auto"/>
        </w:rPr>
      </w:pPr>
      <w:r>
        <w:rPr>
          <w:rFonts w:ascii="Times New Roman" w:cs="Times New Roman" w:eastAsia="Times New Roman" w:hAnsi="Times New Roman"/>
          <w:sz w:val="20"/>
          <w:szCs w:val="20"/>
          <w:color w:val="auto"/>
        </w:rPr>
        <w:t>Vacuum and spot clean all carpet in elevators.</w:t>
      </w:r>
    </w:p>
    <w:p>
      <w:pPr>
        <w:spacing w:after="0"/>
        <w:rPr>
          <w:sz w:val="20"/>
          <w:szCs w:val="20"/>
          <w:color w:val="auto"/>
        </w:rPr>
      </w:pPr>
      <w:r>
        <w:rPr>
          <w:rFonts w:ascii="Times New Roman" w:cs="Times New Roman" w:eastAsia="Times New Roman" w:hAnsi="Times New Roman"/>
          <w:sz w:val="20"/>
          <w:szCs w:val="20"/>
          <w:color w:val="auto"/>
        </w:rPr>
        <w:t>Clean and polish all trash receptacles</w:t>
      </w:r>
    </w:p>
    <w:p>
      <w:pPr>
        <w:spacing w:after="0"/>
        <w:rPr>
          <w:sz w:val="20"/>
          <w:szCs w:val="20"/>
          <w:color w:val="auto"/>
        </w:rPr>
      </w:pPr>
      <w:r>
        <w:rPr>
          <w:rFonts w:ascii="Times New Roman" w:cs="Times New Roman" w:eastAsia="Times New Roman" w:hAnsi="Times New Roman"/>
          <w:sz w:val="20"/>
          <w:szCs w:val="20"/>
          <w:color w:val="auto"/>
        </w:rPr>
        <w:t>Dust all fire extinguisher cabinets and/or units.</w:t>
      </w:r>
    </w:p>
    <w:p>
      <w:pPr>
        <w:spacing w:after="0"/>
        <w:rPr>
          <w:sz w:val="20"/>
          <w:szCs w:val="20"/>
          <w:color w:val="auto"/>
        </w:rPr>
      </w:pPr>
      <w:r>
        <w:rPr>
          <w:rFonts w:ascii="Times New Roman" w:cs="Times New Roman" w:eastAsia="Times New Roman" w:hAnsi="Times New Roman"/>
          <w:sz w:val="20"/>
          <w:szCs w:val="20"/>
          <w:color w:val="auto"/>
        </w:rPr>
        <w:t>Spot clean all doors.</w:t>
      </w:r>
    </w:p>
    <w:p>
      <w:pPr>
        <w:spacing w:after="0"/>
        <w:rPr>
          <w:sz w:val="20"/>
          <w:szCs w:val="20"/>
          <w:color w:val="auto"/>
        </w:rPr>
      </w:pPr>
      <w:r>
        <w:rPr>
          <w:rFonts w:ascii="Times New Roman" w:cs="Times New Roman" w:eastAsia="Times New Roman" w:hAnsi="Times New Roman"/>
          <w:sz w:val="20"/>
          <w:szCs w:val="20"/>
          <w:color w:val="auto"/>
        </w:rPr>
        <w:t>All furniture should be cleaned as necessary (including directories)</w:t>
      </w:r>
    </w:p>
    <w:p>
      <w:pPr>
        <w:spacing w:after="0"/>
        <w:rPr>
          <w:sz w:val="20"/>
          <w:szCs w:val="20"/>
          <w:color w:val="auto"/>
        </w:rPr>
      </w:pPr>
      <w:r>
        <w:rPr>
          <w:rFonts w:ascii="Times New Roman" w:cs="Times New Roman" w:eastAsia="Times New Roman" w:hAnsi="Times New Roman"/>
          <w:sz w:val="20"/>
          <w:szCs w:val="20"/>
          <w:color w:val="auto"/>
        </w:rPr>
        <w:t>Wash, disinfect and dry polish water coolers (if applicable).</w:t>
      </w:r>
    </w:p>
    <w:p>
      <w:pPr>
        <w:spacing w:after="0"/>
        <w:rPr>
          <w:sz w:val="20"/>
          <w:szCs w:val="20"/>
          <w:color w:val="auto"/>
        </w:rPr>
      </w:pPr>
      <w:r>
        <w:rPr>
          <w:rFonts w:ascii="Times New Roman" w:cs="Times New Roman" w:eastAsia="Times New Roman" w:hAnsi="Times New Roman"/>
          <w:sz w:val="20"/>
          <w:szCs w:val="20"/>
          <w:color w:val="auto"/>
        </w:rPr>
        <w:t>Clean glass entrance doors, adjacent glass panels and tracks (i.e. relites) (if applicable).</w:t>
      </w:r>
    </w:p>
    <w:p>
      <w:pPr>
        <w:spacing w:after="0"/>
        <w:rPr>
          <w:sz w:val="20"/>
          <w:szCs w:val="20"/>
          <w:color w:val="auto"/>
        </w:rPr>
      </w:pPr>
      <w:r>
        <w:rPr>
          <w:rFonts w:ascii="Times New Roman" w:cs="Times New Roman" w:eastAsia="Times New Roman" w:hAnsi="Times New Roman"/>
          <w:sz w:val="20"/>
          <w:szCs w:val="20"/>
          <w:color w:val="auto"/>
        </w:rPr>
        <w:t>Spot sweep and/or spot vacuum all interior stairways (excluding emergency exit stairways) and landings (if applicable).</w:t>
      </w:r>
    </w:p>
    <w:p>
      <w:pPr>
        <w:sectPr>
          <w:pgSz w:w="11900" w:h="16838" w:orient="portrait"/>
          <w:cols w:equalWidth="0" w:num="1">
            <w:col w:w="11240"/>
          </w:cols>
          <w:pgMar w:left="320" w:top="140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I - 1</w:t>
      </w:r>
    </w:p>
    <w:p>
      <w:pPr>
        <w:sectPr>
          <w:pgSz w:w="11900" w:h="16838" w:orient="portrait"/>
          <w:cols w:equalWidth="0" w:num="1">
            <w:col w:w="11240"/>
          </w:cols>
          <w:pgMar w:left="320" w:top="1409" w:right="339" w:bottom="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Maintain lobby floor as recommended by manufacturer.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Wet mop all stone, vinyl or composition lobby floors</w:t>
      </w:r>
    </w:p>
    <w:p>
      <w:pPr>
        <w:spacing w:after="0"/>
        <w:rPr>
          <w:sz w:val="20"/>
          <w:szCs w:val="20"/>
          <w:color w:val="auto"/>
        </w:rPr>
      </w:pPr>
      <w:r>
        <w:rPr>
          <w:rFonts w:ascii="Times New Roman" w:cs="Times New Roman" w:eastAsia="Times New Roman" w:hAnsi="Times New Roman"/>
          <w:sz w:val="19"/>
          <w:szCs w:val="19"/>
          <w:color w:val="auto"/>
        </w:rPr>
        <w:t>Sweep and/or vacuum all interior stairways (excluding emergency exit stairways) and landings (if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JANITORIAL ITEMS/AREAS RELATING TO BUILDING GENERALLY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Keep janitorial rooms in a clean, neat and orderly condition.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Maintain all janitorial carts and equipment in safe and clean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BUILDING FITNESS CENTER (If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Vacuum all exposed carpeted floors.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Spot clean all mirrors and walls.</w:t>
      </w:r>
    </w:p>
    <w:p>
      <w:pPr>
        <w:spacing w:after="0"/>
        <w:rPr>
          <w:sz w:val="20"/>
          <w:szCs w:val="20"/>
          <w:color w:val="auto"/>
        </w:rPr>
      </w:pPr>
      <w:r>
        <w:rPr>
          <w:rFonts w:ascii="Times New Roman" w:cs="Times New Roman" w:eastAsia="Times New Roman" w:hAnsi="Times New Roman"/>
          <w:sz w:val="20"/>
          <w:szCs w:val="20"/>
          <w:color w:val="auto"/>
        </w:rPr>
        <w:t>Spray and disinfect fitness center equipment nightly.</w:t>
      </w:r>
    </w:p>
    <w:p>
      <w:pPr>
        <w:spacing w:after="0"/>
        <w:rPr>
          <w:sz w:val="20"/>
          <w:szCs w:val="20"/>
          <w:color w:val="auto"/>
        </w:rPr>
      </w:pPr>
      <w:r>
        <w:rPr>
          <w:rFonts w:ascii="Times New Roman" w:cs="Times New Roman" w:eastAsia="Times New Roman" w:hAnsi="Times New Roman"/>
          <w:sz w:val="20"/>
          <w:szCs w:val="20"/>
          <w:color w:val="auto"/>
        </w:rPr>
        <w:t>Edge vacuum all carpeted areas, as needed.</w:t>
      </w:r>
    </w:p>
    <w:p>
      <w:pPr>
        <w:spacing w:after="0"/>
        <w:rPr>
          <w:sz w:val="20"/>
          <w:szCs w:val="20"/>
          <w:color w:val="auto"/>
        </w:rPr>
      </w:pPr>
      <w:r>
        <w:rPr>
          <w:rFonts w:ascii="Times New Roman" w:cs="Times New Roman" w:eastAsia="Times New Roman" w:hAnsi="Times New Roman"/>
          <w:sz w:val="20"/>
          <w:szCs w:val="20"/>
          <w:color w:val="auto"/>
        </w:rPr>
        <w:t>Dust all ledges, as needed</w:t>
      </w:r>
    </w:p>
    <w:p>
      <w:pPr>
        <w:spacing w:after="0"/>
        <w:rPr>
          <w:sz w:val="20"/>
          <w:szCs w:val="20"/>
          <w:color w:val="auto"/>
        </w:rPr>
      </w:pPr>
      <w:r>
        <w:rPr>
          <w:rFonts w:ascii="Times New Roman" w:cs="Times New Roman" w:eastAsia="Times New Roman" w:hAnsi="Times New Roman"/>
          <w:sz w:val="20"/>
          <w:szCs w:val="20"/>
          <w:color w:val="auto"/>
        </w:rPr>
        <w:t>Clean mirrors completely.</w:t>
      </w:r>
    </w:p>
    <w:p>
      <w:pPr>
        <w:spacing w:after="0"/>
        <w:rPr>
          <w:sz w:val="20"/>
          <w:szCs w:val="20"/>
          <w:color w:val="auto"/>
        </w:rPr>
      </w:pPr>
      <w:r>
        <w:rPr>
          <w:rFonts w:ascii="Times New Roman" w:cs="Times New Roman" w:eastAsia="Times New Roman" w:hAnsi="Times New Roman"/>
          <w:sz w:val="20"/>
          <w:szCs w:val="20"/>
          <w:color w:val="auto"/>
        </w:rPr>
        <w:t>Stock supplies and towels.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BUILDING LOCKER ROOMS (If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 building restroom cleaning specifications to restroom and locker room areas.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Clean and disinfect showers completely, including walls, doors, floors, and floor drains.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LOADING DOCK, VAN PARKING AREAS, GENERAL BUILDING TRASH AREAS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Empty and reline all waste receptacles.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Sweep ramps, loading bays and parking areas for trash and cigarette butts.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BUILDING COMMON AREA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Spot clean and restock, as needed, all janitorial service closets.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Vacuum all garage lobbies and elevator carpets.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Exhibit I - 2</w:t>
      </w:r>
    </w:p>
    <w:p>
      <w:pPr>
        <w:sectPr>
          <w:pgSz w:w="11900" w:h="16838" w:orient="portrait"/>
          <w:cols w:equalWidth="0" w:num="1">
            <w:col w:w="10139"/>
          </w:cols>
          <w:pgMar w:left="320" w:top="1413"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7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333-195972, 333-201174, 333-204012, 333-219563, and 333-237613 on Form S-8 of our report dated February 24, 2021, relating to the consolidated financial statements of Magnite, Inc. and subsidiaries and the effectiveness of Magnite, Inc.’s internal controls over financial reporting appearing in this Annual Report on Form 10-K for the year ended December 31, 2020.</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887" w:right="339" w:bottom="1440" w:gutter="0" w:footer="0" w:header="0"/>
        </w:sectPr>
      </w:pPr>
    </w:p>
    <w:bookmarkStart w:id="177" w:name="page178"/>
    <w:bookmarkEnd w:id="177"/>
    <w:p>
      <w:pPr>
        <w:ind w:left="99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62"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Magnite, Inc.;</w:t>
      </w:r>
    </w:p>
    <w:p>
      <w:pPr>
        <w:spacing w:after="0" w:line="252"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1300" w:right="460" w:hanging="644"/>
        <w:spacing w:after="0" w:line="268"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1" w:lineRule="exact"/>
        <w:rPr>
          <w:rFonts w:ascii="Times New Roman" w:cs="Times New Roman" w:eastAsia="Times New Roman" w:hAnsi="Times New Roman"/>
          <w:sz w:val="18"/>
          <w:szCs w:val="18"/>
          <w:color w:val="auto"/>
        </w:rPr>
      </w:pPr>
    </w:p>
    <w:p>
      <w:pPr>
        <w:ind w:left="1300" w:right="100" w:hanging="644"/>
        <w:spacing w:after="0" w:line="256"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800" w:right="320" w:hanging="496"/>
        <w:spacing w:after="0" w:line="272" w:lineRule="auto"/>
        <w:tabs>
          <w:tab w:leader="none" w:pos="160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800" w:right="520" w:hanging="496"/>
        <w:spacing w:after="0" w:line="272" w:lineRule="auto"/>
        <w:tabs>
          <w:tab w:leader="none" w:pos="1615"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1800" w:hanging="496"/>
        <w:spacing w:after="0" w:line="298" w:lineRule="auto"/>
        <w:tabs>
          <w:tab w:leader="none" w:pos="160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800" w:right="20" w:hanging="496"/>
        <w:spacing w:after="0" w:line="272" w:lineRule="auto"/>
        <w:tabs>
          <w:tab w:leader="none" w:pos="1615"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Times New Roman" w:cs="Times New Roman" w:eastAsia="Times New Roman" w:hAnsi="Times New Roman"/>
          <w:sz w:val="16"/>
          <w:szCs w:val="16"/>
          <w:color w:val="auto"/>
        </w:rPr>
      </w:pPr>
    </w:p>
    <w:p>
      <w:pPr>
        <w:ind w:left="1300" w:right="220" w:hanging="644"/>
        <w:spacing w:after="0" w:line="268"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Times New Roman" w:cs="Times New Roman" w:eastAsia="Times New Roman" w:hAnsi="Times New Roman"/>
          <w:sz w:val="18"/>
          <w:szCs w:val="18"/>
          <w:color w:val="auto"/>
        </w:rPr>
      </w:pPr>
    </w:p>
    <w:p>
      <w:pPr>
        <w:ind w:left="1800" w:right="300" w:hanging="496"/>
        <w:spacing w:after="0" w:line="298" w:lineRule="auto"/>
        <w:tabs>
          <w:tab w:leader="none" w:pos="1647"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800" w:right="220" w:hanging="456"/>
        <w:spacing w:after="0" w:line="298" w:lineRule="auto"/>
        <w:tabs>
          <w:tab w:leader="none" w:pos="1696" w:val="left"/>
        </w:tabs>
        <w:numPr>
          <w:ilvl w:val="2"/>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540"/>
        <w:spacing w:after="0"/>
        <w:tabs>
          <w:tab w:leader="none" w:pos="694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260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6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23" w:lineRule="exact"/>
        <w:rPr>
          <w:sz w:val="20"/>
          <w:szCs w:val="20"/>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16"/>
          <w:szCs w:val="16"/>
          <w:color w:val="auto"/>
        </w:rPr>
        <w:t>Date February 24, 2021</w:t>
      </w:r>
      <w:r>
        <w:rPr>
          <w:sz w:val="20"/>
          <w:szCs w:val="20"/>
          <w:color w:val="auto"/>
        </w:rPr>
        <w:tab/>
      </w:r>
      <w:r>
        <w:rPr>
          <w:rFonts w:ascii="Times New Roman" w:cs="Times New Roman" w:eastAsia="Times New Roman" w:hAnsi="Times New Roman"/>
          <w:sz w:val="16"/>
          <w:szCs w:val="16"/>
          <w:color w:val="auto"/>
        </w:rPr>
        <w:t>President and Chief Executive Officer</w:t>
      </w:r>
    </w:p>
    <w:p>
      <w:pPr>
        <w:spacing w:after="0" w:line="5"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20"/>
          </w:cols>
          <w:pgMar w:left="320" w:top="893" w:right="359" w:bottom="1440" w:gutter="0" w:footer="0" w:header="0"/>
        </w:sectPr>
      </w:pPr>
    </w:p>
    <w:bookmarkStart w:id="178" w:name="page179"/>
    <w:bookmarkEnd w:id="178"/>
    <w:p>
      <w:pPr>
        <w:ind w:left="98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62" w:lineRule="exact"/>
        <w:rPr>
          <w:sz w:val="20"/>
          <w:szCs w:val="20"/>
          <w:color w:val="auto"/>
        </w:rPr>
      </w:pPr>
    </w:p>
    <w:p>
      <w:pPr>
        <w:ind w:left="1260" w:hanging="482"/>
        <w:spacing w:after="0"/>
        <w:tabs>
          <w:tab w:leader="none" w:pos="1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Magnite, Inc.;</w:t>
      </w:r>
    </w:p>
    <w:p>
      <w:pPr>
        <w:spacing w:after="0" w:line="252" w:lineRule="exact"/>
        <w:rPr>
          <w:rFonts w:ascii="Times New Roman" w:cs="Times New Roman" w:eastAsia="Times New Roman" w:hAnsi="Times New Roman"/>
          <w:sz w:val="18"/>
          <w:szCs w:val="18"/>
          <w:color w:val="auto"/>
        </w:rPr>
      </w:pPr>
    </w:p>
    <w:p>
      <w:pPr>
        <w:ind w:left="1260" w:right="40" w:hanging="482"/>
        <w:spacing w:after="0" w:line="268" w:lineRule="auto"/>
        <w:tabs>
          <w:tab w:leader="none" w:pos="1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1260" w:right="460" w:hanging="482"/>
        <w:spacing w:after="0" w:line="268" w:lineRule="auto"/>
        <w:tabs>
          <w:tab w:leader="none" w:pos="1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1" w:lineRule="exact"/>
        <w:rPr>
          <w:rFonts w:ascii="Times New Roman" w:cs="Times New Roman" w:eastAsia="Times New Roman" w:hAnsi="Times New Roman"/>
          <w:sz w:val="18"/>
          <w:szCs w:val="18"/>
          <w:color w:val="auto"/>
        </w:rPr>
      </w:pPr>
    </w:p>
    <w:p>
      <w:pPr>
        <w:ind w:left="1260" w:right="100" w:hanging="482"/>
        <w:spacing w:after="0" w:line="256" w:lineRule="auto"/>
        <w:tabs>
          <w:tab w:leader="none" w:pos="1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920" w:right="80" w:hanging="494"/>
        <w:spacing w:after="0" w:line="256" w:lineRule="auto"/>
        <w:tabs>
          <w:tab w:leader="none" w:pos="191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Times New Roman" w:cs="Times New Roman" w:eastAsia="Times New Roman" w:hAnsi="Times New Roman"/>
          <w:sz w:val="18"/>
          <w:szCs w:val="18"/>
          <w:color w:val="auto"/>
        </w:rPr>
      </w:pPr>
    </w:p>
    <w:p>
      <w:pPr>
        <w:ind w:left="1920" w:right="360" w:hanging="494"/>
        <w:spacing w:after="0" w:line="256" w:lineRule="auto"/>
        <w:tabs>
          <w:tab w:leader="none" w:pos="19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Times New Roman" w:cs="Times New Roman" w:eastAsia="Times New Roman" w:hAnsi="Times New Roman"/>
          <w:sz w:val="18"/>
          <w:szCs w:val="18"/>
          <w:color w:val="auto"/>
        </w:rPr>
      </w:pPr>
    </w:p>
    <w:p>
      <w:pPr>
        <w:jc w:val="both"/>
        <w:ind w:left="1920" w:right="540" w:hanging="494"/>
        <w:spacing w:after="0" w:line="268" w:lineRule="auto"/>
        <w:tabs>
          <w:tab w:leader="none" w:pos="191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Times New Roman" w:cs="Times New Roman" w:eastAsia="Times New Roman" w:hAnsi="Times New Roman"/>
          <w:sz w:val="18"/>
          <w:szCs w:val="18"/>
          <w:color w:val="auto"/>
        </w:rPr>
      </w:pPr>
    </w:p>
    <w:p>
      <w:pPr>
        <w:ind w:left="1920" w:right="80" w:hanging="494"/>
        <w:spacing w:after="0" w:line="256" w:lineRule="auto"/>
        <w:tabs>
          <w:tab w:leader="none" w:pos="19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Times New Roman" w:cs="Times New Roman" w:eastAsia="Times New Roman" w:hAnsi="Times New Roman"/>
          <w:sz w:val="18"/>
          <w:szCs w:val="18"/>
          <w:color w:val="auto"/>
        </w:rPr>
      </w:pPr>
    </w:p>
    <w:p>
      <w:pPr>
        <w:ind w:left="1260" w:right="360" w:hanging="482"/>
        <w:spacing w:after="0" w:line="298" w:lineRule="auto"/>
        <w:tabs>
          <w:tab w:leader="none" w:pos="111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920" w:hanging="332"/>
        <w:spacing w:after="0" w:line="268" w:lineRule="auto"/>
        <w:tabs>
          <w:tab w:leader="none" w:pos="191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Times New Roman" w:cs="Times New Roman" w:eastAsia="Times New Roman" w:hAnsi="Times New Roman"/>
          <w:sz w:val="18"/>
          <w:szCs w:val="18"/>
          <w:color w:val="auto"/>
        </w:rPr>
      </w:pPr>
    </w:p>
    <w:p>
      <w:pPr>
        <w:ind w:left="1920" w:right="460" w:hanging="332"/>
        <w:spacing w:after="0" w:line="268" w:lineRule="auto"/>
        <w:tabs>
          <w:tab w:leader="none" w:pos="192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500"/>
        <w:spacing w:after="0"/>
        <w:tabs>
          <w:tab w:leader="none" w:pos="690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20320</wp:posOffset>
            </wp:positionV>
            <wp:extent cx="27260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8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color w:val="auto"/>
        </w:rPr>
        <w:t>David Day</w:t>
      </w:r>
    </w:p>
    <w:p>
      <w:pPr>
        <w:spacing w:after="0" w:line="10"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6"/>
          <w:szCs w:val="16"/>
          <w:color w:val="auto"/>
        </w:rPr>
        <w:t>Date February 24, 2021</w:t>
      </w:r>
      <w:r>
        <w:rPr>
          <w:sz w:val="20"/>
          <w:szCs w:val="20"/>
          <w:color w:val="auto"/>
        </w:rPr>
        <w:tab/>
      </w: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180"/>
          </w:cols>
          <w:pgMar w:left="360" w:top="893"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w:t>
      </w:r>
    </w:p>
    <w:p>
      <w:pPr>
        <w:spacing w:after="0" w:line="8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SECTION 1350,</w:t>
      </w:r>
    </w:p>
    <w:p>
      <w:pPr>
        <w:spacing w:after="0" w:line="8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100"/>
        <w:spacing w:after="0" w:line="369" w:lineRule="auto"/>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31" w:lineRule="exact"/>
        <w:rPr>
          <w:sz w:val="20"/>
          <w:szCs w:val="20"/>
          <w:color w:val="auto"/>
        </w:rPr>
      </w:pPr>
    </w:p>
    <w:p>
      <w:pPr>
        <w:ind w:left="660" w:right="460" w:hanging="328"/>
        <w:spacing w:after="0" w:line="374"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Annual Report on Form 10-K for the quarter ended December 31, 2020, to which this certification is attached as Exhibit 32 (the "Report"), fully complies with the requirements of Section 13(a) or 15(d) of the Securities Exchange Act of 1934; and</w:t>
      </w:r>
    </w:p>
    <w:p>
      <w:pPr>
        <w:spacing w:after="0" w:line="2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24, 2021</w:t>
      </w:r>
    </w:p>
    <w:p>
      <w:pPr>
        <w:spacing w:after="0" w:line="8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343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8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343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8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David Day</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21" w:lineRule="exact"/>
        <w:rPr>
          <w:sz w:val="20"/>
          <w:szCs w:val="20"/>
          <w:color w:val="auto"/>
        </w:rPr>
      </w:pPr>
    </w:p>
    <w:p>
      <w:pPr>
        <w:ind w:right="60"/>
        <w:spacing w:after="0" w:line="386"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1)"/>
      <w:numFmt w:val="lowerRoman"/>
      <w:start w:val="2"/>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1)"/>
      <w:numFmt w:val="decimal"/>
      <w:start w:val="1"/>
    </w:lvl>
  </w:abstractNum>
  <w:abstractNum w:abstractNumId="17">
    <w:nsid w:val="540A471C"/>
    <w:multiLevelType w:val="hybridMultilevel"/>
    <w:lvl w:ilvl="0">
      <w:lvlJc w:val="left"/>
      <w:lvlText w:val="(%1)"/>
      <w:numFmt w:val="decimal"/>
      <w:start w:val="1"/>
    </w:lvl>
    <w:lvl w:ilvl="1">
      <w:lvlJc w:val="left"/>
      <w:lvlText w:val="(%2)"/>
      <w:numFmt w:val="decimal"/>
      <w:start w:val="2"/>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lowerRoman"/>
      <w:start w:val="3"/>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lvl w:ilvl="1">
      <w:lvlJc w:val="left"/>
      <w:lvlText w:val="◦"/>
      <w:numFmt w:val="bullet"/>
      <w:start w:val="1"/>
    </w:lvl>
  </w:abstractNum>
  <w:abstractNum w:abstractNumId="23">
    <w:nsid w:val="42963E5A"/>
    <w:multiLevelType w:val="hybridMultilevel"/>
    <w:lvl w:ilvl="0">
      <w:lvlJc w:val="left"/>
      <w:lvlText w:val="(%1)"/>
      <w:numFmt w:val="lowerRoman"/>
      <w:start w:val="1"/>
    </w:lvl>
  </w:abstractNum>
  <w:abstractNum w:abstractNumId="24">
    <w:nsid w:val="A0382C5"/>
    <w:multiLevelType w:val="hybridMultilevel"/>
    <w:lvl w:ilvl="0">
      <w:lvlJc w:val="left"/>
      <w:lvlText w:val="(%1)"/>
      <w:numFmt w:val="lowerRoman"/>
      <w:start w:val="4"/>
    </w:lvl>
  </w:abstractNum>
  <w:abstractNum w:abstractNumId="25">
    <w:nsid w:val="8F2B15E"/>
    <w:multiLevelType w:val="hybridMultilevel"/>
    <w:lvl w:ilvl="0">
      <w:lvlJc w:val="left"/>
      <w:lvlText w:val="(%1)"/>
      <w:numFmt w:val="lowerRoman"/>
      <w:start w:val="3"/>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lvl w:ilvl="1">
      <w:lvlJc w:val="left"/>
      <w:lvlText w:val="%2"/>
      <w:numFmt w:val="lowerLetter"/>
      <w:start w:val="1"/>
    </w:lvl>
  </w:abstractNum>
  <w:abstractNum w:abstractNumId="32">
    <w:nsid w:val="14330624"/>
    <w:multiLevelType w:val="hybridMultilevel"/>
    <w:lvl w:ilvl="0">
      <w:lvlJc w:val="left"/>
      <w:lvlText w:val="%1."/>
      <w:numFmt w:val="lowerLetter"/>
      <w:start w:val="2"/>
    </w:lvl>
  </w:abstractNum>
  <w:abstractNum w:abstractNumId="33">
    <w:nsid w:val="7FFFCA11"/>
    <w:multiLevelType w:val="hybridMultilevel"/>
    <w:lvl w:ilvl="0">
      <w:lvlJc w:val="left"/>
      <w:lvlText w:val="%1"/>
      <w:numFmt w:val="decimal"/>
      <w:start w:val="1"/>
    </w:lvl>
    <w:lvl w:ilvl="1">
      <w:lvlJc w:val="left"/>
      <w:lvlText w:val="(%2)"/>
      <w:numFmt w:val="lowerRoman"/>
      <w:start w:val="1"/>
    </w:lvl>
  </w:abstractNum>
  <w:abstractNum w:abstractNumId="34">
    <w:nsid w:val="1A27709E"/>
    <w:multiLevelType w:val="hybridMultilevel"/>
    <w:lvl w:ilvl="0">
      <w:lvlJc w:val="left"/>
      <w:lvlText w:val="(%1)"/>
      <w:numFmt w:val="decimal"/>
      <w:start w:val="2"/>
    </w:lvl>
    <w:lvl w:ilvl="1">
      <w:lvlJc w:val="left"/>
      <w:lvlText w:val="(%2)"/>
      <w:numFmt w:val="lowerRoman"/>
      <w:start w:val="3"/>
    </w:lvl>
  </w:abstractNum>
  <w:abstractNum w:abstractNumId="35">
    <w:nsid w:val="71EA1109"/>
    <w:multiLevelType w:val="hybridMultilevel"/>
    <w:lvl w:ilvl="0">
      <w:lvlJc w:val="left"/>
      <w:lvlText w:val="(%1)"/>
      <w:numFmt w:val="lowerRoman"/>
      <w:start w:val="5"/>
    </w:lvl>
  </w:abstractNum>
  <w:abstractNum w:abstractNumId="36">
    <w:nsid w:val="100F59DC"/>
    <w:multiLevelType w:val="hybridMultilevel"/>
    <w:lvl w:ilvl="0">
      <w:lvlJc w:val="left"/>
      <w:lvlText w:val="%1."/>
      <w:numFmt w:val="lowerLetter"/>
      <w:start w:val="3"/>
    </w:lvl>
  </w:abstractNum>
  <w:abstractNum w:abstractNumId="37">
    <w:nsid w:val="7FB7E0AA"/>
    <w:multiLevelType w:val="hybridMultilevel"/>
    <w:lvl w:ilvl="0">
      <w:lvlJc w:val="left"/>
      <w:lvlText w:val="%1"/>
      <w:numFmt w:val="lowerLetter"/>
      <w:start w:val="1"/>
    </w:lvl>
    <w:lvl w:ilvl="1">
      <w:lvlJc w:val="left"/>
      <w:lvlText w:val="%2."/>
      <w:numFmt w:val="lowerLetter"/>
      <w:start w:val="4"/>
    </w:lvl>
  </w:abstractNum>
  <w:abstractNum w:abstractNumId="38">
    <w:nsid w:val="6EB5BD4"/>
    <w:multiLevelType w:val="hybridMultilevel"/>
    <w:lvl w:ilvl="0">
      <w:lvlJc w:val="left"/>
      <w:lvlText w:val="(%1)"/>
      <w:numFmt w:val="lowerLetter"/>
      <w:start w:val="35"/>
    </w:lvl>
    <w:lvl w:ilvl="1">
      <w:lvlJc w:val="left"/>
      <w:lvlText w:val="%2"/>
      <w:numFmt w:val="lowerLetter"/>
      <w:start w:val="1"/>
    </w:lvl>
  </w:abstractNum>
  <w:abstractNum w:abstractNumId="39">
    <w:nsid w:val="6F6DD9AC"/>
    <w:multiLevelType w:val="hybridMultilevel"/>
    <w:lvl w:ilvl="0">
      <w:lvlJc w:val="left"/>
      <w:lvlText w:val="(%1)"/>
      <w:numFmt w:val="lowerLetter"/>
      <w:start w:val="5"/>
    </w:lvl>
    <w:lvl w:ilvl="1">
      <w:lvlJc w:val="left"/>
      <w:lvlText w:val="%2."/>
      <w:numFmt w:val="lowerLetter"/>
      <w:start w:val="7"/>
    </w:lvl>
  </w:abstractNum>
  <w:abstractNum w:abstractNumId="40">
    <w:nsid w:val="94211F2"/>
    <w:multiLevelType w:val="hybridMultilevel"/>
    <w:lvl w:ilvl="0">
      <w:lvlJc w:val="left"/>
      <w:lvlText w:val="%1."/>
      <w:numFmt w:val="lowerLetter"/>
      <w:start w:val="8"/>
    </w:lvl>
  </w:abstractNum>
  <w:abstractNum w:abstractNumId="41">
    <w:nsid w:val="885E1B"/>
    <w:multiLevelType w:val="hybridMultilevel"/>
    <w:lvl w:ilvl="0">
      <w:lvlJc w:val="left"/>
      <w:lvlText w:val="•"/>
      <w:numFmt w:val="bullet"/>
      <w:start w:val="1"/>
    </w:lvl>
    <w:lvl w:ilvl="1">
      <w:lvlJc w:val="left"/>
      <w:lvlText w:val="%2."/>
      <w:numFmt w:val="lowerLetter"/>
      <w:start w:val="9"/>
    </w:lvl>
  </w:abstractNum>
  <w:abstractNum w:abstractNumId="42">
    <w:nsid w:val="76272110"/>
    <w:multiLevelType w:val="hybridMultilevel"/>
    <w:lvl w:ilvl="0">
      <w:lvlJc w:val="left"/>
      <w:lvlText w:val="•"/>
      <w:numFmt w:val="bullet"/>
      <w:start w:val="1"/>
    </w:lvl>
    <w:lvl w:ilvl="1">
      <w:lvlJc w:val="left"/>
      <w:lvlText w:val="%2."/>
      <w:numFmt w:val="lowerLetter"/>
      <w:start w:val="14"/>
    </w:lvl>
  </w:abstractNum>
  <w:abstractNum w:abstractNumId="43">
    <w:nsid w:val="4C04A8AF"/>
    <w:multiLevelType w:val="hybridMultilevel"/>
    <w:lvl w:ilvl="0">
      <w:lvlJc w:val="left"/>
      <w:lvlText w:val="•"/>
      <w:numFmt w:val="bullet"/>
      <w:start w:val="1"/>
    </w:lvl>
    <w:lvl w:ilvl="1">
      <w:lvlJc w:val="left"/>
      <w:lvlText w:val="%2."/>
      <w:numFmt w:val="lowerLetter"/>
      <w:start w:val="15"/>
    </w:lvl>
  </w:abstractNum>
  <w:abstractNum w:abstractNumId="44">
    <w:nsid w:val="1716703B"/>
    <w:multiLevelType w:val="hybridMultilevel"/>
    <w:lvl w:ilvl="0">
      <w:lvlJc w:val="left"/>
      <w:lvlText w:val="•"/>
      <w:numFmt w:val="bullet"/>
      <w:start w:val="1"/>
    </w:lvl>
    <w:lvl w:ilvl="1">
      <w:lvlJc w:val="left"/>
      <w:lvlText w:val="%2."/>
      <w:numFmt w:val="lowerLetter"/>
      <w:start w:val="16"/>
    </w:lvl>
  </w:abstractNum>
  <w:abstractNum w:abstractNumId="45">
    <w:nsid w:val="14E17E33"/>
    <w:multiLevelType w:val="hybridMultilevel"/>
    <w:lvl w:ilvl="0">
      <w:lvlJc w:val="left"/>
      <w:lvlText w:val="•"/>
      <w:numFmt w:val="bullet"/>
      <w:start w:val="1"/>
    </w:lvl>
    <w:lvl w:ilvl="1">
      <w:lvlJc w:val="left"/>
      <w:lvlText w:val="%2."/>
      <w:numFmt w:val="lowerLetter"/>
      <w:start w:val="18"/>
    </w:lvl>
  </w:abstractNum>
  <w:abstractNum w:abstractNumId="46">
    <w:nsid w:val="3222E7CD"/>
    <w:multiLevelType w:val="hybridMultilevel"/>
    <w:lvl w:ilvl="0">
      <w:lvlJc w:val="left"/>
      <w:lvlText w:val="•"/>
      <w:numFmt w:val="bullet"/>
      <w:start w:val="1"/>
    </w:lvl>
    <w:lvl w:ilvl="1">
      <w:lvlJc w:val="left"/>
      <w:lvlText w:val="%2."/>
      <w:numFmt w:val="lowerLetter"/>
      <w:start w:val="19"/>
    </w:lvl>
  </w:abstractNum>
  <w:abstractNum w:abstractNumId="47">
    <w:nsid w:val="74DE0EE3"/>
    <w:multiLevelType w:val="hybridMultilevel"/>
    <w:lvl w:ilvl="0">
      <w:lvlJc w:val="left"/>
      <w:lvlText w:val="•"/>
      <w:numFmt w:val="bullet"/>
      <w:start w:val="1"/>
    </w:lvl>
    <w:lvl w:ilvl="1">
      <w:lvlJc w:val="left"/>
      <w:lvlText w:val="%2."/>
      <w:numFmt w:val="lowerLetter"/>
      <w:start w:val="20"/>
    </w:lvl>
  </w:abstractNum>
  <w:abstractNum w:abstractNumId="48">
    <w:nsid w:val="68EBC550"/>
    <w:multiLevelType w:val="hybridMultilevel"/>
    <w:lvl w:ilvl="0">
      <w:lvlJc w:val="left"/>
      <w:lvlText w:val="•"/>
      <w:numFmt w:val="bullet"/>
      <w:start w:val="1"/>
    </w:lvl>
    <w:lvl w:ilvl="1">
      <w:lvlJc w:val="left"/>
      <w:lvlText w:val="%2."/>
      <w:numFmt w:val="lowerLetter"/>
      <w:start w:val="22"/>
    </w:lvl>
  </w:abstractNum>
  <w:abstractNum w:abstractNumId="49">
    <w:nsid w:val="2DF6D648"/>
    <w:multiLevelType w:val="hybridMultilevel"/>
    <w:lvl w:ilvl="0">
      <w:lvlJc w:val="left"/>
      <w:lvlText w:val="•"/>
      <w:numFmt w:val="bullet"/>
      <w:start w:val="1"/>
    </w:lvl>
    <w:lvl w:ilvl="1">
      <w:lvlJc w:val="left"/>
      <w:lvlText w:val="%2."/>
      <w:numFmt w:val="lowerLetter"/>
      <w:start w:val="23"/>
    </w:lvl>
  </w:abstractNum>
  <w:abstractNum w:abstractNumId="50">
    <w:nsid w:val="46B7D447"/>
    <w:multiLevelType w:val="hybridMultilevel"/>
    <w:lvl w:ilvl="0">
      <w:lvlJc w:val="left"/>
      <w:lvlText w:val="•"/>
      <w:numFmt w:val="bullet"/>
      <w:start w:val="1"/>
    </w:lvl>
    <w:lvl w:ilvl="1">
      <w:lvlJc w:val="left"/>
      <w:lvlText w:val="%2"/>
      <w:numFmt w:val="lowerLetter"/>
      <w:start w:val="1"/>
    </w:lvl>
  </w:abstractNum>
  <w:abstractNum w:abstractNumId="51">
    <w:nsid w:val="4A2AC315"/>
    <w:multiLevelType w:val="hybridMultilevel"/>
    <w:lvl w:ilvl="0">
      <w:lvlJc w:val="left"/>
      <w:lvlText w:val="%1."/>
      <w:numFmt w:val="lowerLetter"/>
      <w:start w:val="27"/>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1)"/>
      <w:numFmt w:val="lowerRoman"/>
      <w:start w:val="1"/>
    </w:lvl>
  </w:abstractNum>
  <w:abstractNum w:abstractNumId="56">
    <w:nsid w:val="60EF0119"/>
    <w:multiLevelType w:val="hybridMultilevel"/>
    <w:lvl w:ilvl="0">
      <w:lvlJc w:val="left"/>
      <w:lvlText w:val="(%1)"/>
      <w:numFmt w:val="lowerRoman"/>
      <w:start w:val="2"/>
    </w:lvl>
  </w:abstractNum>
  <w:abstractNum w:abstractNumId="57">
    <w:nsid w:val="26F324BA"/>
    <w:multiLevelType w:val="hybridMultilevel"/>
    <w:lvl w:ilvl="0">
      <w:lvlJc w:val="left"/>
      <w:lvlText w:val="(%1)"/>
      <w:numFmt w:val="lowerLetter"/>
      <w:start w:val="2"/>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Letter"/>
      <w:start w:val="2"/>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9"/>
    </w:lvl>
  </w:abstractNum>
  <w:abstractNum w:abstractNumId="66">
    <w:nsid w:val="7672BD23"/>
    <w:multiLevelType w:val="hybridMultilevel"/>
    <w:lvl w:ilvl="0">
      <w:lvlJc w:val="left"/>
      <w:lvlText w:val="(%1)"/>
      <w:numFmt w:val="lowerLetter"/>
      <w:start w:val="4"/>
    </w:lvl>
  </w:abstractNum>
  <w:abstractNum w:abstractNumId="67">
    <w:nsid w:val="6FC75AF8"/>
    <w:multiLevelType w:val="hybridMultilevel"/>
    <w:lvl w:ilvl="0">
      <w:lvlJc w:val="left"/>
      <w:lvlText w:val="%1."/>
      <w:numFmt w:val="lowerLetter"/>
      <w:start w:val="28"/>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
      <w:numFmt w:val="bullet"/>
      <w:start w:val="1"/>
    </w:lvl>
    <w:lvl w:ilvl="1">
      <w:lvlJc w:val="left"/>
      <w:lvlText w:val="%2."/>
      <w:numFmt w:val="lowerLetter"/>
      <w:start w:val="1"/>
    </w:lvl>
  </w:abstractNum>
  <w:abstractNum w:abstractNumId="70">
    <w:nsid w:val="5F3534A4"/>
    <w:multiLevelType w:val="hybridMultilevel"/>
    <w:lvl w:ilvl="0">
      <w:lvlJc w:val="left"/>
      <w:lvlText w:val="(%1)"/>
      <w:numFmt w:val="lowerRoman"/>
      <w:start w:val="2"/>
    </w:lvl>
  </w:abstractNum>
  <w:abstractNum w:abstractNumId="71">
    <w:nsid w:val="73A1821B"/>
    <w:multiLevelType w:val="hybridMultilevel"/>
    <w:lvl w:ilvl="0">
      <w:lvlJc w:val="left"/>
      <w:lvlText w:val="%1"/>
      <w:numFmt w:val="lowerLetter"/>
      <w:start w:val="1"/>
    </w:lvl>
    <w:lvl w:ilvl="1">
      <w:lvlJc w:val="left"/>
      <w:lvlText w:val="%2."/>
      <w:numFmt w:val="lowerLetter"/>
      <w:start w:val="3"/>
    </w:lvl>
  </w:abstractNum>
  <w:abstractNum w:abstractNumId="72">
    <w:nsid w:val="7DE67713"/>
    <w:multiLevelType w:val="hybridMultilevel"/>
    <w:lvl w:ilvl="0">
      <w:lvlJc w:val="left"/>
      <w:lvlText w:val="(%1)"/>
      <w:numFmt w:val="lowerLetter"/>
      <w:start w:val="4"/>
    </w:lvl>
    <w:lvl w:ilvl="1">
      <w:lvlJc w:val="left"/>
      <w:lvlText w:val="%2"/>
      <w:numFmt w:val="lowerLetter"/>
      <w:start w:val="1"/>
    </w:lvl>
  </w:abstractNum>
  <w:abstractNum w:abstractNumId="73">
    <w:nsid w:val="555C55B5"/>
    <w:multiLevelType w:val="hybridMultilevel"/>
    <w:lvl w:ilvl="0">
      <w:lvlJc w:val="left"/>
      <w:lvlText w:val="(%1)"/>
      <w:numFmt w:val="lowerRoman"/>
      <w:start w:val="3"/>
    </w:lvl>
    <w:lvl w:ilvl="1">
      <w:lvlJc w:val="left"/>
      <w:lvlText w:val="%2."/>
      <w:numFmt w:val="lowerLetter"/>
      <w:start w:val="4"/>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Roman"/>
      <w:start w:val="2"/>
    </w:lvl>
  </w:abstractNum>
  <w:abstractNum w:abstractNumId="76">
    <w:nsid w:val="6A3DD3E8"/>
    <w:multiLevelType w:val="hybridMultilevel"/>
    <w:lvl w:ilvl="0">
      <w:lvlJc w:val="left"/>
      <w:lvlText w:val="(%1)"/>
      <w:numFmt w:val="lowerRoman"/>
      <w:start w:val="1"/>
    </w:lvl>
  </w:abstractNum>
  <w:abstractNum w:abstractNumId="77">
    <w:nsid w:val="71C91298"/>
    <w:multiLevelType w:val="hybridMultilevel"/>
    <w:lvl w:ilvl="0">
      <w:lvlJc w:val="left"/>
      <w:lvlText w:val="•"/>
      <w:numFmt w:val="bullet"/>
      <w:start w:val="1"/>
    </w:lvl>
    <w:lvl w:ilvl="1">
      <w:lvlJc w:val="left"/>
      <w:lvlText w:val="%2."/>
      <w:numFmt w:val="lowerLetter"/>
      <w:start w:val="5"/>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lvl w:ilvl="1">
      <w:lvlJc w:val="left"/>
      <w:lvlText w:val="%2."/>
      <w:numFmt w:val="lowerLetter"/>
      <w:start w:val="1"/>
    </w:lvl>
  </w:abstractNum>
  <w:abstractNum w:abstractNumId="80">
    <w:nsid w:val="1FBFE8E0"/>
    <w:multiLevelType w:val="hybridMultilevel"/>
    <w:lvl w:ilvl="0">
      <w:lvlJc w:val="left"/>
      <w:lvlText w:val="•"/>
      <w:numFmt w:val="bullet"/>
      <w:start w:val="1"/>
    </w:lvl>
    <w:lvl w:ilvl="1">
      <w:lvlJc w:val="left"/>
      <w:lvlText w:val="%2."/>
      <w:numFmt w:val="lowerLetter"/>
      <w:start w:val="3"/>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
      <w:numFmt w:val="bullet"/>
      <w:start w:val="1"/>
    </w:lvl>
    <w:lvl w:ilvl="1">
      <w:lvlJc w:val="left"/>
      <w:lvlText w:val="%2."/>
      <w:numFmt w:val="lowerLetter"/>
      <w:start w:val="10"/>
    </w:lvl>
    <w:lvl w:ilvl="2">
      <w:lvlJc w:val="left"/>
      <w:lvlText w:val="%3"/>
      <w:numFmt w:val="lowerLetter"/>
      <w:start w:val="1"/>
    </w:lvl>
  </w:abstractNum>
  <w:abstractNum w:abstractNumId="83">
    <w:nsid w:val="59ADEA3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84">
    <w:nsid w:val="288F1A34"/>
    <w:multiLevelType w:val="hybridMultilevel"/>
    <w:lvl w:ilvl="0">
      <w:lvlJc w:val="left"/>
      <w:lvlText w:val="•"/>
      <w:numFmt w:val="bullet"/>
      <w:start w:val="1"/>
    </w:lvl>
    <w:lvl w:ilvl="1">
      <w:lvlJc w:val="left"/>
      <w:lvlText w:val="%2."/>
      <w:numFmt w:val="lowerLetter"/>
      <w:start w:val="13"/>
    </w:lvl>
    <w:lvl w:ilvl="2">
      <w:lvlJc w:val="left"/>
      <w:lvlText w:val="%3"/>
      <w:numFmt w:val="lowerLetter"/>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1."/>
      <w:numFmt w:val="decimal"/>
      <w:start w:val="1"/>
    </w:lvl>
  </w:abstractNum>
  <w:abstractNum w:abstractNumId="87">
    <w:nsid w:val="97E1B4E"/>
    <w:multiLevelType w:val="hybridMultilevel"/>
    <w:lvl w:ilvl="0">
      <w:lvlJc w:val="left"/>
      <w:lvlText w:val="%1."/>
      <w:numFmt w:val="decimal"/>
      <w:start w:val="9"/>
    </w:lvl>
  </w:abstractNum>
  <w:abstractNum w:abstractNumId="88">
    <w:nsid w:val="51088277"/>
    <w:multiLevelType w:val="hybridMultilevel"/>
    <w:lvl w:ilvl="0">
      <w:lvlJc w:val="left"/>
      <w:lvlText w:val="%1."/>
      <w:numFmt w:val="decimal"/>
      <w:start w:val="20"/>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lvl w:ilvl="1">
      <w:lvlJc w:val="left"/>
      <w:lvlText w:val="(%2)"/>
      <w:numFmt w:val="lowerRoman"/>
      <w:start w:val="5"/>
    </w:lvl>
  </w:abstractNum>
  <w:abstractNum w:abstractNumId="91">
    <w:nsid w:val="415E286C"/>
    <w:multiLevelType w:val="hybridMultilevel"/>
    <w:lvl w:ilvl="0">
      <w:lvlJc w:val="left"/>
      <w:lvlText w:val="•"/>
      <w:numFmt w:val="bullet"/>
      <w:start w:val="1"/>
    </w:lvl>
    <w:lvl w:ilvl="1">
      <w:lvlJc w:val="left"/>
      <w:lvlText w:val="(%2)"/>
      <w:numFmt w:val="lowerRoman"/>
      <w:start w:val="7"/>
    </w:lvl>
  </w:abstractNum>
  <w:abstractNum w:abstractNumId="92">
    <w:nsid w:val="7C58FD0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3">
    <w:nsid w:val="23D86AAC"/>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abstractNum>
  <w:abstractNum w:abstractNumId="94">
    <w:nsid w:val="45E6D486"/>
    <w:multiLevelType w:val="hybridMultilevel"/>
    <w:lvl w:ilvl="0">
      <w:lvlJc w:val="left"/>
      <w:lvlText w:val="%1."/>
      <w:numFmt w:val="upperLetter"/>
      <w:start w:val="1"/>
    </w:lvl>
  </w:abstractNum>
  <w:abstractNum w:abstractNumId="95">
    <w:nsid w:val="5C10FE21"/>
    <w:multiLevelType w:val="hybridMultilevel"/>
    <w:lvl w:ilvl="0">
      <w:lvlJc w:val="left"/>
      <w:lvlText w:val="%1."/>
      <w:numFmt w:val="upperLetter"/>
      <w:start w:val="1"/>
    </w:lvl>
    <w:lvl w:ilvl="1">
      <w:lvlJc w:val="left"/>
      <w:lvlText w:val="%2."/>
      <w:numFmt w:val="decimal"/>
      <w:start w:val="1"/>
    </w:lvl>
  </w:abstractNum>
  <w:abstractNum w:abstractNumId="96">
    <w:nsid w:val="E7FFA2B"/>
    <w:multiLevelType w:val="hybridMultilevel"/>
    <w:lvl w:ilvl="0">
      <w:lvlJc w:val="left"/>
      <w:lvlText w:val="%1."/>
      <w:numFmt w:val="upperLetter"/>
      <w:start w:val="3"/>
    </w:lvl>
  </w:abstractNum>
  <w:abstractNum w:abstractNumId="97">
    <w:nsid w:val="3C5991AA"/>
    <w:multiLevelType w:val="hybridMultilevel"/>
    <w:lvl w:ilvl="0">
      <w:lvlJc w:val="left"/>
      <w:lvlText w:val="%1."/>
      <w:numFmt w:val="lowerRoman"/>
      <w:start w:val="1"/>
    </w:lvl>
  </w:abstractNum>
  <w:abstractNum w:abstractNumId="98">
    <w:nsid w:val="4BD8591A"/>
    <w:multiLevelType w:val="hybridMultilevel"/>
    <w:lvl w:ilvl="0">
      <w:lvlJc w:val="left"/>
      <w:lvlText w:val="%1."/>
      <w:numFmt w:val="lowerRoman"/>
      <w:start w:val="1"/>
    </w:lvl>
  </w:abstractNum>
  <w:abstractNum w:abstractNumId="99">
    <w:nsid w:val="78DF6A5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2"/>
    </w:lvl>
  </w:abstractNum>
  <w:abstractNum w:abstractNumId="100">
    <w:nsid w:val="39B7AAA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1"/>
    </w:lvl>
  </w:abstractNum>
  <w:abstractNum w:abstractNumId="101">
    <w:nsid w:val="2B0D8DB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02">
    <w:nsid w:val="6C80EC70"/>
    <w:multiLevelType w:val="hybridMultilevel"/>
    <w:lvl w:ilvl="0">
      <w:lvlJc w:val="left"/>
      <w:lvlText w:val="%1."/>
      <w:numFmt w:val="lowerRoman"/>
      <w:start w:val="2"/>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lowerLetter"/>
      <w:start w:val="8"/>
    </w:lvl>
    <w:lvl w:ilvl="1">
      <w:lvlJc w:val="left"/>
      <w:lvlText w:val="%2."/>
      <w:numFmt w:val="lowerRoman"/>
      <w:start w:val="1"/>
    </w:lvl>
  </w:abstractNum>
  <w:abstractNum w:abstractNumId="105">
    <w:nsid w:val="2C27173B"/>
    <w:multiLevelType w:val="hybridMultilevel"/>
    <w:lvl w:ilvl="0">
      <w:lvlJc w:val="left"/>
      <w:lvlText w:val="%1."/>
      <w:numFmt w:val="lowerRoman"/>
      <w:start w:val="3"/>
    </w:lvl>
  </w:abstractNum>
  <w:abstractNum w:abstractNumId="106">
    <w:nsid w:val="4C9B0904"/>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107">
    <w:nsid w:val="6AA7B75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08">
    <w:nsid w:val="1DF029D3"/>
    <w:multiLevelType w:val="hybridMultilevel"/>
    <w:lvl w:ilvl="0">
      <w:lvlJc w:val="left"/>
      <w:lvlText w:val="•"/>
      <w:numFmt w:val="bullet"/>
      <w:start w:val="1"/>
    </w:lvl>
    <w:lvl w:ilvl="1">
      <w:lvlJc w:val="left"/>
      <w:lvlText w:val="%2."/>
      <w:numFmt w:val="lowerLetter"/>
      <w:start w:val="10"/>
    </w:lvl>
    <w:lvl w:ilvl="2">
      <w:lvlJc w:val="left"/>
      <w:lvlText w:val="%3."/>
      <w:numFmt w:val="lowerRoman"/>
      <w:start w:val="1"/>
    </w:lvl>
  </w:abstractNum>
  <w:abstractNum w:abstractNumId="109">
    <w:nsid w:val="5675FF36"/>
    <w:multiLevelType w:val="hybridMultilevel"/>
    <w:lvl w:ilvl="0">
      <w:lvlJc w:val="left"/>
      <w:lvlText w:val="%1"/>
      <w:numFmt w:val="lowerRoman"/>
      <w:start w:val="1"/>
    </w:lvl>
    <w:lvl w:ilvl="1">
      <w:lvlJc w:val="left"/>
      <w:lvlText w:val="%2."/>
      <w:numFmt w:val="lowerRoman"/>
      <w:start w:val="2"/>
    </w:lvl>
  </w:abstractNum>
  <w:abstractNum w:abstractNumId="110">
    <w:nsid w:val="3DD15094"/>
    <w:multiLevelType w:val="hybridMultilevel"/>
    <w:lvl w:ilvl="0">
      <w:lvlJc w:val="left"/>
      <w:lvlText w:val="%1."/>
      <w:numFmt w:val="lowerRoman"/>
      <w:start w:val="4"/>
    </w:lvl>
    <w:lvl w:ilvl="1">
      <w:lvlJc w:val="left"/>
      <w:lvlText w:val="%2"/>
      <w:numFmt w:val="lowerRoman"/>
      <w:start w:val="1"/>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Roman"/>
      <w:start w:val="1"/>
    </w:lvl>
  </w:abstractNum>
  <w:abstractNum w:abstractNumId="113">
    <w:nsid w:val="5B25ACE2"/>
    <w:multiLevelType w:val="hybridMultilevel"/>
    <w:lvl w:ilvl="0">
      <w:lvlJc w:val="left"/>
      <w:lvlText w:val="%1"/>
      <w:numFmt w:val="lowerRoman"/>
      <w:start w:val="1"/>
    </w:lvl>
    <w:lvl w:ilvl="1">
      <w:lvlJc w:val="left"/>
      <w:lvlText w:val="%2."/>
      <w:numFmt w:val="lowerRoman"/>
      <w:start w:val="1"/>
    </w:lvl>
  </w:abstractNum>
  <w:abstractNum w:abstractNumId="114">
    <w:nsid w:val="175DFCF0"/>
    <w:multiLevelType w:val="hybridMultilevel"/>
    <w:lvl w:ilvl="0">
      <w:lvlJc w:val="left"/>
      <w:lvlText w:val="%1."/>
      <w:numFmt w:val="lowerRoman"/>
      <w:start w:val="4"/>
    </w:lvl>
    <w:lvl w:ilvl="1">
      <w:lvlJc w:val="left"/>
      <w:lvlText w:val="%2"/>
      <w:numFmt w:val="lowerRoman"/>
      <w:start w:val="1"/>
    </w:lvl>
  </w:abstractNum>
  <w:abstractNum w:abstractNumId="115">
    <w:nsid w:val="4F97E3E4"/>
    <w:multiLevelType w:val="hybridMultilevel"/>
    <w:lvl w:ilvl="0">
      <w:lvlJc w:val="left"/>
      <w:lvlText w:val="%1."/>
      <w:numFmt w:val="decimal"/>
      <w:start w:val="8"/>
    </w:lvl>
  </w:abstractNum>
  <w:abstractNum w:abstractNumId="116">
    <w:nsid w:val="53B0A9E"/>
    <w:multiLevelType w:val="hybridMultilevel"/>
    <w:lvl w:ilvl="0">
      <w:lvlJc w:val="left"/>
      <w:lvlText w:val="(%1)"/>
      <w:numFmt w:val="lowerLetter"/>
      <w:start w:val="2"/>
    </w:lvl>
  </w:abstractNum>
  <w:abstractNum w:abstractNumId="117">
    <w:nsid w:val="34FD6B4F"/>
    <w:multiLevelType w:val="hybridMultilevel"/>
    <w:lvl w:ilvl="0">
      <w:lvlJc w:val="left"/>
      <w:lvlText w:val="%1."/>
      <w:numFmt w:val="decimal"/>
      <w:start w:val="9"/>
    </w:lvl>
    <w:lvl w:ilvl="1">
      <w:lvlJc w:val="left"/>
      <w:lvlText w:val="(%2)"/>
      <w:numFmt w:val="lowerRoman"/>
      <w:start w:val="1"/>
    </w:lvl>
  </w:abstractNum>
  <w:abstractNum w:abstractNumId="118">
    <w:nsid w:val="5915FF32"/>
    <w:multiLevelType w:val="hybridMultilevel"/>
    <w:lvl w:ilvl="0">
      <w:lvlJc w:val="left"/>
      <w:lvlText w:val="%1"/>
      <w:numFmt w:val="decimal"/>
      <w:start w:val="1"/>
    </w:lvl>
    <w:lvl w:ilvl="1">
      <w:lvlJc w:val="left"/>
      <w:lvlText w:val="(%2)"/>
      <w:numFmt w:val="lowerRoman"/>
      <w:start w:val="4"/>
    </w:lvl>
  </w:abstractNum>
  <w:abstractNum w:abstractNumId="119">
    <w:nsid w:val="56438D15"/>
    <w:multiLevelType w:val="hybridMultilevel"/>
    <w:lvl w:ilvl="0">
      <w:lvlJc w:val="left"/>
      <w:lvlText w:val="%1."/>
      <w:numFmt w:val="decimal"/>
      <w:start w:val="10"/>
    </w:lvl>
  </w:abstractNum>
  <w:abstractNum w:abstractNumId="120">
    <w:nsid w:val="519E3149"/>
    <w:multiLevelType w:val="hybridMultilevel"/>
    <w:lvl w:ilvl="0">
      <w:lvlJc w:val="left"/>
      <w:lvlText w:val="%1."/>
      <w:numFmt w:val="decimal"/>
      <w:start w:val="11"/>
    </w:lvl>
  </w:abstractNum>
  <w:abstractNum w:abstractNumId="121">
    <w:nsid w:val="2C6E4AFD"/>
    <w:multiLevelType w:val="hybridMultilevel"/>
    <w:lvl w:ilvl="0">
      <w:lvlJc w:val="left"/>
      <w:lvlText w:val="%1."/>
      <w:numFmt w:val="decimal"/>
      <w:start w:val="12"/>
    </w:lvl>
  </w:abstractNum>
  <w:abstractNum w:abstractNumId="122">
    <w:nsid w:val="17A1B582"/>
    <w:multiLevelType w:val="hybridMultilevel"/>
    <w:lvl w:ilvl="0">
      <w:lvlJc w:val="left"/>
      <w:lvlText w:val="%1."/>
      <w:numFmt w:val="lowerRoman"/>
      <w:start w:val="5"/>
    </w:lvl>
  </w:abstractNum>
  <w:abstractNum w:abstractNumId="123">
    <w:nsid w:val="4DF72E4E"/>
    <w:multiLevelType w:val="hybridMultilevel"/>
    <w:lvl w:ilvl="0">
      <w:lvlJc w:val="left"/>
      <w:lvlText w:val="%1."/>
      <w:numFmt w:val="lowerRoman"/>
      <w:start w:val="6"/>
    </w:lvl>
  </w:abstractNum>
  <w:abstractNum w:abstractNumId="124">
    <w:nsid w:val="5046B5A9"/>
    <w:multiLevelType w:val="hybridMultilevel"/>
    <w:lvl w:ilvl="0">
      <w:lvlJc w:val="left"/>
      <w:lvlText w:val="%1."/>
      <w:numFmt w:val="lowerRoman"/>
      <w:start w:val="14"/>
    </w:lvl>
    <w:lvl w:ilvl="1">
      <w:lvlJc w:val="left"/>
      <w:lvlText w:val="%2."/>
      <w:numFmt w:val="lowerRoman"/>
      <w:start w:val="16"/>
    </w:lvl>
  </w:abstractNum>
  <w:abstractNum w:abstractNumId="125">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decimal"/>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29">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32" Type="http://schemas.openxmlformats.org/officeDocument/2006/relationships/hyperlink" Target="https://www.sec.gov/Archives/edgar/data/1595974/000119312519321262/d689169dex21.htm" TargetMode="External"/><Relationship Id="rId133" Type="http://schemas.openxmlformats.org/officeDocument/2006/relationships/hyperlink" Target="https://www.sec.gov/Archives/edgar/data/1595974/000138713121001803/ex2-1.htm" TargetMode="External"/><Relationship Id="rId134" Type="http://schemas.openxmlformats.org/officeDocument/2006/relationships/hyperlink" Target="http://www.sec.gov/Archives/edgar/data/1595974/000159597414000004/rubi20140331exhibit31.htm" TargetMode="External"/><Relationship Id="rId135" Type="http://schemas.openxmlformats.org/officeDocument/2006/relationships/hyperlink" Target="https://www.sec.gov/Archives/edgar/data/1595974/000138713120006046/ex3-1.htm" TargetMode="External"/><Relationship Id="rId136" Type="http://schemas.openxmlformats.org/officeDocument/2006/relationships/hyperlink" Target="https://www.sec.gov/Archives/edgar/data/1595974/000138713120006046/ex3-2.htm" TargetMode="External"/><Relationship Id="rId137" Type="http://schemas.openxmlformats.org/officeDocument/2006/relationships/hyperlink" Target="http://www.sec.gov/Archives/edgar/data/1595974/000119312514107181/d652651dex101.htm" TargetMode="External"/><Relationship Id="rId138" Type="http://schemas.openxmlformats.org/officeDocument/2006/relationships/hyperlink" Target="http://www.sec.gov/Archives/edgar/data/1595974/000162828016014095/ex1012014equityincentivepl.htm" TargetMode="External"/><Relationship Id="rId139" Type="http://schemas.openxmlformats.org/officeDocument/2006/relationships/hyperlink" Target="http://www.sec.gov/Archives/edgar/data/1595974/000162828015001546/exhibit102b-2014planglobal.htm" TargetMode="External"/><Relationship Id="rId140" Type="http://schemas.openxmlformats.org/officeDocument/2006/relationships/hyperlink" Target="http://www.sec.gov/Archives/edgar/data/1595974/000162828015001546/exhibit102c2014planglobalr.htm" TargetMode="External"/><Relationship Id="rId143" Type="http://schemas.openxmlformats.org/officeDocument/2006/relationships/hyperlink" Target="http://www.sec.gov/Archives/edgar/data/1595974/000162828015001546/exhibit102d-nonxempeedirec.htm" TargetMode="External"/><Relationship Id="rId144" Type="http://schemas.openxmlformats.org/officeDocument/2006/relationships/hyperlink" Target="http://www.sec.gov/Archives/edgar/data/1595974/000162828015001546/exhibit102e-nonxemployeedi.htm" TargetMode="External"/><Relationship Id="rId145" Type="http://schemas.openxmlformats.org/officeDocument/2006/relationships/hyperlink" Target="http://www.sec.gov/Archives/edgar/data/1595974/000119312514201205/d726611dex992.htm" TargetMode="External"/><Relationship Id="rId146" Type="http://schemas.openxmlformats.org/officeDocument/2006/relationships/hyperlink" Target="http://www.sec.gov/Archives/edgar/data/1595974/000162828016014095/ex1022014inducementgranteq.htm" TargetMode="External"/><Relationship Id="rId147" Type="http://schemas.openxmlformats.org/officeDocument/2006/relationships/hyperlink" Target="https://www.sec.gov/Archives/edgar/data/1595974/000138713120003794/ex99-2.htm" TargetMode="External"/><Relationship Id="rId148" Type="http://schemas.openxmlformats.org/officeDocument/2006/relationships/hyperlink" Target="https://www.sec.gov/Archives/edgar/data/1595974/000159597420000151/svbexhibit.htm" TargetMode="External"/><Relationship Id="rId149" Type="http://schemas.openxmlformats.org/officeDocument/2006/relationships/hyperlink" Target="http://www.sec.gov/Archives/edgar/data/1595974/000119312514107181/d652651dex1017.htm" TargetMode="External"/><Relationship Id="rId150" Type="http://schemas.openxmlformats.org/officeDocument/2006/relationships/hyperlink" Target="https://www.sec.gov/Archives/edgar/data/1595974/000159597420000026/exhibit1023.htm" TargetMode="External"/><Relationship Id="rId151" Type="http://schemas.openxmlformats.org/officeDocument/2006/relationships/hyperlink" Target="http://www.sec.gov/Archives/edgar/data/1595974/000162828017002792/exhibit101.htm" TargetMode="External"/><Relationship Id="rId152" Type="http://schemas.openxmlformats.org/officeDocument/2006/relationships/hyperlink" Target="http://www.sec.gov/Archives/edgar/data/1595974/000162828017002792/exhibit102.htm" TargetMode="External"/><Relationship Id="rId153" Type="http://schemas.openxmlformats.org/officeDocument/2006/relationships/hyperlink" Target="https://www.sec.gov/Archives/edgar/data/1595974/000159597420000130/saltzseveranceagreemen.htm" TargetMode="External"/><Relationship Id="rId154" Type="http://schemas.openxmlformats.org/officeDocument/2006/relationships/hyperlink" Target="https://www.sec.gov/Archives/edgar/data/1595974/000159597420000151/listofsubsidiarie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2021-02-25T05:22:09Z</dcterms:created>
  <dcterms:modified xsi:type="dcterms:W3CDTF">2021-02-25T05:22:09Z</dcterms:modified>
</cp:coreProperties>
</file>