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153" w:lineRule="exact"/>
        <w:rPr>
          <w:sz w:val="24"/>
          <w:szCs w:val="24"/>
          <w:color w:val="auto"/>
        </w:rPr>
      </w:pPr>
    </w:p>
    <w:p>
      <w:pPr>
        <w:ind w:left="240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67" w:lineRule="exact"/>
        <w:rPr>
          <w:sz w:val="24"/>
          <w:szCs w:val="24"/>
          <w:color w:val="auto"/>
        </w:rPr>
      </w:pPr>
    </w:p>
    <w:p>
      <w:pPr>
        <w:ind w:left="1120"/>
        <w:spacing w:after="0"/>
        <w:tabs>
          <w:tab w:leader="none" w:pos="736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23"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organization)</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12181 Bluff Creek Drive, 4th Floor</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 90094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w:t>
      </w:r>
    </w:p>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1540" w:type="dxa"/>
        <w:tblCellMar>
          <w:top w:w="0" w:type="dxa"/>
          <w:left w:w="0" w:type="dxa"/>
          <w:bottom w:w="0" w:type="dxa"/>
          <w:right w:w="0" w:type="dxa"/>
        </w:tblCellMar>
      </w:tblPr>
      <w:tr>
        <w:trPr>
          <w:trHeight w:val="283"/>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80" w:type="dxa"/>
            <w:vAlign w:val="bottom"/>
          </w:tcPr>
          <w:p>
            <w:pPr>
              <w:jc w:val="right"/>
              <w:spacing w:after="0"/>
              <w:rPr>
                <w:sz w:val="20"/>
                <w:szCs w:val="20"/>
                <w:color w:val="auto"/>
              </w:rPr>
            </w:pPr>
            <w:r>
              <w:rPr>
                <w:rFonts w:ascii="Arial" w:cs="Arial" w:eastAsia="Arial" w:hAnsi="Arial"/>
                <w:sz w:val="18"/>
                <w:szCs w:val="18"/>
                <w:color w:val="auto"/>
              </w:rPr>
              <w:t>Accelerated filer x</w:t>
            </w:r>
          </w:p>
        </w:tc>
      </w:tr>
      <w:tr>
        <w:trPr>
          <w:trHeight w:val="357"/>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580" w:type="dxa"/>
            <w:vAlign w:val="bottom"/>
          </w:tcPr>
          <w:p>
            <w:pPr>
              <w:spacing w:after="0"/>
              <w:rPr>
                <w:sz w:val="20"/>
                <w:szCs w:val="20"/>
                <w:color w:val="auto"/>
              </w:rPr>
            </w:pPr>
          </w:p>
        </w:tc>
      </w:tr>
      <w:tr>
        <w:trPr>
          <w:trHeight w:val="392"/>
        </w:trPr>
        <w:tc>
          <w:tcPr>
            <w:tcW w:w="4760" w:type="dxa"/>
            <w:vAlign w:val="bottom"/>
          </w:tcPr>
          <w:p>
            <w:pPr>
              <w:spacing w:after="0"/>
              <w:rPr>
                <w:sz w:val="20"/>
                <w:szCs w:val="20"/>
                <w:color w:val="auto"/>
              </w:rPr>
            </w:pPr>
            <w:r>
              <w:rPr>
                <w:rFonts w:ascii="Arial" w:cs="Arial" w:eastAsia="Arial" w:hAnsi="Arial"/>
                <w:sz w:val="18"/>
                <w:szCs w:val="18"/>
                <w:color w:val="auto"/>
              </w:rPr>
              <w:t>Emerging growth company x</w:t>
            </w:r>
          </w:p>
        </w:tc>
        <w:tc>
          <w:tcPr>
            <w:tcW w:w="3580" w:type="dxa"/>
            <w:vAlign w:val="bottom"/>
          </w:tcPr>
          <w:p>
            <w:pPr>
              <w:spacing w:after="0"/>
              <w:rPr>
                <w:sz w:val="24"/>
                <w:szCs w:val="24"/>
                <w:color w:val="auto"/>
              </w:rPr>
            </w:pPr>
          </w:p>
        </w:tc>
      </w:tr>
    </w:tbl>
    <w:p>
      <w:pPr>
        <w:spacing w:after="0" w:line="18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35" w:lineRule="exact"/>
        <w:rPr>
          <w:sz w:val="24"/>
          <w:szCs w:val="24"/>
          <w:color w:val="auto"/>
        </w:rPr>
      </w:pPr>
    </w:p>
    <w:p>
      <w:pPr>
        <w:ind w:right="236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Act). o Yes x No Indicate the number of shares outstanding of each of the registrant's classes of common stock, as of the latest practicable date.</w:t>
      </w:r>
    </w:p>
    <w:p>
      <w:pPr>
        <w:spacing w:after="0" w:line="178" w:lineRule="exact"/>
        <w:rPr>
          <w:sz w:val="24"/>
          <w:szCs w:val="24"/>
          <w:color w:val="auto"/>
        </w:rPr>
      </w:pPr>
    </w:p>
    <w:p>
      <w:pPr>
        <w:ind w:left="3380"/>
        <w:spacing w:after="0"/>
        <w:tabs>
          <w:tab w:leader="none" w:pos="670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July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965835</wp:posOffset>
            </wp:positionH>
            <wp:positionV relativeFrom="paragraph">
              <wp:posOffset>37465</wp:posOffset>
            </wp:positionV>
            <wp:extent cx="5325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82" w:lineRule="exact"/>
        <w:rPr>
          <w:sz w:val="24"/>
          <w:szCs w:val="24"/>
          <w:color w:val="auto"/>
        </w:rPr>
      </w:pPr>
    </w:p>
    <w:p>
      <w:pPr>
        <w:ind w:left="2200"/>
        <w:spacing w:after="0"/>
        <w:tabs>
          <w:tab w:leader="none" w:pos="738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6"/>
          <w:szCs w:val="16"/>
          <w:b w:val="1"/>
          <w:bCs w:val="1"/>
          <w:color w:val="auto"/>
        </w:rPr>
        <w:t>50,750,139</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77"/>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rPr>
              <w:t>THE RUBICON PROJECT,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w w:val="99"/>
              </w:rPr>
              <w:t>QUARTERLY REPORT ON FORM 10-Q</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Page No.</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Part I.</w:t>
            </w:r>
          </w:p>
        </w:tc>
        <w:tc>
          <w:tcPr>
            <w:tcW w:w="93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December 31, 2017</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and Six Months Ended June 30, 2018 and June 30, 2017</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Six Months Ended June 30, 2018 and</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2017</w:t>
              </w:r>
            </w:hyperlink>
          </w:p>
        </w:tc>
        <w:tc>
          <w:tcPr>
            <w:tcW w:w="8100" w:type="dxa"/>
            <w:vAlign w:val="bottom"/>
            <w:tcBorders>
              <w:top w:val="single" w:sz="8" w:color="0000EE"/>
            </w:tcBorders>
            <w:gridSpan w:val="13"/>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73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Six Months Ended June 30, 2018</w:t>
              </w:r>
            </w:hyperlink>
          </w:p>
        </w:tc>
        <w:tc>
          <w:tcPr>
            <w:tcW w:w="1960" w:type="dxa"/>
            <w:vAlign w:val="bottom"/>
            <w:gridSpan w:val="4"/>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0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2018 and June 30, 2017</w:t>
              </w:r>
            </w:hyperlink>
          </w:p>
        </w:tc>
        <w:tc>
          <w:tcPr>
            <w:tcW w:w="1260" w:type="dxa"/>
            <w:vAlign w:val="bottom"/>
            <w:gridSpan w:val="3"/>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4360" w:type="dxa"/>
            <w:vAlign w:val="bottom"/>
            <w:gridSpan w:val="11"/>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4940" w:type="dxa"/>
            <w:vAlign w:val="bottom"/>
            <w:tcBorders>
              <w:left w:val="single" w:sz="8" w:color="0000EE"/>
            </w:tcBorders>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Part II.</w:t>
            </w:r>
          </w:p>
        </w:tc>
        <w:tc>
          <w:tcPr>
            <w:tcW w:w="1900" w:type="dxa"/>
            <w:vAlign w:val="bottom"/>
            <w:gridSpan w:val="7"/>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OTHER INFORMATION</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190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420" w:type="dxa"/>
            <w:vAlign w:val="bottom"/>
            <w:gridSpan w:val="2"/>
          </w:tcPr>
          <w:p>
            <w:pPr>
              <w:spacing w:after="0"/>
              <w:rPr>
                <w:sz w:val="21"/>
                <w:szCs w:val="21"/>
                <w:color w:val="auto"/>
              </w:rPr>
            </w:pPr>
          </w:p>
        </w:tc>
        <w:tc>
          <w:tcPr>
            <w:tcW w:w="796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4360" w:type="dxa"/>
            <w:vAlign w:val="bottom"/>
            <w:gridSpan w:val="1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Unregistered Sales of Equity Securities and Use of Proceeds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9"/>
            <w:shd w:val="clear" w:color="auto" w:fill="0000EE"/>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436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r>
      <w:tr>
        <w:trPr>
          <w:trHeight w:val="507"/>
        </w:trPr>
        <w:tc>
          <w:tcPr>
            <w:tcW w:w="1140" w:type="dxa"/>
            <w:vAlign w:val="bottom"/>
          </w:tcPr>
          <w:p>
            <w:pPr>
              <w:spacing w:after="0"/>
              <w:rPr>
                <w:sz w:val="24"/>
                <w:szCs w:val="24"/>
                <w:color w:val="auto"/>
              </w:rPr>
            </w:pPr>
          </w:p>
        </w:tc>
        <w:tc>
          <w:tcPr>
            <w:tcW w:w="6140" w:type="dxa"/>
            <w:vAlign w:val="bottom"/>
            <w:gridSpan w:val="12"/>
          </w:tcPr>
          <w:p>
            <w:pPr>
              <w:jc w:val="center"/>
              <w:ind w:left="291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76,642</w:t>
            </w:r>
          </w:p>
        </w:tc>
      </w:tr>
      <w:tr>
        <w:trPr>
          <w:trHeight w:val="263"/>
        </w:trPr>
        <w:tc>
          <w:tcPr>
            <w:tcW w:w="79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32,072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52,504</w:t>
            </w:r>
          </w:p>
        </w:tc>
      </w:tr>
      <w:tr>
        <w:trPr>
          <w:trHeight w:val="27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153,163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165,890</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9,041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9,620</w:t>
            </w: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304,656</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36,571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47,393</w:t>
            </w: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12,734</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 non-current</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5,493</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13,359</w:t>
            </w:r>
          </w:p>
        </w:tc>
      </w:tr>
      <w:tr>
        <w:trPr>
          <w:trHeight w:val="30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330,398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383,635</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214,103</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3,141</w:t>
            </w: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217,244</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 non-current</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1,780</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202,734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219,024</w:t>
            </w:r>
          </w:p>
        </w:tc>
      </w:tr>
      <w:tr>
        <w:trPr>
          <w:trHeight w:val="250"/>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1"/>
              </w:rPr>
              <w:t>Preferred stock, $0.00001 par value, 10,000 shares authorized at June 30, 2018 and December 31, 2017; 0</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shares issued and outstanding at June 30, 2018 and December 31, 2017</w:t>
            </w:r>
          </w:p>
        </w:tc>
        <w:tc>
          <w:tcPr>
            <w:tcW w:w="3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$0.00001 par value; 500,000 shares authorized at June 30, 2018 and December 31, 2017;</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50,750 and 50,239 shares issued and outstanding at June 30, 2018 and December 31, 2017, respectively</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427,324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418,354</w:t>
            </w: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(299,584)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(253,784)</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164,611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330,398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383,635</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88,937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27,157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24,797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11,441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29,435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100,383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115,734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(gain) loss,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to compute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on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270</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(27,125)</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6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840" w:type="dxa"/>
            <w:vAlign w:val="bottom"/>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9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3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1"/>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50,239</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418,354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(253,784)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40" w:type="dxa"/>
            <w:vAlign w:val="bottom"/>
          </w:tcPr>
          <w:p>
            <w:pPr>
              <w:ind w:left="180"/>
              <w:spacing w:after="0"/>
              <w:rPr>
                <w:sz w:val="20"/>
                <w:szCs w:val="20"/>
                <w:color w:val="auto"/>
              </w:rPr>
            </w:pPr>
            <w:r>
              <w:rPr>
                <w:rFonts w:ascii="Arial" w:cs="Arial" w:eastAsia="Arial" w:hAnsi="Arial"/>
                <w:sz w:val="16"/>
                <w:szCs w:val="16"/>
                <w:color w:val="auto"/>
                <w:w w:val="96"/>
              </w:rPr>
              <w:t>Issuance of common stock related to employee stock</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9,440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9,440</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(45,800)</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(45,800)</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6"/>
                <w:szCs w:val="16"/>
                <w:color w:val="auto"/>
              </w:rPr>
              <w:t>Balance at June 30, 2018</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50,750</w:t>
            </w:r>
          </w:p>
        </w:tc>
        <w:tc>
          <w:tcPr>
            <w:tcW w:w="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427,324</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(299,584)</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127,664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(45,800)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(27,395)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18,976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of available for sale securities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foreign currency gains,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effect of business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52,917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(44,561)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12,805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internal use software development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Investments in available-for-sale securities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(31,789)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available-for-sale securities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15,820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 Beginning of period</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149,498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72,247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165,318</w:t>
            </w:r>
          </w:p>
        </w:tc>
      </w:tr>
      <w:tr>
        <w:trPr>
          <w:trHeight w:val="237"/>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SUPPLEMENTAL DISCLOSURES OF OTHER CASH FLOW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assets financed by 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3,944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Capitalized stock-based compensation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3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is a global advertising exchange that helps websites and applications thrive by giving them tools and expertise to sell ads easily and safely. In addition, the world’s leading agencies and brands rely on the Company's technology to execute tens of billions of advertising transactions each month. 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and their representatives, to sell their digital advertising inventory; applications and services for buyers, including advertisers, agencies, agency trading desks,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 making and automated transaction execution for the digital advertising inventory managed on the Company's platform. The Company's clients include many of the world's leading publishers of websites and mobile applications and buyers of digital advertising inventory.</w:t>
      </w:r>
    </w:p>
    <w:p>
      <w:pPr>
        <w:spacing w:after="0" w:line="5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The Company's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the Company refers to as private marketplace ("PMP"), and (ii) open auction bidding, which the Company refers to as open marketplace ("OMP"); and</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ind w:right="2000" w:firstLine="648"/>
        <w:spacing w:after="0" w:line="288" w:lineRule="auto"/>
        <w:rPr>
          <w:sz w:val="20"/>
          <w:szCs w:val="20"/>
          <w:color w:val="auto"/>
        </w:rPr>
      </w:pPr>
      <w:r>
        <w:rPr>
          <w:rFonts w:ascii="Arial" w:cs="Arial" w:eastAsia="Arial" w:hAnsi="Arial"/>
          <w:sz w:val="16"/>
          <w:szCs w:val="16"/>
          <w:color w:val="auto"/>
        </w:rPr>
        <w:t>The Company has been negatively impacted by rapid changes in the ad tech industry including demand by ad tech buyers for more efficiency and lower costs, changes in bidding technologies, and increased competition. In response to these challenges, the Company made significant reductions in fees charged to buyers during 2017 and in November 2017 eliminated its buyer fees</w:t>
      </w:r>
    </w:p>
    <w:p>
      <w:pPr>
        <w:ind w:right="40"/>
        <w:spacing w:after="0" w:line="252" w:lineRule="auto"/>
        <w:rPr>
          <w:sz w:val="20"/>
          <w:szCs w:val="20"/>
          <w:color w:val="auto"/>
        </w:rPr>
      </w:pPr>
      <w:r>
        <w:rPr>
          <w:rFonts w:ascii="Arial" w:cs="Arial" w:eastAsia="Arial" w:hAnsi="Arial"/>
          <w:sz w:val="18"/>
          <w:szCs w:val="18"/>
          <w:color w:val="auto"/>
        </w:rPr>
        <w:t>altogether. The competitive pressures and reduced take rate resulted in lower revenue and cash flows in the first half of 2018 compared to the prior year. In an effort to bring its costs into better alignment with reduced take rates, the Company has undertaken restructuring activities to reduce headcount and related operating costs, and has also reduced its capital expenditures, which may make execution against its strategic business plans more difficult. Unless and until the Company is able to compensate for the fee reductions and reduced gross margins by continuing to increase advertising spending on its platform, or sufficiently reducing costs, it may not be able to grow its business and may continue to operate at a loss, depleting its cash resources and liquidity. If the Company continues to experience significant operating losses in the future, the Company may require additional liquidity to fund its operations. The Company’s current credit facility expires in September 2018. There can be no guarantee that additional financing will be available on commercially reasonable terms, if at all.</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six months ended June 30, 2018 are not necessarily indicative of the results that may be expected for any future interim period, the year ending December 31, 2018, or for any future year.</w:t>
      </w:r>
    </w:p>
    <w:p>
      <w:pPr>
        <w:spacing w:after="0" w:line="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2017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2017 included in its 2017 Annual Report on Form 10-K.</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its audited consolidated financial statements and notes thereto for the year ended December 31, 2017 included in its Annual Report on Form 10-K.</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this includes amounts reclassified to conform to the current year presentation in the condensed consolidated statements of cash flows.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January 1, 2018, the Company adopted the following accounting pronouncements, using a prospective adoption method, which did not have an impact on the Company's condensed consolidated financial statements and did not result in any significant policy changes:</w:t>
      </w:r>
    </w:p>
    <w:p>
      <w:pPr>
        <w:spacing w:after="0" w:line="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Standards Update ("ASU") 2017-01—</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2017-09—</w:t>
      </w:r>
      <w:r>
        <w:rPr>
          <w:rFonts w:ascii="Arial" w:cs="Arial" w:eastAsia="Arial" w:hAnsi="Arial"/>
          <w:sz w:val="18"/>
          <w:szCs w:val="18"/>
          <w:i w:val="1"/>
          <w:iCs w:val="1"/>
          <w:color w:val="auto"/>
        </w:rPr>
        <w:t>Compensation—Stock Compensation (Topic 718): Scope of Modification Accounting.</w:t>
      </w:r>
    </w:p>
    <w:p>
      <w:pPr>
        <w:spacing w:after="0" w:line="6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has also adopted ASU 2016-15—</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although the retrospective adoption method did not have an impact on periods presented. The Company will apply this guidance to applicable future transactions.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February 2016, the Financial Accounting Standards Board ("FASB") issued ASU 2016-02</w:t>
      </w:r>
      <w:r>
        <w:rPr>
          <w:rFonts w:ascii="Arial" w:cs="Arial" w:eastAsia="Arial" w:hAnsi="Arial"/>
          <w:sz w:val="16"/>
          <w:szCs w:val="16"/>
          <w:i w:val="1"/>
          <w:iCs w:val="1"/>
          <w:color w:val="auto"/>
        </w:rPr>
        <w:t>—Leases (Topic 842) ("ASU-2016-02"),</w:t>
      </w:r>
      <w:r>
        <w:rPr>
          <w:rFonts w:ascii="Arial" w:cs="Arial" w:eastAsia="Arial" w:hAnsi="Arial"/>
          <w:sz w:val="16"/>
          <w:szCs w:val="16"/>
          <w:color w:val="auto"/>
        </w:rPr>
        <w:t xml:space="preserve">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classification affecting the pattern of expense recognition in the income statement. ASU 2016-02 is effective for annual reporting periods beginning after December 15, 2018, including interim periods within that reporting period, and requires a modified retrospective adoption, with early adoption permitted. The Company is currently evaluating the effect this guidance will have on its condensed consolidated financial statements and related disclosures, and anticipates the guidance to result in increases in its assets and liabilities as most of its operating lease commitments will be subject to the new standard and recognized as right-of-use assets and lease liabilities.</w:t>
      </w:r>
    </w:p>
    <w:p>
      <w:pPr>
        <w:spacing w:after="0" w:line="3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June 2018, the FASB issued ASU 2018-07</w:t>
      </w:r>
      <w:r>
        <w:rPr>
          <w:rFonts w:ascii="Arial" w:cs="Arial" w:eastAsia="Arial" w:hAnsi="Arial"/>
          <w:sz w:val="16"/>
          <w:szCs w:val="16"/>
          <w:i w:val="1"/>
          <w:iCs w:val="1"/>
          <w:color w:val="auto"/>
        </w:rPr>
        <w:t>—Stock Compensation (Topic 718)</w:t>
      </w:r>
      <w:r>
        <w:rPr>
          <w:rFonts w:ascii="Arial" w:cs="Arial" w:eastAsia="Arial" w:hAnsi="Arial"/>
          <w:sz w:val="16"/>
          <w:szCs w:val="16"/>
          <w:color w:val="auto"/>
        </w:rPr>
        <w:t xml:space="preserve"> ("ASU 2018-07")</w:t>
      </w:r>
      <w:r>
        <w:rPr>
          <w:rFonts w:ascii="Arial" w:cs="Arial" w:eastAsia="Arial" w:hAnsi="Arial"/>
          <w:sz w:val="16"/>
          <w:szCs w:val="16"/>
          <w:i w:val="1"/>
          <w:iCs w:val="1"/>
          <w:color w:val="auto"/>
        </w:rPr>
        <w:t>,</w:t>
      </w:r>
      <w:r>
        <w:rPr>
          <w:rFonts w:ascii="Arial" w:cs="Arial" w:eastAsia="Arial" w:hAnsi="Arial"/>
          <w:sz w:val="16"/>
          <w:szCs w:val="16"/>
          <w:color w:val="auto"/>
        </w:rPr>
        <w:t xml:space="preserve"> which expands the scope of Accounting Standards Codification Topic 718, Compensation</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to include share-based payments granted to non-employees in exchange for goods or services. Upon adoption, the fair value of awards granted to non-employees will be determined as of the grant date, which will be recognized over the service period. Previous guidance required the awards to be remeasured at fair value periodically when determining the related expense. ASU 2018-07 is effective for annual reporting periods beginning after December 15, 2018, including interim periods within that reporting period, and requires a modified retrospective adoption, with early adoption permitted. Upon adoption, the entity is required to measure the non-employee awards at fair value as of the adoption date. The Company is currently evaluating the effect this guidance will have on its condensed consolidated financial statements and related disclosures.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460" w:type="dxa"/>
            <w:vAlign w:val="bottom"/>
            <w:gridSpan w:val="4"/>
          </w:tcPr>
          <w:p>
            <w:pPr>
              <w:jc w:val="right"/>
              <w:ind w:right="5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60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June 30, 2017</w:t>
            </w:r>
          </w:p>
        </w:tc>
      </w:tr>
      <w:tr>
        <w:trPr>
          <w:trHeight w:val="250"/>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EPS: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(27,395)</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49,666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unvested restricted shares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Weighted-average common shares outstanding used to compute net loss per share</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48,783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49,883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48,559</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30" w:lineRule="exact"/>
        <w:rPr>
          <w:sz w:val="20"/>
          <w:szCs w:val="20"/>
          <w:color w:val="auto"/>
        </w:rPr>
      </w:pPr>
    </w:p>
    <w:p>
      <w:pPr>
        <w:ind w:left="6660"/>
        <w:spacing w:after="0"/>
        <w:tabs>
          <w:tab w:leader="none" w:pos="948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45" w:lineRule="exact"/>
        <w:rPr>
          <w:sz w:val="20"/>
          <w:szCs w:val="20"/>
          <w:color w:val="auto"/>
        </w:rPr>
      </w:pPr>
    </w:p>
    <w:p>
      <w:pPr>
        <w:ind w:left="6280"/>
        <w:spacing w:after="0"/>
        <w:tabs>
          <w:tab w:leader="none" w:pos="7640" w:val="left"/>
        </w:tabs>
        <w:rPr>
          <w:sz w:val="20"/>
          <w:szCs w:val="20"/>
          <w:color w:val="auto"/>
        </w:rPr>
      </w:pPr>
      <w:r>
        <w:rPr>
          <w:rFonts w:ascii="Arial" w:cs="Arial" w:eastAsia="Arial" w:hAnsi="Arial"/>
          <w:sz w:val="14"/>
          <w:szCs w:val="14"/>
          <w:b w:val="1"/>
          <w:bCs w:val="1"/>
          <w:color w:val="auto"/>
        </w:rPr>
        <w:t>June 30, 2018</w:t>
      </w:r>
      <w:r>
        <w:rPr>
          <w:sz w:val="20"/>
          <w:szCs w:val="20"/>
          <w:color w:val="auto"/>
        </w:rPr>
        <w:tab/>
      </w:r>
      <w:r>
        <w:rPr>
          <w:rFonts w:ascii="Arial" w:cs="Arial" w:eastAsia="Arial" w:hAnsi="Arial"/>
          <w:sz w:val="12"/>
          <w:szCs w:val="12"/>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89"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June 30, 2018</w:t>
      </w:r>
      <w:r>
        <w:rPr>
          <w:sz w:val="20"/>
          <w:szCs w:val="20"/>
          <w:color w:val="auto"/>
        </w:rPr>
        <w:tab/>
      </w:r>
      <w:r>
        <w:rPr>
          <w:rFonts w:ascii="Arial" w:cs="Arial" w:eastAsia="Arial" w:hAnsi="Arial"/>
          <w:sz w:val="12"/>
          <w:szCs w:val="12"/>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23495</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500" w:space="540"/>
            <w:col w:w="23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ESPP</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excluded from net loss per share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January 1, 2018, the Company adopted Accounting Standards Update 2014-09—</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using a modified retrospective approach applied to all contracts that generated revenue in the preceding year. The adoption of this guidance did not have an impact on the amount or timing of revenue recognized by the Company.</w:t>
      </w:r>
    </w:p>
    <w:p>
      <w:pPr>
        <w:spacing w:after="0" w:line="1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generates revenue from transactions where it provides a platform for the purchase and sale of digital advertising inventory.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or “take rate”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customer, which occurs at the point in time an ad renders and is counted as a paid impression, subject to an underlying agreement existing with the customer and a fixed or determinable transaction price. Performance obligations for all transactions are satisfied, and the corresponding revenue is recognized, at a distinct point in time when an ad renders. The Company does not have arrangements with multiple performance obligations. The Company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has determined that it does not act as the principal in the purchase and sale of digital advertising inventory because it does not have control of the digital advertising inventory and does not set prices agreed upon within the auction marketplace, and therefore reports revenue on a net basis. In periods prior to the second quarter of 2017, the Company reported revenue on a gross basis for revenue associated with its intent marketing solution, as the Company determined that it acted as the principal in the purchase and sale of digital advertising inventory. The Company ceased offering its intent marketing solution after the first quarter of 2017, after which time, all of the Company’s revenues have been recorded on a net basis. Revenue generated by the Company’s intent marketing solution in 2017 prior to its cessation was $1.3 million, which is included in total revenue for the six months ended June 30, 2017.</w:t>
      </w:r>
    </w:p>
    <w:p>
      <w:pPr>
        <w:spacing w:after="0" w:line="10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and six months ended June 30,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bottom w:val="single" w:sz="8" w:color="auto"/>
            </w:tcBorders>
          </w:tcPr>
          <w:p>
            <w:pPr>
              <w:spacing w:after="0"/>
              <w:rPr>
                <w:sz w:val="16"/>
                <w:szCs w:val="16"/>
                <w:color w:val="auto"/>
              </w:rPr>
            </w:pPr>
          </w:p>
        </w:tc>
      </w:tr>
      <w:tr>
        <w:trPr>
          <w:trHeight w:val="264"/>
        </w:trPr>
        <w:tc>
          <w:tcPr>
            <w:tcW w:w="2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4"/>
              </w:rPr>
              <w:t>June 30, 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8"/>
              </w:rPr>
              <w:t>June 30, 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Borders>
              <w:bottom w:val="single" w:sz="8" w:color="auto"/>
            </w:tcBorders>
          </w:tcPr>
          <w:p>
            <w:pPr>
              <w:spacing w:after="0"/>
              <w:rPr>
                <w:sz w:val="22"/>
                <w:szCs w:val="22"/>
                <w:color w:val="auto"/>
              </w:rPr>
            </w:pPr>
          </w:p>
        </w:tc>
      </w:tr>
      <w:tr>
        <w:trPr>
          <w:trHeight w:val="250"/>
        </w:trPr>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r>
      <w:tr>
        <w:trPr>
          <w:trHeight w:val="243"/>
        </w:trPr>
        <w:tc>
          <w:tcPr>
            <w:tcW w:w="2320" w:type="dxa"/>
            <w:vAlign w:val="bottom"/>
          </w:tcPr>
          <w:p>
            <w:pPr>
              <w:ind w:left="380"/>
              <w:spacing w:after="0"/>
              <w:rPr>
                <w:sz w:val="20"/>
                <w:szCs w:val="20"/>
                <w:color w:val="auto"/>
              </w:rPr>
            </w:pPr>
            <w:r>
              <w:rPr>
                <w:rFonts w:ascii="Arial" w:cs="Arial" w:eastAsia="Arial" w:hAnsi="Arial"/>
                <w:sz w:val="18"/>
                <w:szCs w:val="18"/>
                <w:color w:val="auto"/>
              </w:rPr>
              <w:t>Desktop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23,746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27,972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52,075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19,176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25,552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r>
      <w:tr>
        <w:trPr>
          <w:trHeight w:val="257"/>
        </w:trPr>
        <w:tc>
          <w:tcPr>
            <w:tcW w:w="23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42,922</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53,524</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88,937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284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18,966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55,661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19,054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33,276</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88,937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9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8" w:lineRule="exact"/>
        <w:rPr>
          <w:sz w:val="20"/>
          <w:szCs w:val="20"/>
          <w:color w:val="auto"/>
        </w:rPr>
      </w:pPr>
    </w:p>
    <w:p>
      <w:pPr>
        <w:ind w:left="1800" w:right="520" w:hanging="1144"/>
        <w:spacing w:after="0" w:line="277" w:lineRule="auto"/>
        <w:tabs>
          <w:tab w:leader="none" w:pos="1152"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1"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9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14,334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14,334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12,112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0"/>
              <w:spacing w:after="0"/>
              <w:rPr>
                <w:sz w:val="20"/>
                <w:szCs w:val="20"/>
                <w:color w:val="auto"/>
              </w:rPr>
            </w:pPr>
            <w:r>
              <w:rPr>
                <w:rFonts w:ascii="Arial" w:cs="Arial" w:eastAsia="Arial" w:hAnsi="Arial"/>
                <w:sz w:val="18"/>
                <w:szCs w:val="18"/>
                <w:color w:val="auto"/>
              </w:rPr>
              <w:t>12,112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19,960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19,960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9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1,597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25,098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0"/>
              <w:spacing w:after="0"/>
              <w:rPr>
                <w:sz w:val="20"/>
                <w:szCs w:val="20"/>
                <w:color w:val="auto"/>
              </w:rPr>
            </w:pPr>
            <w:r>
              <w:rPr>
                <w:rFonts w:ascii="Arial" w:cs="Arial" w:eastAsia="Arial" w:hAnsi="Arial"/>
                <w:sz w:val="18"/>
                <w:szCs w:val="18"/>
                <w:color w:val="auto"/>
              </w:rPr>
              <w:t>25,098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29,901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29,901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At June 30, 2018 and December 31, 2017, cash equivalents of $14.3 million and $1.8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The commercial paper included in cash equivalents at December 31, 2017 is classified as Level 2 since its fair value is not based on quoted market prices for identical securities that are traded in an active market, but rather is derived from similar securities.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13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There were no transfers between Level 1 and Level 2 fair value measurements during the three months ended June 30, 2018 and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June 30, 2018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8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19,960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12,112</w:t>
            </w:r>
          </w:p>
        </w:tc>
        <w:tc>
          <w:tcPr>
            <w:tcW w:w="0" w:type="dxa"/>
            <w:vAlign w:val="bottom"/>
          </w:tcPr>
          <w:p>
            <w:pPr>
              <w:spacing w:after="0"/>
              <w:rPr>
                <w:sz w:val="1"/>
                <w:szCs w:val="1"/>
                <w:color w:val="auto"/>
              </w:rPr>
            </w:pPr>
          </w:p>
        </w:tc>
      </w:tr>
      <w:tr>
        <w:trPr>
          <w:trHeight w:val="257"/>
        </w:trPr>
        <w:tc>
          <w:tcPr>
            <w:tcW w:w="652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32,095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32,072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800" w:type="dxa"/>
            <w:vAlign w:val="bottom"/>
            <w:gridSpan w:val="4"/>
          </w:tcPr>
          <w:p>
            <w:pPr>
              <w:ind w:left="660"/>
              <w:spacing w:after="0"/>
              <w:rPr>
                <w:sz w:val="20"/>
                <w:szCs w:val="20"/>
                <w:color w:val="auto"/>
              </w:rPr>
            </w:pPr>
            <w:r>
              <w:rPr>
                <w:rFonts w:ascii="Arial" w:cs="Arial" w:eastAsia="Arial" w:hAnsi="Arial"/>
                <w:sz w:val="18"/>
                <w:szCs w:val="18"/>
                <w:color w:val="auto"/>
              </w:rPr>
              <w:t>Investments in marketable securities as of December 31, 2017 consisted of the following: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24"/>
                <w:szCs w:val="24"/>
                <w:color w:val="auto"/>
              </w:rPr>
            </w:pPr>
          </w:p>
        </w:tc>
        <w:tc>
          <w:tcPr>
            <w:tcW w:w="8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27,426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27,406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25,098</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52,524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Available-for-sale—long-term:</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Company's available-for-sale securities had a weighted remaining contractual maturity of 0.3 years as of June 30, 2018. For the three and six months ended June 30, 2018, the Company sold $6.1 million of available-for-sale investments, on which the realized gains were de minimis and there were no unrealized holding gains (losses) reclassified out of accumulated other comprehensive loss into the condensed consolidated statements of operations.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187,332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203,694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3,764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6,645</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198,504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214,103</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December 31, 2016, the Company had $0.1 million of restricted cash, which is included in the beginning balance of cash, cash equivalents and restricted cash in the condensed consolidated statement of cash flows for the six months ended June 30, 2017. There was no restricted cash as of June 30, 2018 and December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June 30, 2018 and December 31, 2017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16,878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17,588</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Amortization of intangible assets for the three months ended June 30, 2018 and 2017 were $0.8 million and $0.8 million, respectively, and $1.6 million and $2.4 million for the six months ended June 30, 2018 and 2017, respectively. The estimated remaining amortization expense associated with the Company's intangible assets was as follows as of June 30,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3,010</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9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and restricted stock units,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Restricted stock and restricted stock units vest at varying rates, typically approximately 25% vesting after approximately one year of service and the remainder vesting semi-annually thereafter. The restricted stock units granted in the first half of 2018 included 2,725,000 restricted stock units that vest 50% on each of the first and second anniversaries of the grant date. Options, restricted stock, and restricted stock units granted under the plans accelerate under certain circumstances for certain participants upon a change in control, as defined in the governing plan. An aggregate of 6,094,345 shares remained available for future grants at June 30, 2018 under the plans.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4,363</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658</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(1,101)</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3,822</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7.14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June 30, 2018</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2,188</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5.81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total intrinsic values of options exercised during the six months ended June 30, 2018 was $0.1 million. At June 30, 2018, the Company had unrecognized employee stock-based compensation expense relating to nonvested stock options of approximately $4.2 million, which is expected to be recognized over a weighted-average period of 2.8 years. The weighted-average grant date fair value per share of stock options granted during the six months ended June 30, 2018 was $1.03. Total fair value of options vested during the six months ended June 30, 2018 was $2.1 million.</w:t>
      </w:r>
    </w:p>
    <w:p>
      <w:pPr>
        <w:spacing w:after="0" w:line="13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6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69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9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8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21"/>
                <w:szCs w:val="2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7400" w:type="dxa"/>
            <w:vAlign w:val="bottom"/>
            <w:gridSpan w:val="4"/>
          </w:tcPr>
          <w:p>
            <w:pPr>
              <w:ind w:left="660"/>
              <w:spacing w:after="0"/>
              <w:rPr>
                <w:sz w:val="20"/>
                <w:szCs w:val="20"/>
                <w:color w:val="auto"/>
              </w:rPr>
            </w:pPr>
            <w:r>
              <w:rPr>
                <w:rFonts w:ascii="Arial" w:cs="Arial" w:eastAsia="Arial" w:hAnsi="Arial"/>
                <w:sz w:val="18"/>
                <w:szCs w:val="18"/>
                <w:color w:val="auto"/>
              </w:rPr>
              <w:t>There were no stock options granted during the three months ended June 30, 2018.</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Restricted Stock</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4"/>
          </w:tcPr>
          <w:p>
            <w:pPr>
              <w:ind w:left="660"/>
              <w:spacing w:after="0"/>
              <w:rPr>
                <w:sz w:val="20"/>
                <w:szCs w:val="20"/>
                <w:color w:val="auto"/>
              </w:rPr>
            </w:pPr>
            <w:r>
              <w:rPr>
                <w:rFonts w:ascii="Arial" w:cs="Arial" w:eastAsia="Arial" w:hAnsi="Arial"/>
                <w:sz w:val="18"/>
                <w:szCs w:val="18"/>
                <w:color w:val="auto"/>
                <w:w w:val="92"/>
              </w:rPr>
              <w:t>A summary of restricted stock activity for the six months ended June 30, 2018 is as follows:</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gridSpan w:val="3"/>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5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2017</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6"/>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June 30, 2018</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The aggregate fair value of restricted stock with service conditions that vested during the six months ended June 30, 2018 was $0.3 million. At June 30, 2018, the Company had unrecognized stock-based compensation expense for restricted stock with service conditions of $0.9 million, which is expected to be recognized over a weighted-average period of 1.4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activity for the six months ended June 30,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2017</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4,707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June 30, 2018</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6,698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The weighted-average grant date fair value per share of restricted stock units granted during the six months ended June 30, 2018 was $2.20. The aggregate fair value of restricted stock units that vested during six months ended June 30, 2018 was $1.8 million. At June 30, 2018, the intrinsic value of nonvested restricted stock units was $19.1 million. At June 30, 2018, the Company had unrecognized stock-based compensation expense relating to nonvested restricted stock units of approximately $22.8 million, which is expected to be recognized over a weighted-average period of 2.60 years.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 Company has reserved 1,692,373 shares of its common stock for issuance under the ESPP.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284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2,409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5,337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11,542</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8—Restructuring and Other Exit Costs</w:t>
      </w:r>
    </w:p>
    <w:p>
      <w:pPr>
        <w:spacing w:after="0" w:line="17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part of its on-going efforts to control costs and create efficiencies, the Company underwent restructuring events throughout 2017 and in the first quarter of 2018. The objective of these restructuring activities was to streamline operations, prioritize resources for growth initiatives and increase profitability.</w:t>
      </w:r>
    </w:p>
    <w:p>
      <w:pPr>
        <w:spacing w:after="0" w:line="4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January 2017, the Company announced that it would cease providing intent marketing services and would close its Toronto, Canada office as a result. For the three and six months ended June 30, 2017, the Company recognized expenses of $1.6 million and $6.0 million, respectively, as restructuring and other exit costs related to the cessation of our intent marketing solution, including the closure of the Toronto office, as well as the realignment of the management team to a more cost efficient structure (collectively, the "2017 Restructuring Events"). A majority of the costs incurred in the three and six months ended June 30, 2017 were severance and one-time termination benefit costs, of which $0.7 million and $1.6 million, respectively, related to non-cash stock-based compensation, the remainder of which related to facility closure costs.</w:t>
      </w:r>
    </w:p>
    <w:p>
      <w:pPr>
        <w:spacing w:after="0" w:line="4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the first quarter of 2018, the Company announced its restructuring plan to reduce headcount to bring the Company's general and administrative operations into better alignment with the current size of the business and de-layer certain functions,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00"/>
        <w:spacing w:after="0" w:line="334" w:lineRule="auto"/>
        <w:rPr>
          <w:sz w:val="20"/>
          <w:szCs w:val="20"/>
          <w:color w:val="auto"/>
        </w:rPr>
      </w:pPr>
      <w:r>
        <w:rPr>
          <w:rFonts w:ascii="Arial" w:cs="Arial" w:eastAsia="Arial" w:hAnsi="Arial"/>
          <w:sz w:val="16"/>
          <w:szCs w:val="16"/>
          <w:color w:val="auto"/>
        </w:rPr>
        <w:t>to reduce its investment in unprofitable projects (the "2018 Restructuring Events"). During the three and six months ended June 30, 2018, the Company incurred restructuring and other exit costs of $1.0 million and $3.4 million, respectively, for severance and one-time termination benefits.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and other exit cost activity for the 2018 Restructuring Events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December 31,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Restructuring and other exit costs</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restructuring and other exit costs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9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June 30,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Accrued restructuring costs related to the 2017 Restructuring Events were $0.1 million at December 31, 2017 and were paid in the first half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Accrued restructuring costs are included within other liabilities on the Company's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46"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Company recorded income tax expenses of $0.1 million and $0.1 million for the three months ended June 30, 2018 and 2017, respectively and $0.1 million and $0.5 million for the six months ended June 30, 2018 and 2017, respectively. The tax provision for the three and six months ended June 30, 2018 is primarily the result of the domestic valuation allowance and the tax liability associated with the foreign subsidiaries.</w:t>
      </w:r>
    </w:p>
    <w:p>
      <w:pPr>
        <w:spacing w:after="0" w:line="3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the following: a federal corporate rate reduction from 34% to 21%; limitations on the deductibility of executive compensation and research and development (“R&amp;D”) expenditures;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 which have not previously been repatriated to the U.S. (the “Transition Tax”).</w:t>
      </w:r>
    </w:p>
    <w:p>
      <w:pPr>
        <w:spacing w:after="0" w:line="15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Tax Act imposes a Transition Tax on previously untaxed accumulated and current earnings and profits (“E&amp;P”) of certain of our foreign subsidiaries. To determine the amount of the Transition Tax, the Company determined, among other things, the amount of post-1986 E&amp;P of the relevant subsidiaries. The Company recorded a provisional Transition Tax of $0.6 million, which reduced its U.S. net deferred tax assets for the year ended December 31, 2017. For the six months ended June 30, 2018, there was no change to the provisional Transaction Tax recorded in the prior period.</w:t>
      </w:r>
    </w:p>
    <w:p>
      <w:pPr>
        <w:spacing w:after="0" w:line="11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The Company has recognized the actual impact of the revaluation of deferred tax balances and the provisional impact related to the one-time Transition Tax. The Company included these amounts in its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that may be taken as a result of the Tax Act. The Company expects to complete its analysis within the measurement period in accordance with SAB 118.</w:t>
      </w:r>
    </w:p>
    <w:p>
      <w:pPr>
        <w:spacing w:after="0" w:line="138"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the Company's financial position and results of operations.</w:t>
      </w:r>
    </w:p>
    <w:p>
      <w:pPr>
        <w:spacing w:after="0" w:line="14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Finally,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BEAT does not apply to corporations whose annual gross receipts for the three-taxable-year period ending with the preceding taxable year are less than $500 million. BEAT does not apply to the Company for the year ending December 31, 2018. Also, the Tax Act requires certain GILTI income earned by controlled foreign corporations (“CFCs”) to be included in the gross income of the CFCs’ U.S. shareholder (for tax years beginning after December 31, 2017). For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six months ended June 30, 2018, the Company has included a provisional GILTI inclusion of $1.2 million for purposes of Accounting Standards Codification Topic 740. GAAP allows the Company to either (i) treat taxes due on future U.S. inclusions in taxable income related to BEAT and GILTI as current-period expense when incurred (the “period cost method”); or (ii) factor such amounts into the measurement of deferred taxes (the “deferred method”). The Company elected the period cost method.</w:t>
      </w: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There were no material changes to the Company's unrecognized tax benefits in the six months ended June 30, 2018, and the Company does not expect to have any significant changes to unrecognized tax benefits through the end of the fiscal year. Because of the Company's history of tax losses, all years remain open to tax audit. During the first quarter of 2017, the Internal Revenue Service commenced an examination of the 2015 tax year. During the second quarter of 2018, the Company received a Letter 590 from the IRS indicating that they had completed the examination and found no income tax related adjustments.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has commitments under non-cancelable operating leases for facilities, certain equipment, and its managed data center facilities. Total rental expenses were $3.3 million and $3.0 million for the three months ended June 30, 2018 and 2017, respectively, and $6.5 million and $6.3 million for the six months ended June 30, 2018 and 2017, respectively. Additionally, expenses for cloud-based services related to data centers were $1.5 million and $1.1 million for the three months ended June 30, 2018 and 2017, respectively, and $3.4 million and $2.8 million for the six months ended June 30, 2018 and 2017, respectively. As of June 30, 2018 and December 31, 2017, the Company had $2.9 million of letters of credit associated with office leases available for borrowing, on which there were no outstanding borrowings as of either date.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2018. However, based on management’s knowledge as of June 30, 2018,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3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March 31, 2017, Guardian News &amp; Media Limited ("Guardian") issued proceedings (the "Complaint") against the Company in the Chancery Division of the High Court of Justice in England &amp; Wales. The Complaint alleges that the Company underpaid Guardian for digital advertising inventory sold by Guardian through the Company's platform as a result of the fact that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charged fees to buyers of that inventory. Guardian claims the Company was precluded from charging buyer fees as a result of the contractual arrangements with Guardian and English agency law principles, as well as representations it allegedly made to Guardian. The Complaint claims damages including loss of revenue, interest, and costs. The Company disputes Guardian’s claims and is defending them vigorously, but the Complaint involves disputed facts and complex legal questions, and its outcome is therefore uncertain. Even if Guardian were to prevail in this action, the Company does not believe an unfavorable outcome would have a material adverse effect upon its condensed consolidated financial position, results of operations, or cash flows.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net revenue, non-GAAP loss per share, profitability, net income (loss), Adjusted EBITDA, earnings per share, and cash flow; strategic objectives, including focus on header bidding, mobile, video, and private marketplace opportunities; investments in our business; development of our technology; introduction of new offerings; the impact of our acquisition of nToggle and its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consumer reach; certain statements regarding future operational performance measures including ad requests, fill rate, paid impressions, average CPM, take rate, and advertising spend;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4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grow and to manage any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digital advertising inventory from sellers;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for purchase and sale of higher value digital advertising inventory and to expand the use of our solution by buyers and sellers utilizing evolving digital media platforms;</w:t>
      </w:r>
    </w:p>
    <w:p>
      <w:pPr>
        <w:spacing w:after="0" w:line="35" w:lineRule="exact"/>
        <w:rPr>
          <w:rFonts w:ascii="Arial" w:cs="Arial" w:eastAsia="Arial" w:hAnsi="Arial"/>
          <w:sz w:val="18"/>
          <w:szCs w:val="18"/>
          <w:i w:val="1"/>
          <w:iCs w:val="1"/>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digital advertising growth from desktop to mobile channels and from display to video formats;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header bidding solution not resulting in revenue growth and causing infrastructure strain and added cost;</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guaranteed audience solutions, and traffic shaping;</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declined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compensate for a reduced take rate by increasing the volume and/or value of transactions on our platform;</w:t>
      </w:r>
    </w:p>
    <w:p>
      <w:pPr>
        <w:spacing w:after="0" w:line="90" w:lineRule="exact"/>
        <w:rPr>
          <w:rFonts w:ascii="Arial" w:cs="Arial" w:eastAsia="Arial" w:hAnsi="Arial"/>
          <w:sz w:val="18"/>
          <w:szCs w:val="18"/>
          <w:i w:val="1"/>
          <w:iCs w:val="1"/>
          <w:color w:val="auto"/>
        </w:rPr>
      </w:pPr>
    </w:p>
    <w:p>
      <w:pPr>
        <w:ind w:left="660" w:right="8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revenue declines with the reduction in our take rate and as we incur additional investments in technology required to support the increased volume of transactions on our exchange;</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to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technologies;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online digital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growing percentage of online and mobile advertising spending captured by owned and operated sites (such as Facebook and Google);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 such as AT&amp;T's acquisition of AppNexus;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14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the European General Data Protection Regulation (GDPR), the California Consumer Privacy Act, and other evolving legal standards and regulations, particularly concerning data protection and consumer privacy and evolving labor standards.</w:t>
      </w:r>
    </w:p>
    <w:p>
      <w:pPr>
        <w:spacing w:after="0" w:line="14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2017 and subsequent Quarterly Reports on Form 10-Q. These forward-looking statements represent our estimates and assumptions only as of the date made.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2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digital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Our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we refer to as private marketplace ("PMP"), and (ii) open auction bidding, which we refer to as open marketplace ("OMP");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w:t>
      </w:r>
    </w:p>
    <w:p>
      <w:pPr>
        <w:spacing w:after="0" w:line="7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or “take rate” that we retain from the gross advertising spend on our platform is recognized as revenue. The fee earned on each transaction is based on the pre-existing agreement between the Company and the seller and the clearing price of the winning bid. We discuss advertising spend and take rate more fully in the “Non-GAAP Financial Measures and Operational Performance Measures” section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8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programmatic digital advertising market continues to experience growth. In September 2017, MAGNA estimated that the global programmatic market (excluding search and social) will grow from $25 billion in 2017 to $51 billion by 2021, which represents a 19% compound annual growth rate over that period. Another important trend in the digital advertising industry is the continued expansion of automated buying and selling of advertising inventory through new and developing channels, including mobile, which has market growth rates exceeding those of the desktop channel and is a critical area of operational focus for us. According to MAGNA estimates, mobile advertising was an $11 billion global market in 2017 that is expected to increase to $32 billion by 2021, producing a compound annual growth rate of 31%.</w:t>
      </w:r>
    </w:p>
    <w:p>
      <w:pPr>
        <w:spacing w:after="0" w:line="13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Consistent with industry trends, our mobile business is growing faster than desktop. Our mobile advertising spend increased $57.8 million, or 38%, for the six months ended June 30, 2018, compared to the six months ended June 30, 2017, while our desktop business declined 2% during the same period. Our mobile business consists of two components, mobile web and mobile applications. Initially our mobile business was built upon mobile web, which is more similar to our desktop business and subject to many of the same market pressures as discussed below, and as a result has experienced low or negative growth in recent periods. While our mobile web business is trending more in line with desktop, our mobile application business, which is where we see the greatest potential for growth, has shown growth rates in excess of industry projections. Advertising spend from mobile applications is approaching half of our mobile business.</w:t>
      </w:r>
    </w:p>
    <w:p>
      <w:pPr>
        <w:spacing w:after="0" w:line="230" w:lineRule="exact"/>
        <w:rPr>
          <w:sz w:val="20"/>
          <w:szCs w:val="20"/>
          <w:color w:val="auto"/>
        </w:rPr>
      </w:pPr>
    </w:p>
    <w:p>
      <w:pPr>
        <w:ind w:right="460" w:firstLine="648"/>
        <w:spacing w:after="0" w:line="258" w:lineRule="auto"/>
        <w:rPr>
          <w:sz w:val="20"/>
          <w:szCs w:val="20"/>
          <w:color w:val="auto"/>
        </w:rPr>
      </w:pPr>
      <w:r>
        <w:rPr>
          <w:rFonts w:ascii="Arial" w:cs="Arial" w:eastAsia="Arial" w:hAnsi="Arial"/>
          <w:sz w:val="18"/>
          <w:szCs w:val="18"/>
          <w:color w:val="auto"/>
        </w:rPr>
        <w:t>The growth of automated buying and selling of advertising is also expanding into geographic markets outside of the United States, and in some markets, the adoption rate of programmatic digital advertising is greater than in the United States. We</w:t>
      </w:r>
    </w:p>
    <w:p>
      <w:pPr>
        <w:spacing w:after="0" w:line="1" w:lineRule="exact"/>
        <w:rPr>
          <w:sz w:val="20"/>
          <w:szCs w:val="20"/>
          <w:color w:val="auto"/>
        </w:rPr>
      </w:pPr>
    </w:p>
    <w:p>
      <w:pPr>
        <w:ind w:right="2100"/>
        <w:spacing w:after="0" w:line="281" w:lineRule="auto"/>
        <w:rPr>
          <w:sz w:val="20"/>
          <w:szCs w:val="20"/>
          <w:color w:val="auto"/>
        </w:rPr>
      </w:pPr>
      <w:r>
        <w:rPr>
          <w:rFonts w:ascii="Arial" w:cs="Arial" w:eastAsia="Arial" w:hAnsi="Arial"/>
          <w:sz w:val="16"/>
          <w:szCs w:val="16"/>
          <w:color w:val="auto"/>
        </w:rPr>
        <w:t>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and gain market</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 As a result of these factors, the portion of our advertising spend attributed to markets outside the United States declined to 36% during the six months ended June 30, 2018 from 39% during the first half of 2017. Another factor impacting our business is that a large share of the growth in digital advertising spending worldwide is being captured by owned and operated sites, such as Facebook and Google.</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Trends Impacting Desktop</w:t>
      </w:r>
    </w:p>
    <w:p>
      <w:pPr>
        <w:spacing w:after="0" w:line="9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These market factors present long-term growth opportunities; however, in the near term the industry-wide shift from desktop to mobile advertising has had an adverse impact on our business. In recent years, we have seen an industry-wide slowdown in the growth rate for traditional desktop advertising, and the growth rate for this portion of the market is expected to flatten in future years. According to MAGNA, programmatic desktop advertising is expected to grow at a 6% compound annual growth rate over the 2017-2021 period. This results from the market shift to mobile channels noted above. These trends are having a significant effect on our overall growth rate, because desktop advertising continues to be a significant part of our core business, representing 53% of advertising spend in the first half of 2018. As noted above, our advertising spend in desktop decreased 2% during the six months ended June 30,</w:t>
      </w:r>
    </w:p>
    <w:p>
      <w:pPr>
        <w:spacing w:after="0" w:line="5"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2018 compared to the six months ended June 30, 2017. In addition to the ongoing industry shift away from desktop to mobile, year-over-year growth in our desktop business is hampered further by the continued migration to header bidding, which to date has been focused primarily on desktop display advertising inventory. Header bidding has resulted in adverse revenue effects for us when comparing the six months ended June 30, 2018 to the same period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2017 due to loss to competitors of some inventory that we would otherwise have been able to sell through our platform. While header bidding has increased competition for inventory, it also has made available to us significant amounts of inventory that previously we were unable to access, and while our traditional desktop display business has declined, our header bidding solution gained significant traction in 2017 and through the first half of 2018.</w:t>
      </w:r>
    </w:p>
    <w:p>
      <w:pPr>
        <w:spacing w:after="0" w:line="12"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Header bidding is going through an additional technical evolution from the client side, which involves the browser running the auction, to a server-side solution, in which a server runs the auction and offers the potential for improved performance and speed. We believe that our investments in our client-side header bidding solution as well as server-side header bidding have the potential to improve our competitiveness in all markets in 2018 and beyond.</w:t>
      </w:r>
    </w:p>
    <w:p>
      <w:pPr>
        <w:spacing w:after="0" w:line="261" w:lineRule="auto"/>
        <w:rPr>
          <w:sz w:val="20"/>
          <w:szCs w:val="20"/>
          <w:color w:val="auto"/>
        </w:rPr>
      </w:pPr>
      <w:r>
        <w:rPr>
          <w:rFonts w:ascii="Arial" w:cs="Arial" w:eastAsia="Arial" w:hAnsi="Arial"/>
          <w:sz w:val="18"/>
          <w:szCs w:val="18"/>
          <w:color w:val="auto"/>
        </w:rPr>
        <w:t>However, we must continue to address certain technical and operational challenges, as described under "Risk Factors" in our Annual Report on Form 10-K for the year ended December 31, 2017, in order to realize our header bidding solution's full potential.</w:t>
      </w:r>
    </w:p>
    <w:p>
      <w:pPr>
        <w:spacing w:after="0" w:line="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Because of these rapid developments in the industry, advertising spend from our traditional desktop display business has declined and no longer can be relied upon to be the primary growth driver of our business. Our strategic focus is on growth areas—including mobile, video, and PMPs—that are expected to represent a majority of our advertising spend in 2018. However, despite our solid progress in mobile, our traditional desktop display business is expected to continue to represent a significant part of our business in the near term. Therefore, the weight of our desktop display business and its decreasing advertising spend trend will continue to have a significant adverse effect on our growth until our advertising spend mix has shifted more fully to growth areas.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 Decline</w:t>
      </w:r>
    </w:p>
    <w:p>
      <w:pPr>
        <w:spacing w:after="0" w:line="13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 tech exchange intermediaries like us have used different revenue models in OMP transactions, including charging fees only to sellers or arbitraging the purchase and sale of ad impressions. Our approach was historically to charge fees to both buyers and sellers in OMP transactions conducted on our exchange, consistent with the fact that we provide services to each. Traditionally, for OMP waterfall transactions, we ran a modified second price auction in which the clearing price was the greater of the second highest bid in the auction plus one cent or the applicable price floor. Our buyer fees were determined algorithmically and added to the clearing price to determine the price charged to the winning bidder. Our take rate was made up of the total fees we charge buyers and sellers. In the second quarter of 2017, our take rate was 21.0%.</w:t>
      </w:r>
    </w:p>
    <w:p>
      <w:pPr>
        <w:spacing w:after="0" w:line="43"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late 2017, we reduced and then eliminated our buyer fees as a result of three strategic moves we made in response to market conditions. First, in response to market demands for more efficiency and lower cost from intermediaries like us, and in an effort to be more competitive in attracting demand and capturing supply, we made a strategic decision to reduce the fees we charged buyers in OMP waterfall transactions.</w:t>
      </w:r>
    </w:p>
    <w:p>
      <w:pPr>
        <w:spacing w:after="0" w:line="3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Second, the mix of OMP transactions on our exchange had shifted from approximately three quarters conducted through the traditional ad server waterfall at the end of December 2016 to approximately half through the ad server waterfall as of September 30, 2017. In traditional OMP waterfall transactions, available impressions are passed to different demand sources in a sequence determined by the seller’s ad server, and when an impression is passed to a particular demand source, that demand source is generally able to auction the impression with little or no competition. As the percentage of OMP waterfall transactions has declined, the percentage of header bidding transactions has increased. Header bidding increases competition for ad inventory by exposing impressions simultaneously to multiple sources of demand in a competitive auction that, if successful, replaces the ad server waterfall. Each demand source in a header bidding auction conducts its own auction for the impression and then passes its winning bid to a “downstream” meta-auction in which the seller evaluates bids from all its demand sources, and generally the highest bid wins. This competition pushes auction clearing prices much closer to the winning first-price bid than OMP waterfall transactions. In order to be more competitive and give our buyers a better chance of winning the header bidding impressions on which they bid, we began charging lower buyer fees for header bidding transactions so that we could pass higher priced bids into the downstream auction. Based upon experience with this approach and client feedback, in October 2017 we began offering a modified first price auction dynamic in our header bidding solution without buyer fees. Subsequently, in an effort to capture more inventory for our buyers and deliver better monetization to our sellers, and to provide better transparency and predictability to all our clients, effective as of January 22, 2018, we made first price our default auction dynamic for header bidding transactions. This means that the first price or highest bid in our auction wins and that first price is passed to the downstream auction. Because buyers needed time to adapt their systems and bidding strategies to first-price auction dynamics and maximize advertising campaign returns and performance, or may prefer not to develop their own first price pricing algorithms, we built and implemented an optional feature at no additional cost,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digital advertising inventory consistent with market values while preserving demand and budget for sellers on our platform. In addition to increasing the rate at which buyers win in our auctions, and the monetization that that winning provides to sellers, our first price auction dynamic and EMR solution have contributed to higher CPMs for our header bidding inventory.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as the ad tech industry has matured and evolved, competition has increased and pricing has become more</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transparent. The primary buyers in our OMP transactions are DSPs buying on behalf of agency and brand clients that are demanding reduced costs and fee transparency throughout the value chain. DSPs and their clients are consequently demanding that exchanges disclose and limit or eliminate buyer fees, and DSPs and their clients may reduce or eliminate spending on exchanges that charge buyer fees. In addition, some sellers believe that buyer fees ultimately reduce seller revenue, and therefore are seeking to cap or eliminate buyer fees on sale of their inventory. In response to these market trends, and consistent with our strategy to be a high volume, low cost and transparent exchange, we stopped charging our additive buyer fees altogether effective November 1, 2017. We still charge some buyers an access fee to connect to our system when their spending is too small to support the maintenance of their accounts, but these access fees in the aggregate are insignificant. As such, our future revenue will consist almost entirely of a unitary marketplace fee. Most of our marketplace fees are negotiated with sellers as a percentage of the auction clearing price for sale of their inventory. In some cases, we reduce the buyer’s bid amount by the amount of our fee and pass the remainder as the bid to the seller. If the bid wins we retain the amount of the bid reduction as our fee. We do this at the discretion of sellers that allocate digital advertising inventory through a decisioning process that follows after our auction and incorporates other demand sources as well as our bids, and that prefer or require that we submit our bids to them net of our fees, so that our bid matches the amount we will owe them if we win. This is referred to as net bidding. Net bidding amounts can vary across transactions depending upon various factors including inventory and auction characteristics and seller policies.</w:t>
      </w:r>
    </w:p>
    <w:p>
      <w:pPr>
        <w:spacing w:after="0" w:line="4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These strategic price reductions contributed to the decrease in our take rate from 21.0% for the three months ended June 30, 2017 to 12.1% for the three months ended June 30, 2018.</w:t>
      </w:r>
    </w:p>
    <w:p>
      <w:pPr>
        <w:spacing w:after="0" w:line="3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strategic pricing reductions are intended to address the market's demand for lower costs and to attract more inventory and spending to our platform. Lower pricing has caused our revenue and margins to decline significantly during the first half of 2018 compared to the corresponding period in 2017. In order to adjust to our lower take rates and return to growth, we must increase advertising spend on our platform. Increases in PMP and header bidding transactions as a percentage of the activity on our exchange could yield higher advertising spend despite lower take rates due to higher CPMs typically associated with PMP transactions, and from modified first-price auctions in header bidding transactions. However, in an increasingly competitive market in which buyers and sellers have many choices, it is not clear whether pricing reductions will result in increases in spending on our platform, or whether any spending increases will compensate fully for the reduction in pricing. We have seen significant increases in the volume of ad requests we receive, but the rate at which we win header bidding auctions is much lower than the rate at which we win waterfall transactions. As our business continues to shift away from waterfall transactions to header bidding—header bidding now represents more than 77% of our revenue—we need to participate in more header bidding auctions and increase the fill rate in header bidding auctions to compensate for the decline in the number of waterfall transactions. Driving revenue growth in this situation is difficult to accomplish in a competitive market and requires accessing significantly greater inventory levels from our sellers and in turn processing more auctions. This growth in business volume requires adequate processing capacity as well as ongoing innovation to address evolving client needs, capture business, and improve our fill rate.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elimination of buyer fees, such fees represented approximately half of our revenue for the first ten months of</w:t>
      </w:r>
    </w:p>
    <w:p>
      <w:pPr>
        <w:spacing w:after="0" w:line="23"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2017, and we do not expect to be able to grow advertising spending or reduce costs quickly enough in the near term to make up for the elimination of these fees. This will result in significant cash consumption to support operations during 2018. Unless and until we are able to compensate for elimination of our buyer fees by increasing advertising spend on our platform, through higher transaction volumes or higher transaction values or both, or by increasing seller fees, we will not be able to grow our business and our cash resources will diminish until such time growth offsets our reduced level of operating expenses.</w:t>
      </w:r>
    </w:p>
    <w:p>
      <w:pPr>
        <w:spacing w:after="0" w:line="12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Therefore, while we work to increase the volume of transactions on our exchange and compete more effectively, we must operate more efficiently to relieve the pressure on our margins and cash resources that has resulted from our price reductions and to compensate for the ongoing investments in technology and data processing capabilities required to support the increased volume of transactions that our growth plans require. Consequently, we are continuously evaluating our costs and pursuing additional cost-control and efficiency opportunities, including increased automation, across all aspects of the Company. As part of these efforts,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Uncertainty Resulting from GDPR</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GDPR adds significant new regulatory requirements that are applicable to us as well as our clients and competitors. Some critical elements of the GDPR are still unclear, and there has not yet been time for consistent regulatory guidance to be developed, or for established industry compliance practices to emerge. In particular, uncertainty about the requirements regarding end-user consent, and diverging interpretations among sellers and buyers as to the adequacy of any consent that is obtained, could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result in the removal of personal data from bid requests, which will lower the value of the impressions, resulting in reduced revenue and advertising spend for us. Until prevailing industry standards emerge, our revenue from European sellers could fluctuate from quarter to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and the operational performance measures, are regularly reviewed by our chief operating decision maker, principally to make decisions about how we allocate our resources and to measure our consolidated operating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generate revenue from the purchase and sale of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Note 3 of the accompanying Notes to the Condensed Consolidated Financial Statements.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Our cost of revenue consists primarily of data center costs, bandwidth costs, depreciation and maintenance expense of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our revenue-producing platform, amortization of software costs for the development of our revenue-producing platform, amortization expense associated with acquired developed technologies, personnel costs, facilities-related costs, and for transactions we have previously reported on a gross basis, the amounts we paid sellers.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3"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personnel costs, including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 and changes in fair value associated with the liability-classified contingent consideration related to acquisitions.</w:t>
      </w:r>
    </w:p>
    <w:p>
      <w:pPr>
        <w:spacing w:after="0" w:line="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consist primarily of employee termination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charges, and facility closure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 and was insignificant for the six months ended June 30, 2018 and 2017.</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Provision (benefit) for income taxes consists of federal, state, and foreign income taxes and is primarily the result of the domestic valuation allowance and the tax liability associated with foreign subsidiaries.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 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3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the following: a federal corporate rate reduction from 34% to 21%; limitations on the deductibility of executive compensation and research and development (“R&amp;D”) expenditures;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 which have not previously been repatriated to the U.S. (the “Transition Tax”).</w:t>
      </w:r>
    </w:p>
    <w:p>
      <w:pPr>
        <w:spacing w:after="0" w:line="15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Tax Act imposes a Transition Tax on previously untaxed accumulated and current earnings and profits (“E&amp;P”) of certain of our foreign subsidiaries. To determine the amount of the Transition Tax, we determined, among other things, the amount of post-1986 E&amp;P of the relevant subsidiaries. We recorded a provisional Transition Tax of $0.6 million, which reduced our U.S. net deferred tax assets for the year ended December 31, 2017. For the six months ended June 30, 2018, there was no change to the provisional Transaction Tax recorded in the prior period.</w:t>
      </w:r>
    </w:p>
    <w:p>
      <w:pPr>
        <w:spacing w:after="0" w:line="13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We have recognized the actual impact of the revaluation of deferred tax balances and the provisional impact related to the one-time Transition Tax. We included these amounts in our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that may be taken as a result of the Tax Act. We expect to complete our analysis within the measurement period in accordance with SAB 118.</w:t>
      </w:r>
    </w:p>
    <w:p>
      <w:pPr>
        <w:spacing w:after="0" w:line="1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our financial position and results of operations.</w:t>
      </w:r>
    </w:p>
    <w:p>
      <w:pPr>
        <w:spacing w:after="0" w:line="14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Finally,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BEAT does not apply to corporations whose annual gross receipts for the three-taxable-year period ending with the preceding taxable year are less than $500 million. BEAT does not apply to the Company for the year ending December 31, 2018. Also, the Tax Act requires certain GILTI income earned by controlled foreign corporations (“CFCs”) to be included in the gross income of the CFCs’ U.S. shareholder (for tax years beginning after December 31, 2017). For the six months ended June 30, 2018, we have included a provisional GILTI inclusion of $1.2 million for purposes of Accounting Standards Codification Topic 740. GAAP allows us to either (i) treat taxes due on future U.S. inclusions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taxable income related to BEAT and GILTI as current-period expense when incurred (the “period cost method”); or (ii) factor such amounts into the measurement of deferred taxes (the “deferred method”). We elected the period cost method.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Favorable/(Unfavorable)</w:t>
            </w: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Favorable/(Unfavorable)</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7"/>
                <w:szCs w:val="7"/>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7"/>
                <w:szCs w:val="7"/>
                <w:color w:val="auto"/>
              </w:rPr>
            </w:pPr>
          </w:p>
        </w:tc>
        <w:tc>
          <w:tcPr>
            <w:tcW w:w="10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4"/>
              </w:rPr>
              <w:t>June 30, 2017</w:t>
            </w:r>
          </w:p>
        </w:tc>
        <w:tc>
          <w:tcPr>
            <w:tcW w:w="1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80" w:type="dxa"/>
            <w:vAlign w:val="bottom"/>
            <w:gridSpan w:val="2"/>
          </w:tcPr>
          <w:p>
            <w:pPr>
              <w:jc w:val="right"/>
              <w:ind w:right="6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80" w:type="dxa"/>
            <w:vAlign w:val="bottom"/>
            <w:gridSpan w:val="2"/>
          </w:tcPr>
          <w:p>
            <w:pPr>
              <w:jc w:val="right"/>
              <w:ind w:right="6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34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340" w:type="dxa"/>
            <w:vAlign w:val="bottom"/>
            <w:tcBorders>
              <w:top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28,648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42,922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53,524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88,937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3000" w:type="dxa"/>
            <w:vAlign w:val="bottom"/>
          </w:tcPr>
          <w:p>
            <w:pPr>
              <w:ind w:left="40"/>
              <w:spacing w:after="0"/>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13,698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28,386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00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12,529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23,392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27,157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12,044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7"/>
        </w:trPr>
        <w:tc>
          <w:tcPr>
            <w:tcW w:w="300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11,441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14,355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23,985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29,435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17"/>
        </w:trPr>
        <w:tc>
          <w:tcPr>
            <w:tcW w:w="300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47,839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54,247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100,383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115,734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300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80" w:type="dxa"/>
            <w:vAlign w:val="bottom"/>
            <w:gridSpan w:val="2"/>
          </w:tcPr>
          <w:p>
            <w:pPr>
              <w:ind w:left="110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560" w:type="dxa"/>
            <w:vAlign w:val="bottom"/>
          </w:tcPr>
          <w:p>
            <w:pPr>
              <w:jc w:val="right"/>
              <w:ind w:right="146"/>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3000" w:type="dxa"/>
            <w:vAlign w:val="bottom"/>
          </w:tcPr>
          <w:p>
            <w:pPr>
              <w:ind w:left="380"/>
              <w:spacing w:after="0"/>
              <w:rPr>
                <w:sz w:val="20"/>
                <w:szCs w:val="20"/>
                <w:color w:val="auto"/>
              </w:rPr>
            </w:pPr>
            <w:r>
              <w:rPr>
                <w:rFonts w:ascii="Arial" w:cs="Arial" w:eastAsia="Arial" w:hAnsi="Arial"/>
                <w:sz w:val="16"/>
                <w:szCs w:val="16"/>
                <w:color w:val="auto"/>
              </w:rPr>
              <w:t>Provision for income taxes</w:t>
            </w:r>
          </w:p>
        </w:tc>
        <w:tc>
          <w:tcPr>
            <w:tcW w:w="1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6"/>
                <w:szCs w:val="16"/>
                <w:color w:val="auto"/>
              </w:rPr>
              <w:t>NM - Not Meaningful</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1"/>
                <w:szCs w:val="21"/>
                <w:color w:val="auto"/>
              </w:rPr>
            </w:pPr>
          </w:p>
        </w:tc>
        <w:tc>
          <w:tcPr>
            <w:tcW w:w="28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2,409</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2,056</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2,628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4,759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5,337</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and 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1,560</w:t>
            </w:r>
          </w:p>
        </w:tc>
      </w:tr>
      <w:tr>
        <w:trPr>
          <w:trHeight w:val="217"/>
        </w:trPr>
        <w:tc>
          <w:tcPr>
            <w:tcW w:w="5160" w:type="dxa"/>
            <w:vAlign w:val="bottom"/>
          </w:tcPr>
          <w:p>
            <w:pPr>
              <w:ind w:left="520"/>
              <w:spacing w:after="0"/>
              <w:rPr>
                <w:sz w:val="20"/>
                <w:szCs w:val="20"/>
                <w:color w:val="auto"/>
              </w:rPr>
            </w:pPr>
            <w:r>
              <w:rPr>
                <w:rFonts w:ascii="Arial" w:cs="Arial" w:eastAsia="Arial" w:hAnsi="Arial"/>
                <w:sz w:val="16"/>
                <w:szCs w:val="16"/>
                <w:color w:val="auto"/>
              </w:rPr>
              <w:t>Total stock-based compensation expense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4,612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5,303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9,156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11,542</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1"/>
                <w:szCs w:val="21"/>
                <w:color w:val="auto"/>
              </w:rPr>
            </w:pPr>
          </w:p>
        </w:tc>
        <w:tc>
          <w:tcPr>
            <w:tcW w:w="28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16,514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16,424</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753</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997</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802</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depreciation and amortization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18,976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93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880" w:type="dxa"/>
            <w:vAlign w:val="bottom"/>
          </w:tcPr>
          <w:p>
            <w:pPr>
              <w:spacing w:after="0"/>
              <w:rPr>
                <w:sz w:val="22"/>
                <w:szCs w:val="22"/>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2018</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2017</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2018</w:t>
            </w:r>
          </w:p>
        </w:tc>
        <w:tc>
          <w:tcPr>
            <w:tcW w:w="1540" w:type="dxa"/>
            <w:vAlign w:val="bottom"/>
          </w:tcPr>
          <w:p>
            <w:pPr>
              <w:jc w:val="right"/>
              <w:ind w:right="271"/>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48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Revenue</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4880" w:type="dxa"/>
            <w:vAlign w:val="bottom"/>
          </w:tcPr>
          <w:p>
            <w:pPr>
              <w:ind w:left="480"/>
              <w:spacing w:after="0"/>
              <w:rPr>
                <w:sz w:val="20"/>
                <w:szCs w:val="20"/>
                <w:color w:val="auto"/>
              </w:rPr>
            </w:pPr>
            <w:r>
              <w:rPr>
                <w:rFonts w:ascii="Arial" w:cs="Arial" w:eastAsia="Arial" w:hAnsi="Arial"/>
                <w:sz w:val="18"/>
                <w:szCs w:val="18"/>
                <w:color w:val="auto"/>
              </w:rPr>
              <w:t>Cost of revenue</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32</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r>
      <w:tr>
        <w:trPr>
          <w:trHeight w:val="243"/>
        </w:trPr>
        <w:tc>
          <w:tcPr>
            <w:tcW w:w="4880" w:type="dxa"/>
            <w:vAlign w:val="bottom"/>
          </w:tcPr>
          <w:p>
            <w:pPr>
              <w:ind w:left="480"/>
              <w:spacing w:after="0"/>
              <w:rPr>
                <w:sz w:val="20"/>
                <w:szCs w:val="20"/>
                <w:color w:val="auto"/>
              </w:rPr>
            </w:pPr>
            <w:r>
              <w:rPr>
                <w:rFonts w:ascii="Arial" w:cs="Arial" w:eastAsia="Arial" w:hAnsi="Arial"/>
                <w:sz w:val="18"/>
                <w:szCs w:val="18"/>
                <w:color w:val="auto"/>
              </w:rPr>
              <w:t>Technology and development</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r>
      <w:tr>
        <w:trPr>
          <w:trHeight w:val="243"/>
        </w:trPr>
        <w:tc>
          <w:tcPr>
            <w:tcW w:w="4880" w:type="dxa"/>
            <w:vAlign w:val="bottom"/>
          </w:tcPr>
          <w:p>
            <w:pPr>
              <w:ind w:left="480"/>
              <w:spacing w:after="0"/>
              <w:rPr>
                <w:sz w:val="20"/>
                <w:szCs w:val="20"/>
                <w:color w:val="auto"/>
              </w:rPr>
            </w:pPr>
            <w:r>
              <w:rPr>
                <w:rFonts w:ascii="Arial" w:cs="Arial" w:eastAsia="Arial" w:hAnsi="Arial"/>
                <w:sz w:val="18"/>
                <w:szCs w:val="18"/>
                <w:color w:val="auto"/>
              </w:rPr>
              <w:t>Restructuring and other exit costs</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7</w:t>
            </w:r>
          </w:p>
        </w:tc>
      </w:tr>
      <w:tr>
        <w:trPr>
          <w:trHeight w:val="27"/>
        </w:trPr>
        <w:tc>
          <w:tcPr>
            <w:tcW w:w="48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130</w:t>
            </w:r>
          </w:p>
        </w:tc>
      </w:tr>
      <w:tr>
        <w:trPr>
          <w:trHeight w:val="237"/>
        </w:trPr>
        <w:tc>
          <w:tcPr>
            <w:tcW w:w="488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15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1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15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4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2018 and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Revenue decreased $14.3 million, or 33%, for the three months ended June 30, 2018 compared to the three months ended June 30, 2017. The decrease was primarily due to the elimination of our buyer fees beginning in November 2017, market and competitive pressures, deceleration in traditional desktop display spending, and header bidding dynamics as described above in "Industry Trends and Trends in Our Business".</w:t>
      </w:r>
    </w:p>
    <w:p>
      <w:pPr>
        <w:spacing w:after="0" w:line="3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six months ended June 30, 2018, revenue decreased $35.4 million, or 40%, compared to the prior year period, primarily for the same reasons described above for the three month period. The decrease for the six month period was also impacted by the cessation of our intent marketing solution in March 2017.</w:t>
      </w:r>
    </w:p>
    <w:p>
      <w:pPr>
        <w:spacing w:after="0" w:line="4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Revenue is impacted by shifts in the mix of advertising spend by transaction type and channel, changes in the fees we charge buyers and sellers for our services (which drive take rate), and other factors such as changes in the market, our execution of the business, and competition. In addition to the elimination of buyer transaction fees resulting in lower take rate, an increase in PMP transactions as a percentage of the transactions on our platform could contribute to lower take rates because PMP transactions can carry lower fees than OMP transactions. Industry dynamics are challenging due to market and competitive pressures and make it difficult to predict the near-term effect of our growth initiatives. Consequently, while we anticipate long-term benefits from these initiatives, unless and until we are able to compensate for the reduction in our fees by continuing to increase advertising spend on our platform, through higher transaction volumes or higher transaction values or both, or by increasing seller fees, our revenue will continue to decline, we will not be able to grow our business, and our cash resources will diminish until such time growth offsets our reduced level of operating expenses.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Cost of revenue increased by $1.3 million, or 10%, for the three months ended June 30, 2018 compared to the three months ended June 30, 2017, primarily due to an increase of $1.1 million in data center and bandwidth expenses to support the increase in our transaction volume.</w:t>
      </w:r>
    </w:p>
    <w:p>
      <w:pPr>
        <w:spacing w:after="0" w:line="10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For the six months ended June 30, 2018, cost of revenue increased $1.4 million, or 5%, compared to the prior year period. The increase was primarily due an increase of $2.3 million in data center and bandwidth expenses to support the increase in our transaction volume, which was partially offset by a $0.8 million reduction in media costs related to the cessation of our intent marketing solution during the first quarter of 2017.</w:t>
      </w:r>
    </w:p>
    <w:p>
      <w:pPr>
        <w:spacing w:after="0" w:line="1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expect cost of revenue to be higher in absolute dollars in 2018 compared to 2017 as a result of increased spending on data centers, serving costs, and technology to process the greater volumes of data and transactions we will need to grow revenue.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Sales and marketing expenses decreased $1.4 million or 11% for the three months ended June 30, 2018 compared to the three months ended June 30, 2017, primarily due to a decrease of $0.6 million in sales and marketing personnel costs as a result of our 2018 cost control initiatives. Sales and marketing depreciation and amortization costs also decreased compared to the prior year period.</w:t>
      </w:r>
    </w:p>
    <w:p>
      <w:pPr>
        <w:spacing w:after="0" w:line="14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For the six months ended June 30, 2018, sales and marketing expenses decreased $3.8 million, or 14%, compared to the prior year period. The decrease is attributable to our 2017 and 2018 cost reduction measures, including the realignment of our management team, primarily consisting of a $2.1 million decrease in personnel costs as well as decreases across other expenses necessary to support our reduced headcount.</w:t>
      </w:r>
    </w:p>
    <w:p>
      <w:pPr>
        <w:spacing w:after="0" w:line="10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expect sales and marketing expenses to continue to decline in 2018 compared to 2017 as a result of headcount reductions and other cost control measures we implemented in the first quarter of 2018, as described below. Sales and marketing expense may fluctuate quarter to quarter and period to period, on an absolute dollar basis and as a percentage of revenue, based on revenue levels, the timing of our investments and seasonality in our industry and business.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7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Technology and development expenses decreased by $2.8 million, or 23%, for the three months ended June 30, 2018 compared to the three months ended June 30, 2017, primarily due to a decrease of $2.5 million in personnel costs as a result of our 2018 cost control initiatives.</w:t>
      </w:r>
    </w:p>
    <w:p>
      <w:pPr>
        <w:spacing w:after="0" w:line="10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For the six months ended June 30, 2018, technology and development expenses decreased by $5.1 million, or 20%, compared to the prior year period. Technology and development personnel costs decreased $3.7 million for the six months ended June 30, 2018 compared to the prior year period, primarily as a result of our 2017 and 2018 cost control initiatives. In addition, facilities related expenses and depreciation and amortization expenses decreased compared to the prior year period primarily due to the cessation of our intent marketing services offering and closure of our Toronto office in the first quarter of 2017.</w:t>
      </w:r>
    </w:p>
    <w:p>
      <w:pPr>
        <w:spacing w:after="0" w:line="148"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expect technology and development expense to continue to decline in 2018 compared to 2017 as a result of headcount reductions we implemented in the first quarter 2018, as described below, and we expect additional savings in 2018 as we improve our efficiencies in technology development while continuing to invest in our engineering and technology teams.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General and administrative expenses decreased by $2.9 million, or 20%, for the three months ended June 30, 2018 compared to the three months ended June 30, 2017. The decrease is primarily due to a decrease of $1.8 million in personnel costs as a result of our 2018 cost control initiatives. In addition, professional services expenses decreased by $0.4 million.</w:t>
      </w:r>
    </w:p>
    <w:p>
      <w:pPr>
        <w:spacing w:after="0" w:line="14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For the six months ended June 30, 2018, general and administrative expenses decreased by $5.5 million, or 19%, compared to the prior year period. Personnel related expenses decreased $2.2 million primarily as a result of our 2017 and 2018 cost control initiatives. Professional service expenses also decreased $1.9 million, including reductions in legal fees and consultant services. General and administrative depreciation and amortization costs also decreased $0.5 million due to accelerated amortization of certain capitalized software assets in 2017.</w:t>
      </w:r>
    </w:p>
    <w:p>
      <w:pPr>
        <w:spacing w:after="0" w:line="13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expect quarterly general and administrative expense to continue to decline in 2018 compared to 2017 as a result of headcount reductions and other cost control measures we implemented in the first quarter 2018, as described below. General and administrative expenses may fluctuate from quarter to quarter and period to period based on the timing and amounts of our investments and related expenditures in our general and administrative functions as they vary in scope and scale over periods which may not be directly proportional to changes in revenue.</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incurred restructuring and other exit costs of $1.0 million and $3.4 million for severance and other one-time employee termination benefits during the three and six months ended June 30, 2018, respectively, related to headcount reductions that were made in the first quarter of 2018, as described below. For the three and six months ended June 30, 2017, we incurred $1.6 million and $6.0 million, respectively, primarily in severance and one-time employee termination benefits and facility closure costs, as a result of the management restructuring and the costs associated with the shut-down of our intent marketing services (see Note 8).</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estimate the 2018 restructuring activities will result in annualized cash basis cost savings of approximately $24.0 million, which we began to realize in the second quarter of 2018.</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2017</w:t>
            </w:r>
          </w:p>
        </w:tc>
      </w:tr>
      <w:tr>
        <w:trPr>
          <w:trHeight w:val="249"/>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21"/>
                <w:szCs w:val="21"/>
                <w:color w:val="auto"/>
              </w:rPr>
            </w:pPr>
          </w:p>
        </w:tc>
        <w:tc>
          <w:tcPr>
            <w:tcW w:w="284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(in thousands)</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(gain) loss,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Foreign exchange (gain) loss, net is impacted by movements in exchange rates, primarily the British Pound and the Euro relative to the U.S. Dollar, and the amount of foreign currency-denominated receivables and payables, which are impacted by our billings to buyers and payments to sellers. The foreign currency gain, net during the three and six months ended June 30, 2018 was primarily attributable to the strengthening of the U.S. Dollar in relation to the Euro and the British Pound for foreign currency denominated transactions.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recorded income tax expenses of $0.1 million and $0.1 million for the three months ended June 30, 2018 and 2017, respectively, and $0.1 million and $0.5 million for the six months ended June 30, 2018 and 2017, respectively. The tax provision for the three and six months ended June 30, 2018 is primarily the result of the domestic valuation allowance and the tax liability associated with foreign subsidiaries.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Operational Performance Measures</w:t>
      </w:r>
    </w:p>
    <w:p>
      <w:pPr>
        <w:spacing w:after="0" w:line="18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to our GAAP results, we review certain non-GAAP financial measures and operational measures to help us evaluate our business, measure our performance, identify trends affecting our business, establish budgets, measure the effectiveness of investments in our technology and development and sales and marketing, and assess our operational efficiencies. These non-GAAP measures include advertising spend, non-GAAP net revenue, Adjusted EBITDA, and take rate, which are discussed immediately following the table below. Revenue and other GAAP measures are discussed under the headings "Components of Our Results of Operations" and "Results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9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June 30, 2018</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June 30, 2018</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5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21"/>
                <w:szCs w:val="21"/>
                <w:color w:val="auto"/>
              </w:rPr>
            </w:pPr>
          </w:p>
        </w:tc>
        <w:tc>
          <w:tcPr>
            <w:tcW w:w="276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Measures and non-GAAP Financial Measures: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28,648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42,922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53,524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88,937</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spend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237,658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204,391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448,685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395,931</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Non-GAAP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28,648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42,922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53,524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88,304</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(17,984)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(45,800)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(27,395)</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(5,491)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(19,695)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4,100</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Measure: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Take Rate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Spend</w:t>
      </w:r>
    </w:p>
    <w:p>
      <w:pPr>
        <w:spacing w:after="0" w:line="9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define advertising spend as the total volume of spending between buyers and sellers transacted on our platform. Advertising spend does not represent revenue reported on a GAAP basis. Tracking our advertising spend facilitates comparison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results to the results of companies in our industry that report GAAP revenue on a gross basis. We also use advertising spend for internal management purposes to assess market share of total advertising spending.</w:t>
      </w:r>
    </w:p>
    <w:p>
      <w:pPr>
        <w:spacing w:after="0" w:line="35" w:lineRule="exact"/>
        <w:rPr>
          <w:sz w:val="20"/>
          <w:szCs w:val="20"/>
          <w:color w:val="auto"/>
        </w:rPr>
      </w:pPr>
    </w:p>
    <w:p>
      <w:pPr>
        <w:jc w:val="both"/>
        <w:ind w:right="160" w:firstLine="648"/>
        <w:spacing w:after="0" w:line="334" w:lineRule="auto"/>
        <w:rPr>
          <w:sz w:val="20"/>
          <w:szCs w:val="20"/>
          <w:color w:val="auto"/>
        </w:rPr>
      </w:pPr>
      <w:r>
        <w:rPr>
          <w:rFonts w:ascii="Arial" w:cs="Arial" w:eastAsia="Arial" w:hAnsi="Arial"/>
          <w:sz w:val="16"/>
          <w:szCs w:val="16"/>
          <w:color w:val="auto"/>
        </w:rPr>
        <w:t>Our advertising spend may be influenced by demand for our services, the volume and characteristics of paid impressions, average CPM, our ability to fill ad requests, the nature and amount of fees we charge, and other factors such as changes in the market, our execution of the business, and competition.</w:t>
      </w:r>
    </w:p>
    <w:p>
      <w:pPr>
        <w:spacing w:after="0" w:line="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Advertising spend may fluctuate due to seasonality. In the past, we have experienced higher advertising spend during the fourth quarter of a given year because many buyers devote a disproportionate amount of their advertising budgets to this period of the year to coincide with increased holiday purchasing. Buyers' focus on the fourth quarter generates more bidding activity on our platform, which may drive higher volumes of paid impressions, average CPM, or both. Our advertising spend grew 16% and 13% for the three and six months ended June 30, 2018, respectively, compared to the same periods in 2017. The increase in advertising spend was driven by higher ad request volumes and an increase in the CPMs generated from our auctions. The increase in CPMs was driven by increased bidding activity on our platform, the value of the inventory that we made available to buyers, including PMP, mobile and video inventory that typically carries higher pricing, and auction dynamics, including the implementation of first price auctions and EMR for our header bidding inventory.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revenue to advertising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1"/>
                <w:szCs w:val="21"/>
                <w:color w:val="auto"/>
              </w:rPr>
            </w:pPr>
          </w:p>
        </w:tc>
        <w:tc>
          <w:tcPr>
            <w:tcW w:w="264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88,937</w:t>
            </w:r>
          </w:p>
        </w:tc>
      </w:tr>
      <w:tr>
        <w:trPr>
          <w:trHeight w:val="270"/>
        </w:trPr>
        <w:tc>
          <w:tcPr>
            <w:tcW w:w="56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Plus amounts paid to sellers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209,010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161,469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395,161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306,994</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spend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237,658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204,391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448,685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395,931</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Amounts paid to sellers for the portion of our revenue reported on a net basis for GAAP purposes.</w:t>
      </w:r>
    </w:p>
    <w:p>
      <w:pPr>
        <w:spacing w:after="0" w:line="35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solution enables buyers and sellers to transact through desktop and mobile channels. The following tables present revenue and advertising spend in dollar terms by channel and as a percentage of total revenue or advertising spend for the three and six months ended June 30, 2018 and 2017.</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right="960"/>
              <w:spacing w:after="0"/>
              <w:rPr>
                <w:sz w:val="20"/>
                <w:szCs w:val="20"/>
                <w:color w:val="auto"/>
              </w:rPr>
            </w:pPr>
            <w:r>
              <w:rPr>
                <w:rFonts w:ascii="Arial" w:cs="Arial" w:eastAsia="Arial" w:hAnsi="Arial"/>
                <w:sz w:val="14"/>
                <w:szCs w:val="14"/>
                <w:b w:val="1"/>
                <w:bCs w:val="1"/>
                <w:color w:val="auto"/>
                <w:w w:val="92"/>
              </w:rPr>
              <w:t>Advertising Spend</w:t>
            </w:r>
          </w:p>
        </w:tc>
        <w:tc>
          <w:tcPr>
            <w:tcW w:w="580" w:type="dxa"/>
            <w:vAlign w:val="bottom"/>
            <w:tcBorders>
              <w:bottom w:val="single" w:sz="8" w:color="auto"/>
            </w:tcBorders>
          </w:tcPr>
          <w:p>
            <w:pPr>
              <w:spacing w:after="0"/>
              <w:rPr>
                <w:sz w:val="16"/>
                <w:szCs w:val="16"/>
                <w:color w:val="auto"/>
              </w:rPr>
            </w:pPr>
          </w:p>
        </w:tc>
      </w:tr>
      <w:tr>
        <w:trPr>
          <w:trHeight w:val="250"/>
        </w:trPr>
        <w:tc>
          <w:tcPr>
            <w:tcW w:w="2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6"/>
          </w:tcPr>
          <w:p>
            <w:pPr>
              <w:jc w:val="center"/>
              <w:ind w:right="908"/>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right="96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Borders>
              <w:bottom w:val="single" w:sz="8" w:color="auto"/>
            </w:tcBorders>
          </w:tcPr>
          <w:p>
            <w:pPr>
              <w:spacing w:after="0"/>
              <w:rPr>
                <w:sz w:val="21"/>
                <w:szCs w:val="21"/>
                <w:color w:val="auto"/>
              </w:rPr>
            </w:pPr>
          </w:p>
        </w:tc>
      </w:tr>
      <w:tr>
        <w:trPr>
          <w:trHeight w:val="264"/>
        </w:trPr>
        <w:tc>
          <w:tcPr>
            <w:tcW w:w="2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4"/>
              </w:rPr>
              <w:t>June 30, 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4"/>
              </w:rPr>
              <w:t>June 30, 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June 30, 2017</w:t>
            </w:r>
          </w:p>
        </w:tc>
        <w:tc>
          <w:tcPr>
            <w:tcW w:w="580" w:type="dxa"/>
            <w:vAlign w:val="bottom"/>
            <w:tcBorders>
              <w:bottom w:val="single" w:sz="8" w:color="auto"/>
            </w:tcBorders>
          </w:tcPr>
          <w:p>
            <w:pPr>
              <w:spacing w:after="0"/>
              <w:rPr>
                <w:sz w:val="22"/>
                <w:szCs w:val="22"/>
                <w:color w:val="auto"/>
              </w:rPr>
            </w:pPr>
          </w:p>
        </w:tc>
      </w:tr>
      <w:tr>
        <w:trPr>
          <w:trHeight w:val="250"/>
        </w:trPr>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Desktop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23,746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117,029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118,517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19,176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120,629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85,874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r>
      <w:tr>
        <w:trPr>
          <w:trHeight w:val="257"/>
        </w:trPr>
        <w:tc>
          <w:tcPr>
            <w:tcW w:w="22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42,922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237,658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204,391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7" w:lineRule="exact"/>
        <w:rPr>
          <w:sz w:val="20"/>
          <w:szCs w:val="20"/>
          <w:color w:val="auto"/>
        </w:rPr>
      </w:pPr>
    </w:p>
    <w:p>
      <w:pPr>
        <w:jc w:val="center"/>
        <w:ind w:left="12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23495</wp:posOffset>
            </wp:positionV>
            <wp:extent cx="284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9" w:lineRule="exact"/>
        <w:rPr>
          <w:sz w:val="20"/>
          <w:szCs w:val="20"/>
          <w:color w:val="auto"/>
        </w:rPr>
      </w:pPr>
    </w:p>
    <w:p>
      <w:pPr>
        <w:jc w:val="center"/>
        <w:ind w:left="124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38100</wp:posOffset>
            </wp:positionV>
            <wp:extent cx="284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Advertising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38100</wp:posOffset>
            </wp:positionV>
            <wp:extent cx="2872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31115</wp:posOffset>
            </wp:positionV>
            <wp:extent cx="2872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7880" w:space="720"/>
            <w:col w:w="282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June 30, 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June 30, 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Borders>
              <w:bottom w:val="single" w:sz="8" w:color="auto"/>
            </w:tcBorders>
          </w:tcPr>
          <w:p>
            <w:pPr>
              <w:spacing w:after="0"/>
              <w:rPr>
                <w:sz w:val="16"/>
                <w:szCs w:val="16"/>
                <w:color w:val="auto"/>
              </w:rPr>
            </w:pPr>
          </w:p>
        </w:tc>
      </w:tr>
      <w:tr>
        <w:trPr>
          <w:trHeight w:val="250"/>
        </w:trPr>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Desktop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27,972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52,075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237,087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242,156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25,552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36,862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211,598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153,775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r>
      <w:tr>
        <w:trPr>
          <w:trHeight w:val="257"/>
        </w:trPr>
        <w:tc>
          <w:tcPr>
            <w:tcW w:w="22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53,524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88,937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448,685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395,931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Net Revenue</w:t>
      </w:r>
    </w:p>
    <w:p>
      <w:pPr>
        <w:spacing w:after="0" w:line="9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define non-GAAP net revenue as GAAP revenue less amounts we pay sellers, where the amounts paid are included within cost of revenue for the portion of our revenue reported on a gross basis. The portion of our revenue reported on a gross basis was attributable to intent marketing services, which no longer generated revenue after the first quarter of 2017. Historically, non-GAAP net revenue was a useful measure in assessing the performance of our business in periods for which our revenue included revenue reported on a gross basis, because it showed the operating results of our business on a consistent basis without the effect of differing revenue reporting (gross vs. net) that we applied under GAAP across different types of transactions, and facilitated</w:t>
      </w:r>
    </w:p>
    <w:p>
      <w:pPr>
        <w:sectPr>
          <w:pgSz w:w="11900" w:h="16838" w:orient="portrait"/>
          <w:cols w:equalWidth="0" w:num="1">
            <w:col w:w="11420"/>
          </w:cols>
          <w:pgMar w:left="240" w:top="125" w:right="239" w:bottom="1440" w:gutter="0" w:footer="0" w:header="0"/>
          <w:type w:val="continuous"/>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comparison of our results to the results of companies that report all of their revenue on a net basis. Revenue from intent marketing services in the first quarter of 2017 created the difference between our non-GAAP net revenue and our GAAP revenue for that period. We ceased offering our intent marketing solution in the first quarter of 2017, so for subsequent periods non-GAAP net revenue is the same as GAAP revenue, as there is no longer a reconciling item between GAAP and non-GAAP net revenue. Non-GAAP net revenue is presented for comparative purposes as the first quarter of 2017 still included the intent marketing solution reconciling item.</w:t>
      </w:r>
    </w:p>
    <w:p>
      <w:pPr>
        <w:spacing w:after="0" w:line="14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 potential limitation of non-GAAP net revenue is that other companies may define non-GAAP net revenue differently, which may make comparisons difficult.</w:t>
      </w:r>
    </w:p>
    <w:p>
      <w:pPr>
        <w:spacing w:after="0" w:line="13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Non-GAAP net revenue is influenced by the volume and characteristics of advertising spend and our take rate. The revenue we have reported on a gross basis was associated with our intent marketing business. Because we exited that business in the first quarter of 2017, we do not expect to report any revenue on a gross basis after the first quarter of 2017 unless and until we change our business practices, develop new products, or make an acquisition, in each case with characteristics that require gross reporting.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revenue to non-GAAP net revenue for the three and six months ended June 30,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2017</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1"/>
                <w:szCs w:val="21"/>
                <w:color w:val="auto"/>
              </w:rPr>
            </w:pPr>
          </w:p>
        </w:tc>
        <w:tc>
          <w:tcPr>
            <w:tcW w:w="264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88,937</w:t>
            </w:r>
          </w:p>
        </w:tc>
        <w:tc>
          <w:tcPr>
            <w:tcW w:w="0" w:type="dxa"/>
            <w:vAlign w:val="bottom"/>
          </w:tcPr>
          <w:p>
            <w:pPr>
              <w:spacing w:after="0"/>
              <w:rPr>
                <w:sz w:val="1"/>
                <w:szCs w:val="1"/>
                <w:color w:val="auto"/>
              </w:rPr>
            </w:pPr>
          </w:p>
        </w:tc>
      </w:tr>
      <w:tr>
        <w:trPr>
          <w:trHeight w:val="341"/>
        </w:trPr>
        <w:tc>
          <w:tcPr>
            <w:tcW w:w="5620" w:type="dxa"/>
            <w:vAlign w:val="bottom"/>
          </w:tcPr>
          <w:p>
            <w:pPr>
              <w:ind w:left="280"/>
              <w:spacing w:after="0"/>
              <w:rPr>
                <w:sz w:val="20"/>
                <w:szCs w:val="20"/>
                <w:color w:val="auto"/>
              </w:rPr>
            </w:pPr>
            <w:r>
              <w:rPr>
                <w:rFonts w:ascii="Arial" w:cs="Arial" w:eastAsia="Arial" w:hAnsi="Arial"/>
                <w:sz w:val="18"/>
                <w:szCs w:val="18"/>
                <w:color w:val="auto"/>
              </w:rPr>
              <w:t>Less amounts paid to sellers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18"/>
        </w:trPr>
        <w:tc>
          <w:tcPr>
            <w:tcW w:w="5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620" w:hanging="578"/>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amounts paid to sellers included within cost of revenue.</w:t>
      </w:r>
    </w:p>
    <w:p>
      <w:pPr>
        <w:spacing w:after="0" w:line="12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Non-GAAP net revenue decreased in the current period compared to the prior year due to a lower take rate, as noted within "Industry Trends and Trends in Our Business", which was partially offset by the increase in advertising spend.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pacing w:after="0" w:line="19" w:lineRule="exact"/>
        <w:rPr>
          <w:sz w:val="20"/>
          <w:szCs w:val="20"/>
          <w:color w:val="auto"/>
        </w:rPr>
      </w:pPr>
    </w:p>
    <w:p>
      <w:pPr>
        <w:ind w:left="660" w:right="6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6" w:lineRule="exact"/>
        <w:rPr>
          <w:rFonts w:ascii="Arial" w:cs="Arial" w:eastAsia="Arial" w:hAnsi="Arial"/>
          <w:sz w:val="18"/>
          <w:szCs w:val="18"/>
          <w:color w:val="auto"/>
        </w:rPr>
      </w:pPr>
    </w:p>
    <w:p>
      <w:pPr>
        <w:ind w:left="660" w:right="320" w:hanging="328"/>
        <w:spacing w:after="0" w:line="31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106" w:lineRule="exact"/>
        <w:rPr>
          <w:rFonts w:ascii="Arial" w:cs="Arial" w:eastAsia="Arial" w:hAnsi="Arial"/>
          <w:sz w:val="16"/>
          <w:szCs w:val="16"/>
          <w:color w:val="auto"/>
        </w:rPr>
      </w:pPr>
    </w:p>
    <w:p>
      <w:pPr>
        <w:ind w:left="640" w:right="460" w:hanging="321"/>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41" w:lineRule="exact"/>
        <w:rPr>
          <w:sz w:val="20"/>
          <w:szCs w:val="20"/>
          <w:color w:val="auto"/>
        </w:rPr>
      </w:pPr>
    </w:p>
    <w:p>
      <w:pPr>
        <w:ind w:left="60" w:right="200"/>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6" w:lineRule="exact"/>
        <w:rPr>
          <w:sz w:val="20"/>
          <w:szCs w:val="20"/>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Stock-based compensation is a non-cash charge and is and will remain an element of our long-term incentive compensation package, although we exclude it as an expense in Adjusted EBITDA when evaluating our ongoing operating performance for a particular period.</w:t>
      </w:r>
    </w:p>
    <w:p>
      <w:pPr>
        <w:spacing w:after="0" w:line="11"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2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the write-down of goodwill, intangible assets and/or long-lived assets, although we exclude these charges as expenses in Adjusted EBITDA when evaluating our ongoing operating performance for a particular period.</w:t>
      </w:r>
    </w:p>
    <w:p>
      <w:pPr>
        <w:spacing w:after="0" w:line="11" w:lineRule="exact"/>
        <w:rPr>
          <w:rFonts w:ascii="Arial" w:cs="Arial" w:eastAsia="Arial" w:hAnsi="Arial"/>
          <w:sz w:val="17"/>
          <w:szCs w:val="17"/>
          <w:color w:val="auto"/>
        </w:rPr>
      </w:pPr>
    </w:p>
    <w:p>
      <w:pPr>
        <w:ind w:left="660" w:right="18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35"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or contractual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9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Adjusted EBITDA is influenced by fluctuation in our revenue and the timing and amounts of our investments in our operations.</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a reconciliation of net loss, the most comparable GAAP measure, to Adjusted EBITDA for the three and six months ended June 30, 2018 and 2017.</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June 30, 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1"/>
                <w:szCs w:val="21"/>
                <w:color w:val="auto"/>
              </w:rPr>
            </w:pPr>
          </w:p>
        </w:tc>
        <w:tc>
          <w:tcPr>
            <w:tcW w:w="264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Add back (deduct):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 excluding amortization of</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 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16,612</w:t>
            </w:r>
          </w:p>
        </w:tc>
      </w:tr>
      <w:tr>
        <w:trPr>
          <w:trHeight w:val="243"/>
        </w:trPr>
        <w:tc>
          <w:tcPr>
            <w:tcW w:w="5620" w:type="dxa"/>
            <w:vAlign w:val="bottom"/>
          </w:tcPr>
          <w:p>
            <w:pPr>
              <w:ind w:left="400"/>
              <w:spacing w:after="0"/>
              <w:rPr>
                <w:sz w:val="20"/>
                <w:szCs w:val="20"/>
                <w:color w:val="auto"/>
              </w:rPr>
            </w:pPr>
            <w:r>
              <w:rPr>
                <w:rFonts w:ascii="Arial" w:cs="Arial" w:eastAsia="Arial" w:hAnsi="Arial"/>
                <w:sz w:val="18"/>
                <w:szCs w:val="18"/>
                <w:color w:val="auto"/>
              </w:rPr>
              <w:t>Amortization of acquired intangibles</w:t>
            </w: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2,364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(gain) loss,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521</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decline in adjusted EBITDA for the three and six months ended June 30, 2018 and our expectations for future adjusted EBITDA have been driven by the same factors that drove the changes in our GAAP metrics noted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w:t>
      </w:r>
    </w:p>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Take rate is an operational performance measure calculated by dividing revenue (or for periods in which we have revenue reported on a gross basis, non-GAAP net revenue) by advertising spend. We review take rate for internal management purposes to assess the development of our marketplace with buyers and sellers.</w:t>
      </w:r>
    </w:p>
    <w:p>
      <w:pPr>
        <w:spacing w:after="0" w:line="60" w:lineRule="exact"/>
        <w:rPr>
          <w:sz w:val="20"/>
          <w:szCs w:val="20"/>
          <w:color w:val="auto"/>
        </w:rPr>
      </w:pPr>
    </w:p>
    <w:p>
      <w:pPr>
        <w:ind w:right="200" w:firstLine="648"/>
        <w:spacing w:after="0" w:line="270" w:lineRule="auto"/>
        <w:rPr>
          <w:sz w:val="20"/>
          <w:szCs w:val="20"/>
          <w:color w:val="auto"/>
        </w:rPr>
      </w:pPr>
      <w:r>
        <w:rPr>
          <w:rFonts w:ascii="Arial" w:cs="Arial" w:eastAsia="Arial" w:hAnsi="Arial"/>
          <w:sz w:val="18"/>
          <w:szCs w:val="18"/>
          <w:color w:val="auto"/>
        </w:rPr>
        <w:t>Our take rate (and our fees, which drive take rate) can be affected by a variety of factors, including the terms of our arrangements with buyers and sellers active on our platform in a particular period, the scale of a buyer</w:t>
      </w:r>
      <w:r>
        <w:rPr>
          <w:rFonts w:ascii="Arial" w:cs="Arial" w:eastAsia="Arial" w:hAnsi="Arial"/>
          <w:sz w:val="19"/>
          <w:szCs w:val="19"/>
          <w:color w:val="auto"/>
        </w:rPr>
        <w:t>’</w:t>
      </w:r>
      <w:r>
        <w:rPr>
          <w:rFonts w:ascii="Arial" w:cs="Arial" w:eastAsia="Arial" w:hAnsi="Arial"/>
          <w:sz w:val="18"/>
          <w:szCs w:val="18"/>
          <w:color w:val="auto"/>
        </w:rPr>
        <w:t>s or seller’s activity on our platform, mix of inventory types, the implementation of new products, platforms and solution features, auction dynamics, competitive factors, our strategic pricing decisions, and the overall development of the digital advertising ecosystem.</w:t>
      </w:r>
    </w:p>
    <w:p>
      <w:pPr>
        <w:spacing w:after="0" w:line="4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significant declines in our take rates for the three and six month periods ended June 30, 2018 compared to the same periods in 2017 resulted primarily from the reduction and elimination of buyer fees as discussed above in "Industry Trends and Trends in Our Business—</w:t>
      </w:r>
      <w:r>
        <w:rPr>
          <w:rFonts w:ascii="Arial" w:cs="Arial" w:eastAsia="Arial" w:hAnsi="Arial"/>
          <w:sz w:val="18"/>
          <w:szCs w:val="18"/>
          <w:i w:val="1"/>
          <w:iCs w:val="1"/>
          <w:color w:val="auto"/>
        </w:rPr>
        <w:t>Take Rate Decline"</w:t>
      </w:r>
      <w:r>
        <w:rPr>
          <w:rFonts w:ascii="Arial" w:cs="Arial" w:eastAsia="Arial" w:hAnsi="Arial"/>
          <w:sz w:val="18"/>
          <w:szCs w:val="18"/>
          <w:color w:val="auto"/>
        </w:rPr>
        <w:t>. Subsequent to the elimination of buyer fees, take rates have stabilized and increased slightly. Our take rate was 11.8% in the first quarter of 2018, and 12.1% in the second quarter of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Our principal sources of liquidity are our cash and cash equivalents, marketable securities, cash generated from operations, and our $40.0 million credit facility with Silicon Valley Bank ("SVB"). At June 30, 2018, we had cash and cash equivalents of $72.2 million, of which $14.7 million was held in foreign currency cash accounts, and marketable securities of $32.1 million. Our cash and marketable securities balances are affected by our results of operations, the timing of capital expenditures which are typically greater in the second half of the year, and by changes in our working capital, particularly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changes in accounts receivable and accounts payable. The timing of cash receipts from buyers and payments to sellers can significantly impact our cash flows from operating activities for any period presented. Our collection and payment cycle can vary from period to period depending upon various circumstances, including seasonality.</w:t>
      </w:r>
    </w:p>
    <w:p>
      <w:pPr>
        <w:spacing w:after="0" w:line="46" w:lineRule="exact"/>
        <w:rPr>
          <w:sz w:val="20"/>
          <w:szCs w:val="20"/>
          <w:color w:val="auto"/>
        </w:rPr>
      </w:pPr>
    </w:p>
    <w:p>
      <w:pPr>
        <w:ind w:right="340" w:firstLine="648"/>
        <w:spacing w:after="0" w:line="334" w:lineRule="auto"/>
        <w:rPr>
          <w:sz w:val="20"/>
          <w:szCs w:val="20"/>
          <w:color w:val="auto"/>
        </w:rPr>
      </w:pPr>
      <w:r>
        <w:rPr>
          <w:rFonts w:ascii="Arial" w:cs="Arial" w:eastAsia="Arial" w:hAnsi="Arial"/>
          <w:sz w:val="16"/>
          <w:szCs w:val="16"/>
          <w:color w:val="auto"/>
        </w:rPr>
        <w:t>At June 30, 2018, we had no amounts outstanding under our credit facility with SVB. Future availability under the credit facility is dependent on several factors including the available borrowing base and compliance with future covenant requirements. Our facility matures in September 2018.</w:t>
      </w:r>
    </w:p>
    <w:p>
      <w:pPr>
        <w:spacing w:after="0" w:line="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our option, loans under the credit facility may bear interest based on either the LIBOR rate or the prime rate plus, in each case, an applicable margin. The applicable margins under the credit facility are (i) 2.00% or 3.50% per annum in the case of LIBOR rate loans, and (ii) 0.00% or 1.50% per annum in the case of prime rate loans (based on SVB's net exposure to us after giving effect to unrestricted cash held at SVB and its affiliates plus up to $3.0 million held at other institutions). In addition, an unused revolver fee in the amount of 0.15% per annum of the average unused portion of the credit facility is payable by us to SVB monthly in arrears.</w:t>
      </w:r>
    </w:p>
    <w:p>
      <w:pPr>
        <w:spacing w:after="0" w:line="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credit facility restricts our ability to, among other things, sell assets, make changes to the nature of our business, engage in mergers or acquisitions, incur, assume or permit to exist additional indebtedness and guarantees, create or permit to exist liens, pay dividends, make distributions on or redeem or repurchase capital stock, make certain other investments, engage in transactions with affiliates, and make payments in respect of subordinated debt, in each case unless approved by SVB.</w:t>
      </w:r>
    </w:p>
    <w:p>
      <w:pPr>
        <w:spacing w:after="0" w:line="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in the event that the amount available to be drawn is less than 20% of the maximum amount of the credit facility, or if an event of default exists, we are required to satisfy a minimum fixed charge coverage ratio test of 1.10 to 1.00. As of June 30, 2018, our fixed charge coverage ratio was incalculable as there were no fixed charges as defined in the credit agreement.</w:t>
      </w:r>
    </w:p>
    <w:p>
      <w:pPr>
        <w:spacing w:after="0" w:line="4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credit facility also includes customary representations and warranties, affirmative covenants, and events of default, including events of default upon a change of control and material adverse change (as defined in the credit facility). Following an event of default, SVB would be entitled to, among other things, accelerate payment of amounts due under the credit facility and exercise all rights of a secured creditor. We were in compliance with the covenants under the credit facility at June 30, 2018.</w:t>
      </w:r>
    </w:p>
    <w:p>
      <w:pPr>
        <w:spacing w:after="0" w:line="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our existing cash and cash equivalents and investment balances will be sufficient to meet our working capital requirements for at least the next twelve months from the issuance of our financial statements. However, we have been negatively impacted by rapid changes in the ad tech industry, including demand by ad tech buyers for more efficiency and lower costs, changes in bidding technologies, and increased competition. In response to these challenges, we made significant reductions in fees charged to buyers during 2017 and in November 2017 eliminated buyer fees altogether. As a result, our take rate decreased from 21.0% in the second quarter of 2017 to 12.1% for the second quarter of 2018. In an effort to bring our costs into better alignment with reduced revenue, we have undertaken restructuring activities to reduce headcount and related operating costs, and have also reduced our capital expenditures, which may make execution against our strategic business plans more difficult. Unless and until the we are able to compensate for the buyer fee reductions and reduced gross margins by continuing to increase advertising spending on our platform, increase seller fees, or sufficiently reducing costs, we may not be able to grow our business and may continue to operate at a loss, depleting our cash resources and liquidity. Our future capital requirements and the adequacy of available funds will depend on many factors, including those set forth in Part II, Item 1A: "Risk Factors" of our Annual Report on Form 10-K for the year ended December 31, 2017 and in Part II, Item 1A of our subsequent Quarterly Reports on Form 10-Q.</w:t>
      </w:r>
    </w:p>
    <w:p>
      <w:pPr>
        <w:spacing w:after="0" w:line="1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ability to renew our existing credit facility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There can be no guarantee that additional financing will be available on commercially reasonable terms, if at all. In addition, even if credit is available, lenders may seek more restrictive covenants and higher interest rates that may reduce our borrowing capacity, increase our costs, and reduce our operating flexibility.</w:t>
      </w:r>
    </w:p>
    <w:p>
      <w:pPr>
        <w:spacing w:after="0" w:line="23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0"/>
              </w:rPr>
              <w:t>June 30, 2017</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provided by investing activities</w:t>
            </w: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17,212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4,095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15,820</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 We typically collect from buyers in advance of payments to sellers. Our collection and payment cycle can vary from period to period depending upon various circumstances, including seasonality. Increases in revenue earned directly from advertisers and agencies may cause the amount of receipts from buyers collected in advance of payments to sellers to decrease, because advertisers and agencies may pay slowly. Recently, some buyers have begun demanding longer terms to pay us later and some sellers have begun demanding shorter terms to collect from us earlier. We may not have the leverage to resist these demands given the competitive nature of our business. If this continues, more of our cash will be required to fund our payment cycle and therefore not available for other uses.</w:t>
      </w:r>
    </w:p>
    <w:p>
      <w:pPr>
        <w:spacing w:after="0" w:line="3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the six months ended June 30, 2018, net cash used in operating activities was $21.1 million compared to net cash provided by operating activities of $12.8 million for the six months ended June 30, 2017. Our operating activities included our net losses of $45.8 million and $27.4 million for the six months ended June 30, 2018 and 2017, respectively, which were offset by non-cash adjustments of $26.0 million and $32.7 million, respectively. In the first half of 2018, net changes in our working capital increased cash used in operating activities by $1.3 million. Net cash provided by operating activities for the first half of 2017 was also increased by net changes in our working capital of $7.5 million. The net changes in working capital for both periods are primarily due to the timing of cash receipts from buyers and the timing of payments to sellers.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cash flows from operations will continue to be negatively impacted by our ongoing net losses.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development cycles of our internal use software development. As we execute on our strategy to be a high volume, low cost advertising exchange, we are developing solutions to manage the growth of our digital advertising inventory volume more efficiently. As a result of these efforts, we anticipate investment in property and equipment related to that inventory volume to decline compared to 2017. We anticipate investment in internal use software development to remain relatively consistent with past years' investment levels as we continue to innovate new solutions on our platform. Investments in, and maturities of, available-for-sale securities and acquisitions of businesses vary from period-to-period.</w:t>
      </w:r>
    </w:p>
    <w:p>
      <w:pPr>
        <w:spacing w:after="0" w:line="6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During the six months ended June 30, 2018 and 2017, our investing activities provided net cash of $17.2 million and $4.1 million, respectively. For the six months ended June 30, 2018 and 2017, we had net maturities of investments in available-for-sale securities of $17.2 million and $13.3 million, respectively. The six months ended June 30, 2018 also included cash inflows of $6.1 million from sales of our available-for-sale securities. These cash inflows were offset by purchases of property and equipment of $1.2 million and $4.8 million during the six months ended June 30, 2018 and 2017, respectively, and investments in our internally developed software of $4.8 million and $4.3 million,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six months ended June 30, 2018 and 2017, we used net cash of $0.5 million and $1.2 million, respectively, for financing activities. Cash outflows from financing activities for the six months ended June 30, 2018 and 2017 included payments of $0.7 million and $2.0 million, respectively, for income tax deposits paid in respect of vesting of stock-based compensation awards that were reimbursed by the award recipients through surrender of shares. Offsetting these outflows were cash inflows of $0.1 million and $0.4 million from the issuance of common stock under the employee stock purchase plan for the six months ended June 30, 2018 and 2017,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June 30, 2018 other than the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principal commitments consist of leases for our various office facilities, including our corporate headquarters in Los Angeles, California, and non-cancelable operating lease agreements with data centers that expire at various times through 2024. At June 30, 2018, expected future commitments relating to operating leases were $15.3 million. In certain cases, the terms of the lease agreements provide for rental payments on a graduated basis. We received rental income from subleases totaling $0.4 million for the six months ended June 30, 2018.</w:t>
      </w:r>
    </w:p>
    <w:p>
      <w:pPr>
        <w:spacing w:after="0" w:line="3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six months ended June 30, 2018 and we do not expect to have any significant changes to unrecognized tax benefits through December 31, 2018.</w:t>
      </w:r>
    </w:p>
    <w:p>
      <w:pPr>
        <w:spacing w:after="0" w:line="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goodwill and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Therefore, we consider these to be our critical accounting policies and estimates. There have been no significant changes in our accounting policies from those disclosed in our audited consolidated financial statements and notes thereto for the year ended December 31, 2017 included in our Annual Report on Form 10-K.</w:t>
      </w:r>
    </w:p>
    <w:p>
      <w:pPr>
        <w:spacing w:after="0" w:line="43" w:lineRule="exact"/>
        <w:rPr>
          <w:sz w:val="20"/>
          <w:szCs w:val="20"/>
          <w:color w:val="auto"/>
        </w:rPr>
      </w:pPr>
    </w:p>
    <w:p>
      <w:pPr>
        <w:ind w:left="660" w:right="420"/>
        <w:spacing w:after="0" w:line="399"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generate revenue from transactions where we provide a platform for the purchase and sale of digital advertising inventory. Our advertising automation solution is a marketplace that includes sellers of inventory (providers of websites, mobile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applications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12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or “take rate”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customer, which occurs at the point in time an ad renders and is counted as a paid impression, subject to a contract existing with the customer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 In periods prior to the second quarter of 2017, we reported revenue on a gross basis for revenue associated with our intent marketing solution, as we determined that we acted as the principal in the purchase and sale of digital advertising inventory. We ceased offering our intent marketing solution after the first quarter of 2017, after which time, all of our revenues have been recorded on a net basis.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risks in the ordinary course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primarily interest rate, foreign exchange, and inflation risks.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cash and cash equivalents consist of cash, money market funds, commercial paper and treasury and debt securities with original maturities of three months or less. Our investments consist of U.S. government and agency bonds and corporate debt securities.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June 30, 2018.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foreign currency risks related to our revenue and expenses denominated in currencies other than the U.S. Dollar, principally British Pounds and Euros.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June 30, 2018, including intercompany balances, would result in a foreign currency loss of approximately $2.3 million. In the event our non-U.S. Dollar-denominated sales and expenses increase, our operating results may be more greatly affected by fluctuations in the exchange rates of the currencies in which we do business. At this time we do not enter into derivatives or other financial instruments in an attempt to hedge our foreign currency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exchange risk, but we may do so in the future. It is difficult to predict the impact hedging activities would have on our results of operations.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125" w:right="4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2018, our disclosure controls and procedures were effective at the reasonable assurance level.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June 30, 2018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2018. However, based on our knowledge as of June 30, 2018,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March 31, 2017, Guardian News &amp; Media Limited (Guardian) issued proceedings (the Complaint) against us in the Chancery Division of the High Court of Justice in England &amp; Wales. The Complaint alleges that we underpaid Guardian for inventory sold by Guardian through our platform as a result of the fact that we charged fees to buyers of that inventory. Guardian claims we were precluded from charging buyer fees as a result of our contractual arrangements with Guardian and English agency law principles, as well as representations we allegedly made to Guardian. The Complaint claims damages including loss of revenue, interest, and costs. We dispute Guardian’s claims and are defending them vigorously, but the Complaint involves disputed facts and complex legal questions, and its outcome is therefore uncertain. Even if Guardian were to prevail in this action, we do not believe our payment of the damages we think could be recoverable by Guardian would have a material adverse effect upon our condensed consolidated financial position, results of operations, or cash flows. However, pending or in response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the outcome of this action, if we face similar claims from other clients or as a preventative measure, we might decide to make changes to our business practices that could have such material adverse effects.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in Part I, Item 1A of our Annual Report on Form 10-K for the year ended December 31, 2017 and in Part II, Item 1A of our subsequent Quarterly Reports on Form 10-Q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Except as described below, there are no material changes to the Risk Factors of which we are currently aware. However,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4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California Consumer Privacy Act of 2018 could create additional costs, subject us to enforcement actions, or cause us to change our technology solution or business model, any of which may have an adverse effect on the demand for our solution.</w:t>
      </w:r>
    </w:p>
    <w:p>
      <w:pPr>
        <w:spacing w:after="0" w:line="3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On June 28, 2018, California passed a privacy law in the California Consumer Privacy Act of 2018 (“CCPA”), which grants California residents certain rights with respect to their personal information. The CCPA is the most comprehensive data privacy regulation to date in the United States, and could be the precursor to other similar legislation in other states or at the federal level. The CCPA expands the definition of personal information, which captures the types of data that we collect, such as device identifiers and IP addresses. Under the CCPA, businesses are required to grant expansive access, deletion and portability rights to consumers in the United States, similar to those provided under the European General Data Protection Regulation. The law may also impose burdensome storage and compliance obligations on publishers and ad tech companies. Interpretation of the requirements remains unclear due to the recent passage of the regulation. The law is expected to take effect in 2020. The CCPA may precipitate additional privacy regulation by federal, state and local governments, which may increase our compliance costs and strain our technical capabilities, and which may conflict with each other. If we are unable to comply with the CCPA or other related legislation in the future, we may be subject to regulatory or private investigations, and if we are unable to use information for targeted advertising as we have in the past, our business could be materially affected.</w:t>
      </w:r>
    </w:p>
    <w:p>
      <w:pPr>
        <w:spacing w:after="0" w:line="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Legal and compliance uncertainties resulting from effectiveness of the European General Data Protection Regulation on May 25, 2018 may result in substantial risk to our ad spend and revenue.</w:t>
      </w:r>
    </w:p>
    <w:p>
      <w:pPr>
        <w:spacing w:after="0" w:line="3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General Data Protection Regulation, or GDPR, which became effective on May 25, 2018, adds significant new regulatory requirements that are applicable to us as well as our clients and competitors. As is frequently the case with transformative new laws, some critical elements of the GDPR are still unclear, and consistent regulatory guidance has yet to be developed, or for established industry compliance practices to emerge. Compliance stakes are high because penalties for violation of the law can reach up to the greater of 20 million Euros or 4% of total worldwide annual turnover (revenue). Further, compliance is complicated by the potential for differing interpretation and enforcement of the GDPR by regulators in each of the EEA’s (European Economic Area) member states. The reach of the GDPR extends well beyond ad tech, but some observers believe that ad tech may become a special focus of enforcement due to the concerns many European privacy regulators have expressed about digital behavioral advertising. If we are subjected to regulatory investigations or private claims, we could face significant fines and losses, and our financial position could be materially affected.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Behavioral advertising requires end-user information.</w:t>
      </w:r>
    </w:p>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more informed advertising is about its audience, the more valuable it is. Skywriting and highway billboards are examples of generalized advertising, casting a broad net across an undifferentiated audience in hopes of capturing a few of the viewers the advertiser hopes to reach. “Contextual” advertising attempts to reach audiences based upon inferences about their interests drawn by, for example, what websites they visit or apps they use. Programmatic advertising, facilitated by the ad tech ecosystem, enables more precise audience targeting, known as “behavioral” advertising. Publishers package information about their end users (e.g., geolocation data, browsing history) when requesting ads for the sites and apps visited by those end users, and buyers of that inventory use the end-user data provided by the publishers, together with any additional information they may have about the end users, to target their advertisements with greater precision than is possible without reliance upon end users’ attributes. This behavioral advertising is more effective and valuable for buyers than general or contextual advertising, resulting in more revenue for publishers. A key feature of the GDPR is that it treats much of the end-user information that is critical to programmatic digital advertising as “personal data” and therefore subject to significant conditions and restrictions on its collection and use. Without this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end-user information, the value of programmatic advertising inventory diminishes, resulting in lower demand and prices, and potentially less ad spend and revenue for us and other industry participants.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GDPR imposes new requirements for end user consent and legal basis for data processing that are not yet well understood.</w:t>
      </w:r>
    </w:p>
    <w:p>
      <w:pPr>
        <w:spacing w:after="0" w:line="90"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End-user consent to data collection through device access has been required for some time under the European Union Privacy and Electronic Communications Directive (Directive 2002/58/EC), commonly referred to as the “ePrivacy Directive,” but the GDPR has added complexity and risk. End-user consent is difficult for ad tech intermediaries like us to obtain because we do not have direct relationships with such end users, so we have historically relied upon publishers to obtain consent for our technology under the ePrivacy Directive, and we must continue to rely upon publishers to obtain consent under the GDPR. However, while simple click-through cookie banners on EU-based digital media properties have been the norm for ePrivacy Directive compliance, it may become more challenging to obtain valid consent from European end users because the GDPR may be interpreted to impose additional requirements applicable to end-user consents generally. Unfortunately, it is not yet clear what may be needed to satisfy the requirements regarding consent. Without clarity on this point, different participants in the ad tech ecosystem may take different approaches to end-user consent, disrupting the coordination among buyers, sellers, and intermediaries required to process transactions efficiently.</w:t>
      </w:r>
    </w:p>
    <w:p>
      <w:pPr>
        <w:spacing w:after="0" w:line="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GDPR sets forth six alternative legal bases for processing personal data, but only two are relevant to ad tech: consent by the data subject and “legitimate interests,” which means that “processing is necessary for the purposes of the legitimate interests pursued by the controller or by a third party, except where such interests are overridden by the interests or fundamental rights and freedoms of the data subject.” We generally rely upon legitimate interests because we lack the direct relationships to users that would be required to satisfy the requirements the GDPR imposes to satisfy the consent requirements for processing of personal data. Some EU regulators or courts may conclude that the processing of personal data for the purposes of behavioral advertising does not satisfy the legitimate interests of the controller, or that such interests do not outweigh the privacy rights of end users, even with respect to ad tech parties that only collect device-identifiable information. Unavailability of this basis for processing end users’ personal data would require us to obtain end-user consent for processing under the GDPR, which may not be possible for us, or other ad tech intermediaries, without changes to the ad tech business that would be difficult, time-consuming, expensive, and perhaps unattainable.</w:t>
      </w:r>
    </w:p>
    <w:p>
      <w:pPr>
        <w:spacing w:after="0" w:line="4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Google currently relies on end-user consent as its basis for processing personal data, and has required its publishers and ad tech partners to obtain such end-user consent on behalf of Google. We are reliant upon third parties to obtain consent for Google in accordance with their policies. Consent is relatively easier for Google to obtain because of its direct relationships with end users and importance to publishers, but its practices may not translate well across the industry. If publishers are unable to obtain this consent our revenue and advertising spend could decline.</w:t>
      </w:r>
    </w:p>
    <w:p>
      <w:pPr>
        <w:spacing w:after="0" w:line="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may mean substantial disruption and inefficiency, demand constraints, and reduced inventory supply and value.</w:t>
      </w:r>
    </w:p>
    <w:p>
      <w:pPr>
        <w:spacing w:after="0" w:line="3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this context, various things can disrupt standard transaction patterns, resulting in reduced inventory availability or ad spend and consequently less revenue for us and other ad tech providers.</w:t>
      </w:r>
    </w:p>
    <w:p>
      <w:pPr>
        <w:spacing w:after="0" w:line="3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Some publishers may be unprepared to comply with evolving regulatory guidance under the GDPR, and therefore may remove personal data from their inventory before passing it into the bid stream, at least temporarily. This will lower their inventory on the value scale from behavioral to contextual advertising, resulting in loss of ad spend and revenue for us.</w:t>
      </w:r>
    </w:p>
    <w:p>
      <w:pPr>
        <w:spacing w:after="0" w:line="4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GDPR gives end users expanded legal rights, and the onset of the GDPR has been accompanied by substantial publicity and may continue to spawn various end-user advocacy groups and businesses focused upon helping users understand and exercise those rights. Furthermore, whereas in the past, end-user consent under the EU ePrivacy Directive was generally obtainable through a simple click-through banner, acceptable methods of obtaining end-user consent under the GDPR may be substantially less user-friendly, and if the consent mechanism is too cumbersome, end users are more likely to decline. These factors may result in lower levels of users' consent for accessing of their devices and processing of their personal data. Without that consent, our publishers may not attempt to monetize inventory associated with such end users at all, or pass that inventory to us without personal data, again lowering that inventory on the value scale from behavioral to contextual advertising.</w:t>
      </w:r>
    </w:p>
    <w:p>
      <w:pPr>
        <w:spacing w:after="0" w:line="4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well-prepared publishers and buyers will be confronted with difficult choices and administrative and technical hurdles to implement their GDPR compliance programs and integrate with multiple other parties in the ecosystem. IAB Europe has provided a user transparency and consent tool that can be adapted by “consent management providers” (CMPs) and implemented by publishers. There is limited guidance regarding proper implementation of the tool and some publishers and ad tech providers may not be using the tool or interpreting consent signals correctly. The IAB Europe tool continues to evolve, so some inefficiency can be expected. It is not clear whether Google will participate in the IAB Europe tool or if they will rely on a proprietary consent tool. If Google chooses not to participate in the IAB Europe tool, broad adoption of the IAB Europe tool by publishers may be limited. To the extent another tool emerges and publishers need to utilize multiple consent tools, this may be cumbersome and deleterious to end-user experience and consent levels. It is also not yet clear whether any consent tool will survive scrutiny and be accepted by regulators as appropriate consent mechanisms. Further, compliance program design and implementation will be an ongoing process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w:t>
      </w:r>
    </w:p>
    <w:p>
      <w:pPr>
        <w:spacing w:after="0" w:line="4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Buyers of digital advertising inventory need to access end users’ devices to serve advertisements and collect information, such as end-user interaction with ad content and frequency tracking. Buyers need end-user consent for this access. Large integrated purchasers of ad inventory like Google can obtain consent for the device access they need directly from their end users. Other buyers must rely upon the publishers supplying inventory to secure that consent. Some buyers may continue to rely upon publishers to obtain this consent without independent verification, consistent with historical practice under the ePrivacy Directive, but other buyers may not be willing to accept or bid on inventory that is not accompanied by consent signals documenting specific user consent. Because these signals must be deciphered by multiple parties in the ad tech ecosystem, most publishers will rely upon either an industry supported consent tool (e.g., the IAB Europe tool) or a tool created by a large company with direct relationship with end users (e.g., Google). As noted above, consent tool adoption remains in the early stages and it is unclear whether the market will settle on one standard. Some buyers may decline to bid on impressions from the EEA due to ambiguity about their rights, or may only bid on impressions that are stripped of personal data and converted to contextual advertising. This will have the effect of reducing demand for and value of EEA impressions on our platform.</w:t>
      </w:r>
    </w:p>
    <w:p>
      <w:pPr>
        <w:spacing w:after="0" w:line="3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uncertain regulatory environment caused by the GDPR may benefit large, integrated competitors like Google and Facebook, which have greater compliance resources and can take advantage of their direct relationships with end users to secure consents from end users that we and other intermediaries without direct user relationships are less able to obtain under current industry conditions.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Near-term declines in EU-based ad spend and revenue remain possible, and long-term adverse effects are possible.</w:t>
      </w:r>
    </w:p>
    <w:p>
      <w:pPr>
        <w:spacing w:after="0" w:line="9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It is possible that the value of digital advertising in the EU, and consequently our ad spend and revenue, may be permanently impaired if EU courts and regulators interpret or enforce the GDPR in ways that have the effect of limiting behavioral advertising or that prohibit critical ad tech industry practices.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660" w:right="7680" w:hanging="4"/>
        <w:spacing w:after="0" w:line="371" w:lineRule="auto"/>
        <w:tabs>
          <w:tab w:leader="none" w:pos="91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None.</w:t>
      </w:r>
    </w:p>
    <w:p>
      <w:pPr>
        <w:spacing w:after="0" w:line="48" w:lineRule="exact"/>
        <w:rPr>
          <w:rFonts w:ascii="Arial" w:cs="Arial" w:eastAsia="Arial" w:hAnsi="Arial"/>
          <w:sz w:val="18"/>
          <w:szCs w:val="18"/>
          <w:i w:val="1"/>
          <w:iCs w:val="1"/>
          <w:color w:val="auto"/>
        </w:rPr>
      </w:pPr>
    </w:p>
    <w:p>
      <w:pPr>
        <w:ind w:left="920" w:hanging="264"/>
        <w:spacing w:after="0"/>
        <w:tabs>
          <w:tab w:leader="none" w:pos="9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initial public offering of common stock was effected through a Registration Statement on Form S-1 (File No. 333-193739), which was declared effective on April 1, 2014. There has been no material change in the planned use of proceeds from our initial public offering as described in our final prospectus filed with the SEC pursuant to Rule 424(b) of the Securities Act and other periodic reports previously filed with the SEC.</w:t>
      </w:r>
    </w:p>
    <w:p>
      <w:pPr>
        <w:spacing w:after="0" w:line="125" w:lineRule="exact"/>
        <w:rPr>
          <w:sz w:val="20"/>
          <w:szCs w:val="20"/>
          <w:color w:val="auto"/>
        </w:rPr>
      </w:pPr>
    </w:p>
    <w:p>
      <w:pPr>
        <w:ind w:left="660" w:right="5220" w:hanging="4"/>
        <w:spacing w:after="0" w:line="387" w:lineRule="auto"/>
        <w:tabs>
          <w:tab w:leader="none" w:pos="90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repurchases during the quarter ended June 30, 2018 were as follows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80" w:type="dxa"/>
            <w:vAlign w:val="bottom"/>
          </w:tcPr>
          <w:p>
            <w:pPr>
              <w:spacing w:after="0"/>
              <w:rPr>
                <w:sz w:val="14"/>
                <w:szCs w:val="14"/>
                <w:color w:val="auto"/>
              </w:rPr>
            </w:pP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Dollar Value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Publicly Announced 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 2018</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May 1 – May 31, 2018</w:t>
            </w:r>
          </w:p>
        </w:tc>
        <w:tc>
          <w:tcPr>
            <w:tcW w:w="1940" w:type="dxa"/>
            <w:vAlign w:val="bottom"/>
          </w:tcPr>
          <w:p>
            <w:pPr>
              <w:jc w:val="right"/>
              <w:ind w:right="37"/>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 2018</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5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95"/>
              </w:rPr>
              <w:t>Item 6. Exhibits</w:t>
            </w:r>
          </w:p>
        </w:tc>
        <w:tc>
          <w:tcPr>
            <w:tcW w:w="1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2420" w:type="dxa"/>
            <w:vAlign w:val="bottom"/>
            <w:gridSpan w:val="3"/>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58"/>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8"/>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Sixth Amended and Restated Certificate of Incorporation of the Registrant (incorporated by reference to Exhibit 3.1 to the</w:t>
              </w:r>
            </w:hyperlink>
          </w:p>
        </w:tc>
        <w:tc>
          <w:tcPr>
            <w:tcW w:w="1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Registrant's Quarterly Report on Form 10-Q filed with the Commission on May 15, 2014).</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0000FF"/>
            </w:tcBorders>
            <w:gridSpan w:val="5"/>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Bylaws of the Registrant (incorporated by reference to Exhibit 3.1 to the Registrant's Current</w:t>
              </w:r>
            </w:hyperlink>
          </w:p>
        </w:tc>
        <w:tc>
          <w:tcPr>
            <w:tcW w:w="54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Report on Form 8-K filed with the Commission on April 8, 2016).</w:t>
              </w:r>
            </w:hyperlink>
          </w:p>
        </w:tc>
        <w:tc>
          <w:tcPr>
            <w:tcW w:w="4180" w:type="dxa"/>
            <w:vAlign w:val="bottom"/>
            <w:gridSpan w:val="8"/>
          </w:tcPr>
          <w:p>
            <w:pPr>
              <w:spacing w:after="0"/>
              <w:rPr>
                <w:sz w:val="17"/>
                <w:szCs w:val="17"/>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gridSpan w:val="10"/>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Principal Executive Officer Pursuant to Exchange Act Rules 13a-14(a) and 15d-14(a), as adopted pursuant</w:t>
              </w:r>
            </w:hyperlink>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to Section 302 of the Sarbanes-Oxley Act of 2002.</w:t>
              </w:r>
            </w:hyperlink>
          </w:p>
        </w:tc>
        <w:tc>
          <w:tcPr>
            <w:tcW w:w="1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Certification of Principal Financial Officer Pursuant to Exchange Act Rules 13a-14(a) and 15d-14(a), as adopted pursuant</w:t>
              </w:r>
            </w:hyperlink>
          </w:p>
        </w:tc>
        <w:tc>
          <w:tcPr>
            <w:tcW w:w="18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1280" w:type="dxa"/>
            <w:vAlign w:val="bottom"/>
          </w:tcPr>
          <w:p>
            <w:pPr>
              <w:ind w:left="40"/>
              <w:spacing w:after="0" w:line="250" w:lineRule="exact"/>
              <w:rPr>
                <w:sz w:val="20"/>
                <w:szCs w:val="20"/>
                <w:color w:val="auto"/>
              </w:rPr>
            </w:pPr>
            <w:r>
              <w:rPr>
                <w:rFonts w:ascii="Arial" w:cs="Arial" w:eastAsia="Arial" w:hAnsi="Arial"/>
                <w:sz w:val="18"/>
                <w:szCs w:val="18"/>
                <w:color w:val="auto"/>
              </w:rPr>
              <w:t>32*</w:t>
            </w:r>
            <w:r>
              <w:rPr>
                <w:rFonts w:ascii="Arial" w:cs="Arial" w:eastAsia="Arial" w:hAnsi="Arial"/>
                <w:sz w:val="25"/>
                <w:szCs w:val="25"/>
                <w:color w:val="auto"/>
                <w:vertAlign w:val="superscript"/>
              </w:rPr>
              <w:t>(1)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2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Certification of the Principal Executive Officer and Principal Financial Officer Pursuant to 18 U.S.C. Section 1350, as</w:t>
              </w:r>
            </w:hyperlink>
          </w:p>
        </w:tc>
        <w:tc>
          <w:tcPr>
            <w:tcW w:w="44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276"/>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w w:val="97"/>
              </w:rPr>
              <w:t>Instance Document- the instance document does not appear in the Interactive Data File because its XBRL tags are</w:t>
            </w:r>
          </w:p>
        </w:tc>
      </w:tr>
      <w:tr>
        <w:trPr>
          <w:trHeight w:val="23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0"/>
                <w:szCs w:val="20"/>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500" w:right="60" w:hanging="492"/>
        <w:spacing w:after="0" w:line="232" w:lineRule="auto"/>
        <w:tabs>
          <w:tab w:leader="none" w:pos="50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ectPr>
          <w:pgSz w:w="11900" w:h="16838" w:orient="portrait"/>
          <w:cols w:equalWidth="0" w:num="1">
            <w:col w:w="11400"/>
          </w:cols>
          <w:pgMar w:left="240" w:top="108"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1, 2018</w:t>
      </w:r>
    </w:p>
    <w:p>
      <w:pPr>
        <w:sectPr>
          <w:pgSz w:w="11900" w:h="16838" w:orient="portrait"/>
          <w:cols w:equalWidth="0" w:num="1">
            <w:col w:w="10940"/>
          </w:cols>
          <w:pgMar w:left="240" w:top="125" w:right="71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4020"/>
        <w:spacing w:after="0"/>
        <w:tabs>
          <w:tab w:leader="none" w:pos="67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43815</wp:posOffset>
            </wp:positionV>
            <wp:extent cx="2255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1120"/>
        <w:spacing w:after="0"/>
        <w:tabs>
          <w:tab w:leader="none" w:pos="7340" w:val="left"/>
        </w:tabs>
        <w:rPr>
          <w:sz w:val="20"/>
          <w:szCs w:val="20"/>
          <w:color w:val="auto"/>
        </w:rPr>
      </w:pPr>
      <w:r>
        <w:rPr>
          <w:rFonts w:ascii="Arial" w:cs="Arial" w:eastAsia="Arial" w:hAnsi="Arial"/>
          <w:sz w:val="16"/>
          <w:szCs w:val="16"/>
          <w:color w:val="auto"/>
        </w:rPr>
        <w:t>Date August 1, 2018</w:t>
      </w:r>
      <w:r>
        <w:rPr>
          <w:sz w:val="20"/>
          <w:szCs w:val="20"/>
          <w:color w:val="auto"/>
        </w:rPr>
        <w:tab/>
      </w:r>
      <w:r>
        <w:rPr>
          <w:rFonts w:ascii="Arial" w:cs="Arial" w:eastAsia="Arial" w:hAnsi="Arial"/>
          <w:sz w:val="15"/>
          <w:szCs w:val="15"/>
          <w:color w:val="auto"/>
        </w:rPr>
        <w:t>(Principal Executive Officer)</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1100" w:hanging="6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5660" w:type="dxa"/>
            <w:vAlign w:val="bottom"/>
          </w:tcPr>
          <w:p>
            <w:pPr>
              <w:spacing w:after="0"/>
              <w:rPr>
                <w:sz w:val="20"/>
                <w:szCs w:val="20"/>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David Day</w:t>
            </w:r>
          </w:p>
        </w:tc>
      </w:tr>
      <w:tr>
        <w:trPr>
          <w:trHeight w:val="203"/>
        </w:trPr>
        <w:tc>
          <w:tcPr>
            <w:tcW w:w="5660" w:type="dxa"/>
            <w:vAlign w:val="bottom"/>
          </w:tcPr>
          <w:p>
            <w:pPr>
              <w:spacing w:after="0"/>
              <w:rPr>
                <w:sz w:val="17"/>
                <w:szCs w:val="17"/>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August 1, 2018</w:t>
            </w:r>
          </w:p>
        </w:tc>
        <w:tc>
          <w:tcPr>
            <w:tcW w:w="3540" w:type="dxa"/>
            <w:vAlign w:val="bottom"/>
          </w:tcPr>
          <w:p>
            <w:pPr>
              <w:ind w:left="76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080"/>
          </w:cols>
          <w:pgMar w:left="580" w:top="58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160" w:hanging="328"/>
        <w:spacing w:after="0" w:line="40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June 30, 2018,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August 1,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10"/>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lvl w:ilvl="1">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6">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6" Type="http://schemas.openxmlformats.org/officeDocument/2006/relationships/hyperlink" Target="http://www.sec.gov/Archives/edgar/data/1595974/000159597414000004/rubi20140331exhibit31.htm" TargetMode="External"/><Relationship Id="rId17" Type="http://schemas.openxmlformats.org/officeDocument/2006/relationships/hyperlink" Target="http://www.sec.gov/Archives/edgar/data/1595974/000162828016014095/ex31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2019-12-28T20:48:08Z</dcterms:created>
  <dcterms:modified xsi:type="dcterms:W3CDTF">2019-12-28T20:48:08Z</dcterms:modified>
</cp:coreProperties>
</file>