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14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0" w:after="0"/>
        <w:jc w:val="center"/>
        <w:rPr/>
      </w:pPr>
      <w:r>
        <w:rPr>
          <w:color w:val="000000"/>
        </w:rPr>
        <w:t xml:space="preserve">  </w:t>
      </w:r>
      <w:r>
        <w:rPr>
          <w:rFonts w:ascii="Times New Roman;sans-serif" w:hAnsi="Times New Roman;sans-serif"/>
          <w:b w:val="false"/>
          <w:color w:val="000000"/>
          <w:sz w:val="20"/>
        </w:rPr>
        <w:t>(Mark One)</w:t>
      </w:r>
    </w:p>
    <w:p>
      <w:pPr>
        <w:pStyle w:val="TextBody"/>
        <w:bidi w:val="0"/>
        <w:spacing w:before="0" w:after="0"/>
        <w:jc w:val="center"/>
        <w:rPr/>
      </w:pPr>
      <w:r>
        <w:rPr/>
      </w:r>
    </w:p>
    <w:p>
      <w:pPr>
        <w:pStyle w:val="TextBody"/>
        <w:bidi w:val="0"/>
        <w:spacing w:lineRule="auto" w:line="288" w:before="0" w:after="0"/>
        <w:jc w:val="center"/>
        <w:rPr/>
      </w:pPr>
      <w:r>
        <w:rPr>
          <w:color w:val="000000"/>
        </w:rPr>
        <w:t> ☒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_____________ to _____________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001-36384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__________________</w:t>
      </w:r>
    </w:p>
    <w:tbl>
      <w:tblPr>
        <w:tblW w:w="8648"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20-8881738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1250 Broadway, 15th Floor</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New York 10001</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(212) 243-2769</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268" w:type="dxa"/>
        <w:jc w:val="center"/>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MGNI</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bidi w:val="0"/>
        <w:spacing w:lineRule="auto" w:line="288" w:before="0" w:after="10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p>
    <w:p>
      <w:pPr>
        <w:pStyle w:val="TextBody"/>
        <w:bidi w:val="0"/>
        <w:spacing w:lineRule="auto" w:line="288" w:before="0" w:after="10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bl>
    <w:p>
      <w:pPr>
        <w:pStyle w:val="TextBody"/>
        <w:bidi w:val="0"/>
        <w:spacing w:lineRule="auto" w:line="288" w:before="100" w:after="10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00"/>
        <w:jc w:val="left"/>
        <w:rPr/>
      </w:pPr>
      <w:r>
        <w:rPr>
          <w:rFonts w:ascii="Times New Roman;sans-serif" w:hAnsi="Times New Roman;sans-serif"/>
          <w:b w:val="false"/>
          <w:color w:val="000000"/>
          <w:sz w:val="20"/>
        </w:rPr>
        <w:t xml:space="preserve">Indicate by check mark whether the registrant is a shell company (as defined in Rule 12b-2 of the Act).   </w:t>
      </w:r>
      <w:r>
        <w:rPr>
          <w:color w:val="000000"/>
        </w:rPr>
        <w:t xml:space="preserve">☐ </w:t>
      </w: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registrant's classes of common stock, as of the latest practicable date.</w:t>
      </w:r>
    </w:p>
    <w:tbl>
      <w:tblPr>
        <w:tblW w:w="5966" w:type="dxa"/>
        <w:jc w:val="center"/>
        <w:tblInd w:w="0" w:type="dxa"/>
        <w:tblLayout w:type="fixed"/>
        <w:tblCellMar>
          <w:top w:w="28" w:type="dxa"/>
          <w:left w:w="28" w:type="dxa"/>
          <w:bottom w:w="28" w:type="dxa"/>
          <w:right w:w="28" w:type="dxa"/>
        </w:tblCellMar>
      </w:tblPr>
      <w:tblGrid>
        <w:gridCol w:w="1134"/>
        <w:gridCol w:w="995"/>
        <w:gridCol w:w="1005"/>
        <w:gridCol w:w="109"/>
        <w:gridCol w:w="109"/>
        <w:gridCol w:w="109"/>
        <w:gridCol w:w="732"/>
        <w:gridCol w:w="732"/>
        <w:gridCol w:w="1041"/>
      </w:tblGrid>
      <w:tr>
        <w:trPr/>
        <w:tc>
          <w:tcPr>
            <w:tcW w:w="113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as of May 3, 2023</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135,574,532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MAGNITE,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411"/>
        <w:gridCol w:w="280"/>
        <w:gridCol w:w="285"/>
        <w:gridCol w:w="2799"/>
        <w:gridCol w:w="2799"/>
        <w:gridCol w:w="2804"/>
        <w:gridCol w:w="241"/>
        <w:gridCol w:w="241"/>
        <w:gridCol w:w="345"/>
      </w:tblGrid>
      <w:tr>
        <w:trPr/>
        <w:tc>
          <w:tcPr>
            <w:tcW w:w="4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10">
              <w:r>
                <w:rPr>
                  <w:rStyle w:val="InternetLink"/>
                  <w:rFonts w:ascii="Times New Roman;sans-serif" w:hAnsi="Times New Roman;sans-serif"/>
                  <w:b w:val="false"/>
                  <w:color w:val="0000FF"/>
                  <w:sz w:val="20"/>
                  <w:u w:val="single"/>
                </w:rPr>
                <w:t>FINANCIAL INFORMATION</w:t>
              </w:r>
            </w:hyperlink>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49ca28555aa34b97aa8918fb9568d4b6_10">
              <w:r>
                <w:rPr>
                  <w:rStyle w:val="InternetLink"/>
                  <w:rFonts w:ascii="Times New Roman;sans-serif" w:hAnsi="Times New Roman;sans-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13">
              <w:r>
                <w:rPr>
                  <w:rStyle w:val="InternetLink"/>
                  <w:rFonts w:ascii="Times New Roman;sans-serif" w:hAnsi="Times New Roman;sans-serif"/>
                  <w:b w:val="false"/>
                  <w:color w:val="0000FF"/>
                  <w:sz w:val="20"/>
                  <w:u w:val="single"/>
                </w:rPr>
                <w:t>Condensed Consolidated Financial Statements (Unaudited)</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13">
              <w:r>
                <w:rPr>
                  <w:rStyle w:val="InternetLink"/>
                  <w:rFonts w:ascii="Times New Roman;sans-serif" w:hAnsi="Times New Roman;sans-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16">
              <w:r>
                <w:rPr>
                  <w:rStyle w:val="InternetLink"/>
                  <w:rFonts w:ascii="Times New Roman;sans-serif" w:hAnsi="Times New Roman;sans-serif"/>
                  <w:b w:val="false"/>
                  <w:color w:val="000080"/>
                  <w:sz w:val="20"/>
                  <w:u w:val="single"/>
                </w:rPr>
                <w:t xml:space="preserve">Condensed Consolidated Balance Sheets as of </w:t>
              </w:r>
            </w:hyperlink>
            <w:hyperlink w:anchor="i49ca28555aa34b97aa8918fb9568d4b6_16">
              <w:r>
                <w:rPr>
                  <w:rStyle w:val="InternetLink"/>
                  <w:rFonts w:ascii="Times New Roman;sans-serif" w:hAnsi="Times New Roman;sans-serif"/>
                  <w:b w:val="false"/>
                  <w:color w:val="000080"/>
                  <w:sz w:val="20"/>
                  <w:u w:val="single"/>
                </w:rPr>
                <w:t>March</w:t>
              </w:r>
            </w:hyperlink>
            <w:hyperlink w:anchor="i49ca28555aa34b97aa8918fb9568d4b6_16">
              <w:r>
                <w:rPr>
                  <w:rStyle w:val="InternetLink"/>
                  <w:rFonts w:ascii="Times New Roman;sans-serif" w:hAnsi="Times New Roman;sans-serif"/>
                  <w:b w:val="false"/>
                  <w:color w:val="000080"/>
                  <w:sz w:val="20"/>
                  <w:u w:val="single"/>
                </w:rPr>
                <w:t xml:space="preserve"> 3</w:t>
              </w:r>
            </w:hyperlink>
            <w:hyperlink w:anchor="i49ca28555aa34b97aa8918fb9568d4b6_16">
              <w:r>
                <w:rPr>
                  <w:rStyle w:val="InternetLink"/>
                  <w:rFonts w:ascii="Times New Roman;sans-serif" w:hAnsi="Times New Roman;sans-serif"/>
                  <w:b w:val="false"/>
                  <w:color w:val="000080"/>
                  <w:sz w:val="20"/>
                  <w:u w:val="single"/>
                </w:rPr>
                <w:t>1</w:t>
              </w:r>
            </w:hyperlink>
            <w:hyperlink w:anchor="i49ca28555aa34b97aa8918fb9568d4b6_16">
              <w:r>
                <w:rPr>
                  <w:rStyle w:val="InternetLink"/>
                  <w:rFonts w:ascii="Times New Roman;sans-serif" w:hAnsi="Times New Roman;sans-serif"/>
                  <w:b w:val="false"/>
                  <w:color w:val="000080"/>
                  <w:sz w:val="20"/>
                  <w:u w:val="single"/>
                </w:rPr>
                <w:t>, 202</w:t>
              </w:r>
            </w:hyperlink>
            <w:hyperlink w:anchor="i49ca28555aa34b97aa8918fb9568d4b6_16">
              <w:r>
                <w:rPr>
                  <w:rStyle w:val="InternetLink"/>
                  <w:rFonts w:ascii="Times New Roman;sans-serif" w:hAnsi="Times New Roman;sans-serif"/>
                  <w:b w:val="false"/>
                  <w:color w:val="000080"/>
                  <w:sz w:val="20"/>
                  <w:u w:val="single"/>
                </w:rPr>
                <w:t>3</w:t>
              </w:r>
            </w:hyperlink>
            <w:hyperlink w:anchor="i49ca28555aa34b97aa8918fb9568d4b6_16">
              <w:r>
                <w:rPr>
                  <w:rStyle w:val="InternetLink"/>
                  <w:rFonts w:ascii="Times New Roman;sans-serif" w:hAnsi="Times New Roman;sans-serif"/>
                  <w:b w:val="false"/>
                  <w:color w:val="000080"/>
                  <w:sz w:val="20"/>
                  <w:u w:val="single"/>
                </w:rPr>
                <w:t xml:space="preserve"> and December 31, 202</w:t>
              </w:r>
            </w:hyperlink>
            <w:r>
              <w:rPr>
                <w:rFonts w:ascii="Times New Roman;sans-serif" w:hAnsi="Times New Roman;sans-serif"/>
                <w:b w:val="false"/>
                <w:color w:val="000000"/>
                <w:sz w:val="20"/>
              </w:rPr>
              <w:t>2</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16">
              <w:r>
                <w:rPr>
                  <w:rStyle w:val="InternetLink"/>
                  <w:rFonts w:ascii="Times New Roman;sans-serif" w:hAnsi="Times New Roman;sans-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19">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49ca28555aa34b97aa8918fb9568d4b6_19">
              <w:r>
                <w:rPr>
                  <w:rStyle w:val="InternetLink"/>
                  <w:rFonts w:ascii="Times New Roman;sans-serif" w:hAnsi="Times New Roman;sans-serif"/>
                  <w:b w:val="false"/>
                  <w:color w:val="000080"/>
                  <w:sz w:val="20"/>
                  <w:u w:val="single"/>
                </w:rPr>
                <w:t xml:space="preserve">Months Ended </w:t>
              </w:r>
            </w:hyperlink>
            <w:hyperlink w:anchor="i49ca28555aa34b97aa8918fb9568d4b6_19">
              <w:r>
                <w:rPr>
                  <w:rStyle w:val="InternetLink"/>
                  <w:rFonts w:ascii="Times New Roman;sans-serif" w:hAnsi="Times New Roman;sans-serif"/>
                  <w:b w:val="false"/>
                  <w:color w:val="000080"/>
                  <w:sz w:val="20"/>
                  <w:u w:val="single"/>
                </w:rPr>
                <w:t>Ma</w:t>
              </w:r>
            </w:hyperlink>
            <w:hyperlink w:anchor="i49ca28555aa34b97aa8918fb9568d4b6_19">
              <w:r>
                <w:rPr>
                  <w:rStyle w:val="InternetLink"/>
                  <w:rFonts w:ascii="Times New Roman;sans-serif" w:hAnsi="Times New Roman;sans-serif"/>
                  <w:b w:val="false"/>
                  <w:color w:val="000080"/>
                  <w:sz w:val="20"/>
                  <w:u w:val="single"/>
                </w:rPr>
                <w:t>rch</w:t>
              </w:r>
            </w:hyperlink>
            <w:hyperlink w:anchor="i49ca28555aa34b97aa8918fb9568d4b6_19">
              <w:r>
                <w:rPr>
                  <w:rStyle w:val="InternetLink"/>
                  <w:rFonts w:ascii="Times New Roman;sans-serif" w:hAnsi="Times New Roman;sans-serif"/>
                  <w:b w:val="false"/>
                  <w:color w:val="000080"/>
                  <w:sz w:val="20"/>
                  <w:u w:val="single"/>
                </w:rPr>
                <w:t xml:space="preserve"> 3</w:t>
              </w:r>
            </w:hyperlink>
            <w:hyperlink w:anchor="i49ca28555aa34b97aa8918fb9568d4b6_19">
              <w:r>
                <w:rPr>
                  <w:rStyle w:val="InternetLink"/>
                  <w:rFonts w:ascii="Times New Roman;sans-serif" w:hAnsi="Times New Roman;sans-serif"/>
                  <w:b w:val="false"/>
                  <w:color w:val="000080"/>
                  <w:sz w:val="20"/>
                  <w:u w:val="single"/>
                </w:rPr>
                <w:t>1</w:t>
              </w:r>
            </w:hyperlink>
            <w:hyperlink w:anchor="i49ca28555aa34b97aa8918fb9568d4b6_19">
              <w:r>
                <w:rPr>
                  <w:rStyle w:val="InternetLink"/>
                  <w:rFonts w:ascii="Times New Roman;sans-serif" w:hAnsi="Times New Roman;sans-serif"/>
                  <w:b w:val="false"/>
                  <w:color w:val="000080"/>
                  <w:sz w:val="20"/>
                  <w:u w:val="single"/>
                </w:rPr>
                <w:t>, 202</w:t>
              </w:r>
            </w:hyperlink>
            <w:hyperlink w:anchor="i49ca28555aa34b97aa8918fb9568d4b6_19">
              <w:r>
                <w:rPr>
                  <w:rStyle w:val="InternetLink"/>
                  <w:rFonts w:ascii="Times New Roman;sans-serif" w:hAnsi="Times New Roman;sans-serif"/>
                  <w:b w:val="false"/>
                  <w:color w:val="000080"/>
                  <w:sz w:val="20"/>
                  <w:u w:val="single"/>
                </w:rPr>
                <w:t>3</w:t>
              </w:r>
            </w:hyperlink>
            <w:hyperlink w:anchor="i49ca28555aa34b97aa8918fb9568d4b6_19">
              <w:r>
                <w:rPr>
                  <w:rStyle w:val="InternetLink"/>
                  <w:rFonts w:ascii="Times New Roman;sans-serif" w:hAnsi="Times New Roman;sans-serif"/>
                  <w:b w:val="false"/>
                  <w:color w:val="000080"/>
                  <w:sz w:val="20"/>
                  <w:u w:val="single"/>
                </w:rPr>
                <w:t xml:space="preserve"> and </w:t>
              </w:r>
            </w:hyperlink>
            <w:hyperlink w:anchor="i49ca28555aa34b97aa8918fb9568d4b6_19">
              <w:r>
                <w:rPr>
                  <w:rStyle w:val="InternetLink"/>
                  <w:rFonts w:ascii="Times New Roman;sans-serif" w:hAnsi="Times New Roman;sans-serif"/>
                  <w:b w:val="false"/>
                  <w:color w:val="000080"/>
                  <w:sz w:val="20"/>
                  <w:u w:val="single"/>
                </w:rPr>
                <w:t>March</w:t>
              </w:r>
            </w:hyperlink>
            <w:hyperlink w:anchor="i49ca28555aa34b97aa8918fb9568d4b6_19">
              <w:r>
                <w:rPr>
                  <w:rStyle w:val="InternetLink"/>
                  <w:rFonts w:ascii="Times New Roman;sans-serif" w:hAnsi="Times New Roman;sans-serif"/>
                  <w:b w:val="false"/>
                  <w:color w:val="000080"/>
                  <w:sz w:val="20"/>
                  <w:u w:val="single"/>
                </w:rPr>
                <w:t xml:space="preserve"> 3</w:t>
              </w:r>
            </w:hyperlink>
            <w:hyperlink w:anchor="i49ca28555aa34b97aa8918fb9568d4b6_19">
              <w:r>
                <w:rPr>
                  <w:rStyle w:val="InternetLink"/>
                  <w:rFonts w:ascii="Times New Roman;sans-serif" w:hAnsi="Times New Roman;sans-serif"/>
                  <w:b w:val="false"/>
                  <w:color w:val="000080"/>
                  <w:sz w:val="20"/>
                  <w:u w:val="single"/>
                </w:rPr>
                <w:t>1</w:t>
              </w:r>
            </w:hyperlink>
            <w:hyperlink w:anchor="i49ca28555aa34b97aa8918fb9568d4b6_19">
              <w:r>
                <w:rPr>
                  <w:rStyle w:val="InternetLink"/>
                  <w:rFonts w:ascii="Times New Roman;sans-serif" w:hAnsi="Times New Roman;sans-serif"/>
                  <w:b w:val="false"/>
                  <w:color w:val="000080"/>
                  <w:sz w:val="20"/>
                  <w:u w:val="single"/>
                </w:rPr>
                <w:t>, 20</w:t>
              </w:r>
            </w:hyperlink>
            <w:hyperlink w:anchor="i49ca28555aa34b97aa8918fb9568d4b6_19">
              <w:r>
                <w:rPr>
                  <w:rStyle w:val="InternetLink"/>
                  <w:rFonts w:ascii="Times New Roman;sans-serif" w:hAnsi="Times New Roman;sans-serif"/>
                  <w:b w:val="false"/>
                  <w:color w:val="000080"/>
                  <w:sz w:val="20"/>
                  <w:u w:val="single"/>
                </w:rPr>
                <w:t>2</w:t>
              </w:r>
            </w:hyperlink>
            <w:hyperlink w:anchor="i49ca28555aa34b97aa8918fb9568d4b6_19">
              <w:r>
                <w:rPr>
                  <w:rStyle w:val="InternetLink"/>
                  <w:rFonts w:ascii="Times New Roman;sans-serif" w:hAnsi="Times New Roman;sans-serif"/>
                  <w:b w:val="false"/>
                  <w:color w:val="000080"/>
                  <w:sz w:val="20"/>
                  <w:u w:val="single"/>
                </w:rPr>
                <w:t>2</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19">
              <w:r>
                <w:rPr>
                  <w:rStyle w:val="InternetLink"/>
                  <w:rFonts w:ascii="Times New Roman;sans-serif" w:hAnsi="Times New Roman;sans-serif"/>
                  <w:b w:val="false"/>
                  <w:color w:val="0000FF"/>
                  <w:sz w:val="20"/>
                  <w:u w:val="singl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22">
              <w:r>
                <w:rPr>
                  <w:rStyle w:val="InternetLink"/>
                  <w:rFonts w:ascii="Times New Roman;sans-serif" w:hAnsi="Times New Roman;sans-serif"/>
                  <w:b w:val="false"/>
                  <w:color w:val="000080"/>
                  <w:sz w:val="20"/>
                  <w:u w:val="single"/>
                </w:rPr>
                <w:t>Condensed Consolidated Statements of Comprehensive Loss for the Three</w:t>
              </w:r>
            </w:hyperlink>
            <w:hyperlink w:anchor="i49ca28555aa34b97aa8918fb9568d4b6_22">
              <w:r>
                <w:rPr>
                  <w:rStyle w:val="InternetLink"/>
                  <w:rFonts w:ascii="Times New Roman;sans-serif" w:hAnsi="Times New Roman;sans-serif"/>
                  <w:b w:val="false"/>
                  <w:color w:val="000080"/>
                  <w:sz w:val="20"/>
                  <w:u w:val="single"/>
                </w:rPr>
                <w:t xml:space="preserve"> Months Ended </w:t>
              </w:r>
            </w:hyperlink>
            <w:hyperlink w:anchor="i49ca28555aa34b97aa8918fb9568d4b6_22">
              <w:r>
                <w:rPr>
                  <w:rStyle w:val="InternetLink"/>
                  <w:rFonts w:ascii="Times New Roman;sans-serif" w:hAnsi="Times New Roman;sans-serif"/>
                  <w:b w:val="false"/>
                  <w:color w:val="000080"/>
                  <w:sz w:val="20"/>
                  <w:u w:val="single"/>
                </w:rPr>
                <w:t>March</w:t>
              </w:r>
            </w:hyperlink>
            <w:hyperlink w:anchor="i49ca28555aa34b97aa8918fb9568d4b6_22">
              <w:r>
                <w:rPr>
                  <w:rStyle w:val="InternetLink"/>
                  <w:rFonts w:ascii="Times New Roman;sans-serif" w:hAnsi="Times New Roman;sans-serif"/>
                  <w:b w:val="false"/>
                  <w:color w:val="000080"/>
                  <w:sz w:val="20"/>
                  <w:u w:val="single"/>
                </w:rPr>
                <w:t xml:space="preserve"> 3</w:t>
              </w:r>
            </w:hyperlink>
            <w:hyperlink w:anchor="i49ca28555aa34b97aa8918fb9568d4b6_22">
              <w:r>
                <w:rPr>
                  <w:rStyle w:val="InternetLink"/>
                  <w:rFonts w:ascii="Times New Roman;sans-serif" w:hAnsi="Times New Roman;sans-serif"/>
                  <w:b w:val="false"/>
                  <w:color w:val="000080"/>
                  <w:sz w:val="20"/>
                  <w:u w:val="single"/>
                </w:rPr>
                <w:t>1</w:t>
              </w:r>
            </w:hyperlink>
            <w:hyperlink w:anchor="i49ca28555aa34b97aa8918fb9568d4b6_22">
              <w:r>
                <w:rPr>
                  <w:rStyle w:val="InternetLink"/>
                  <w:rFonts w:ascii="Times New Roman;sans-serif" w:hAnsi="Times New Roman;sans-serif"/>
                  <w:b w:val="false"/>
                  <w:color w:val="000080"/>
                  <w:sz w:val="20"/>
                  <w:u w:val="single"/>
                </w:rPr>
                <w:t>, 202</w:t>
              </w:r>
            </w:hyperlink>
            <w:hyperlink w:anchor="i49ca28555aa34b97aa8918fb9568d4b6_22">
              <w:r>
                <w:rPr>
                  <w:rStyle w:val="InternetLink"/>
                  <w:rFonts w:ascii="Times New Roman;sans-serif" w:hAnsi="Times New Roman;sans-serif"/>
                  <w:b w:val="false"/>
                  <w:color w:val="000080"/>
                  <w:sz w:val="20"/>
                  <w:u w:val="single"/>
                </w:rPr>
                <w:t>3</w:t>
              </w:r>
            </w:hyperlink>
            <w:hyperlink w:anchor="i49ca28555aa34b97aa8918fb9568d4b6_22">
              <w:r>
                <w:rPr>
                  <w:rStyle w:val="InternetLink"/>
                  <w:rFonts w:ascii="Times New Roman;sans-serif" w:hAnsi="Times New Roman;sans-serif"/>
                  <w:b w:val="false"/>
                  <w:color w:val="000080"/>
                  <w:sz w:val="20"/>
                  <w:u w:val="single"/>
                </w:rPr>
                <w:t xml:space="preserve"> and </w:t>
              </w:r>
            </w:hyperlink>
            <w:hyperlink w:anchor="i49ca28555aa34b97aa8918fb9568d4b6_22">
              <w:r>
                <w:rPr>
                  <w:rStyle w:val="InternetLink"/>
                  <w:rFonts w:ascii="Times New Roman;sans-serif" w:hAnsi="Times New Roman;sans-serif"/>
                  <w:b w:val="false"/>
                  <w:color w:val="000080"/>
                  <w:sz w:val="20"/>
                  <w:u w:val="single"/>
                </w:rPr>
                <w:t>March</w:t>
              </w:r>
            </w:hyperlink>
            <w:hyperlink w:anchor="i49ca28555aa34b97aa8918fb9568d4b6_22">
              <w:r>
                <w:rPr>
                  <w:rStyle w:val="InternetLink"/>
                  <w:rFonts w:ascii="Times New Roman;sans-serif" w:hAnsi="Times New Roman;sans-serif"/>
                  <w:b w:val="false"/>
                  <w:color w:val="000080"/>
                  <w:sz w:val="20"/>
                  <w:u w:val="single"/>
                </w:rPr>
                <w:t xml:space="preserve"> 3</w:t>
              </w:r>
            </w:hyperlink>
            <w:hyperlink w:anchor="i49ca28555aa34b97aa8918fb9568d4b6_22">
              <w:r>
                <w:rPr>
                  <w:rStyle w:val="InternetLink"/>
                  <w:rFonts w:ascii="Times New Roman;sans-serif" w:hAnsi="Times New Roman;sans-serif"/>
                  <w:b w:val="false"/>
                  <w:color w:val="000080"/>
                  <w:sz w:val="20"/>
                  <w:u w:val="single"/>
                </w:rPr>
                <w:t>1</w:t>
              </w:r>
            </w:hyperlink>
            <w:hyperlink w:anchor="i49ca28555aa34b97aa8918fb9568d4b6_22">
              <w:r>
                <w:rPr>
                  <w:rStyle w:val="InternetLink"/>
                  <w:rFonts w:ascii="Times New Roman;sans-serif" w:hAnsi="Times New Roman;sans-serif"/>
                  <w:b w:val="false"/>
                  <w:color w:val="000080"/>
                  <w:sz w:val="20"/>
                  <w:u w:val="single"/>
                </w:rPr>
                <w:t>, 20</w:t>
              </w:r>
            </w:hyperlink>
            <w:hyperlink w:anchor="i49ca28555aa34b97aa8918fb9568d4b6_22">
              <w:r>
                <w:rPr>
                  <w:rStyle w:val="InternetLink"/>
                  <w:rFonts w:ascii="Times New Roman;sans-serif" w:hAnsi="Times New Roman;sans-serif"/>
                  <w:b w:val="false"/>
                  <w:color w:val="000080"/>
                  <w:sz w:val="20"/>
                  <w:u w:val="single"/>
                </w:rPr>
                <w:t>2</w:t>
              </w:r>
            </w:hyperlink>
            <w:hyperlink w:anchor="i49ca28555aa34b97aa8918fb9568d4b6_22">
              <w:r>
                <w:rPr>
                  <w:rStyle w:val="InternetLink"/>
                  <w:rFonts w:ascii="Times New Roman;sans-serif" w:hAnsi="Times New Roman;sans-serif"/>
                  <w:b w:val="false"/>
                  <w:color w:val="000080"/>
                  <w:sz w:val="20"/>
                  <w:u w:val="single"/>
                </w:rPr>
                <w:t>2</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22">
              <w:r>
                <w:rPr>
                  <w:rStyle w:val="InternetLink"/>
                  <w:rFonts w:ascii="Times New Roman;sans-serif" w:hAnsi="Times New Roman;sans-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25">
              <w:r>
                <w:rPr>
                  <w:rStyle w:val="InternetLink"/>
                  <w:rFonts w:ascii="Times New Roman;sans-serif" w:hAnsi="Times New Roman;sans-serif"/>
                  <w:b w:val="false"/>
                  <w:color w:val="000080"/>
                  <w:sz w:val="20"/>
                  <w:u w:val="single"/>
                </w:rPr>
                <w:t xml:space="preserve">Condensed Consolidated Statements of Stockholders' Equity for the Three </w:t>
              </w:r>
            </w:hyperlink>
            <w:hyperlink w:anchor="i49ca28555aa34b97aa8918fb9568d4b6_25">
              <w:r>
                <w:rPr>
                  <w:rStyle w:val="InternetLink"/>
                  <w:rFonts w:ascii="Times New Roman;sans-serif" w:hAnsi="Times New Roman;sans-serif"/>
                  <w:b w:val="false"/>
                  <w:color w:val="000080"/>
                  <w:sz w:val="20"/>
                  <w:u w:val="single"/>
                </w:rPr>
                <w:t xml:space="preserve">Months Ended </w:t>
              </w:r>
            </w:hyperlink>
            <w:hyperlink w:anchor="i49ca28555aa34b97aa8918fb9568d4b6_25">
              <w:r>
                <w:rPr>
                  <w:rStyle w:val="InternetLink"/>
                  <w:rFonts w:ascii="Times New Roman;sans-serif" w:hAnsi="Times New Roman;sans-serif"/>
                  <w:b w:val="false"/>
                  <w:color w:val="000080"/>
                  <w:sz w:val="20"/>
                  <w:u w:val="single"/>
                </w:rPr>
                <w:t>March</w:t>
              </w:r>
            </w:hyperlink>
            <w:hyperlink w:anchor="i49ca28555aa34b97aa8918fb9568d4b6_25">
              <w:r>
                <w:rPr>
                  <w:rStyle w:val="InternetLink"/>
                  <w:rFonts w:ascii="Times New Roman;sans-serif" w:hAnsi="Times New Roman;sans-serif"/>
                  <w:b w:val="false"/>
                  <w:color w:val="000080"/>
                  <w:sz w:val="20"/>
                  <w:u w:val="single"/>
                </w:rPr>
                <w:t xml:space="preserve"> 3</w:t>
              </w:r>
            </w:hyperlink>
            <w:hyperlink w:anchor="i49ca28555aa34b97aa8918fb9568d4b6_25">
              <w:r>
                <w:rPr>
                  <w:rStyle w:val="InternetLink"/>
                  <w:rFonts w:ascii="Times New Roman;sans-serif" w:hAnsi="Times New Roman;sans-serif"/>
                  <w:b w:val="false"/>
                  <w:color w:val="000080"/>
                  <w:sz w:val="20"/>
                  <w:u w:val="single"/>
                </w:rPr>
                <w:t>1</w:t>
              </w:r>
            </w:hyperlink>
            <w:hyperlink w:anchor="i49ca28555aa34b97aa8918fb9568d4b6_25">
              <w:r>
                <w:rPr>
                  <w:rStyle w:val="InternetLink"/>
                  <w:rFonts w:ascii="Times New Roman;sans-serif" w:hAnsi="Times New Roman;sans-serif"/>
                  <w:b w:val="false"/>
                  <w:color w:val="000080"/>
                  <w:sz w:val="20"/>
                  <w:u w:val="single"/>
                </w:rPr>
                <w:t>, 202</w:t>
              </w:r>
            </w:hyperlink>
            <w:hyperlink w:anchor="i49ca28555aa34b97aa8918fb9568d4b6_25">
              <w:r>
                <w:rPr>
                  <w:rStyle w:val="InternetLink"/>
                  <w:rFonts w:ascii="Times New Roman;sans-serif" w:hAnsi="Times New Roman;sans-serif"/>
                  <w:b w:val="false"/>
                  <w:color w:val="000080"/>
                  <w:sz w:val="20"/>
                  <w:u w:val="single"/>
                </w:rPr>
                <w:t>3</w:t>
              </w:r>
            </w:hyperlink>
            <w:hyperlink w:anchor="i49ca28555aa34b97aa8918fb9568d4b6_25">
              <w:r>
                <w:rPr>
                  <w:rStyle w:val="InternetLink"/>
                  <w:rFonts w:ascii="Times New Roman;sans-serif" w:hAnsi="Times New Roman;sans-serif"/>
                  <w:b w:val="false"/>
                  <w:color w:val="000080"/>
                  <w:sz w:val="20"/>
                  <w:u w:val="single"/>
                </w:rPr>
                <w:t xml:space="preserve"> and </w:t>
              </w:r>
            </w:hyperlink>
            <w:hyperlink w:anchor="i49ca28555aa34b97aa8918fb9568d4b6_25">
              <w:r>
                <w:rPr>
                  <w:rStyle w:val="InternetLink"/>
                  <w:rFonts w:ascii="Times New Roman;sans-serif" w:hAnsi="Times New Roman;sans-serif"/>
                  <w:b w:val="false"/>
                  <w:color w:val="000080"/>
                  <w:sz w:val="20"/>
                  <w:u w:val="single"/>
                </w:rPr>
                <w:t>March</w:t>
              </w:r>
            </w:hyperlink>
            <w:hyperlink w:anchor="i49ca28555aa34b97aa8918fb9568d4b6_25">
              <w:r>
                <w:rPr>
                  <w:rStyle w:val="InternetLink"/>
                  <w:rFonts w:ascii="Times New Roman;sans-serif" w:hAnsi="Times New Roman;sans-serif"/>
                  <w:b w:val="false"/>
                  <w:color w:val="000080"/>
                  <w:sz w:val="20"/>
                  <w:u w:val="single"/>
                </w:rPr>
                <w:t xml:space="preserve"> 3</w:t>
              </w:r>
            </w:hyperlink>
            <w:hyperlink w:anchor="i49ca28555aa34b97aa8918fb9568d4b6_25">
              <w:r>
                <w:rPr>
                  <w:rStyle w:val="InternetLink"/>
                  <w:rFonts w:ascii="Times New Roman;sans-serif" w:hAnsi="Times New Roman;sans-serif"/>
                  <w:b w:val="false"/>
                  <w:color w:val="000080"/>
                  <w:sz w:val="20"/>
                  <w:u w:val="single"/>
                </w:rPr>
                <w:t>1</w:t>
              </w:r>
            </w:hyperlink>
            <w:hyperlink w:anchor="i49ca28555aa34b97aa8918fb9568d4b6_25">
              <w:r>
                <w:rPr>
                  <w:rStyle w:val="InternetLink"/>
                  <w:rFonts w:ascii="Times New Roman;sans-serif" w:hAnsi="Times New Roman;sans-serif"/>
                  <w:b w:val="false"/>
                  <w:color w:val="000080"/>
                  <w:sz w:val="20"/>
                  <w:u w:val="single"/>
                </w:rPr>
                <w:t>, 202</w:t>
              </w:r>
            </w:hyperlink>
            <w:hyperlink w:anchor="i49ca28555aa34b97aa8918fb9568d4b6_25">
              <w:r>
                <w:rPr>
                  <w:rStyle w:val="InternetLink"/>
                  <w:rFonts w:ascii="Times New Roman;sans-serif" w:hAnsi="Times New Roman;sans-serif"/>
                  <w:b w:val="false"/>
                  <w:color w:val="000080"/>
                  <w:sz w:val="20"/>
                  <w:u w:val="single"/>
                </w:rPr>
                <w:t>2</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25">
              <w:r>
                <w:rPr>
                  <w:rStyle w:val="InternetLink"/>
                  <w:rFonts w:ascii="Times New Roman;sans-serif" w:hAnsi="Times New Roman;sans-serif"/>
                  <w:b w:val="false"/>
                  <w:color w:val="0000FF"/>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28">
              <w:r>
                <w:rPr>
                  <w:rStyle w:val="InternetLink"/>
                  <w:rFonts w:ascii="Times New Roman;sans-serif" w:hAnsi="Times New Roman;sans-serif"/>
                  <w:b w:val="false"/>
                  <w:color w:val="000080"/>
                  <w:sz w:val="20"/>
                  <w:u w:val="single"/>
                </w:rPr>
                <w:t xml:space="preserve">Condensed Consolidated Statements of Cash Flows for the </w:t>
              </w:r>
            </w:hyperlink>
            <w:hyperlink w:anchor="i49ca28555aa34b97aa8918fb9568d4b6_28">
              <w:r>
                <w:rPr>
                  <w:rStyle w:val="InternetLink"/>
                  <w:rFonts w:ascii="Times New Roman;sans-serif" w:hAnsi="Times New Roman;sans-serif"/>
                  <w:b w:val="false"/>
                  <w:color w:val="000080"/>
                  <w:sz w:val="20"/>
                  <w:u w:val="single"/>
                </w:rPr>
                <w:t>Three</w:t>
              </w:r>
            </w:hyperlink>
            <w:hyperlink w:anchor="i49ca28555aa34b97aa8918fb9568d4b6_28">
              <w:r>
                <w:rPr>
                  <w:rStyle w:val="InternetLink"/>
                  <w:rFonts w:ascii="Times New Roman;sans-serif" w:hAnsi="Times New Roman;sans-serif"/>
                  <w:b w:val="false"/>
                  <w:color w:val="000080"/>
                  <w:sz w:val="20"/>
                  <w:u w:val="single"/>
                </w:rPr>
                <w:t xml:space="preserve"> Months Ended </w:t>
              </w:r>
            </w:hyperlink>
            <w:hyperlink w:anchor="i49ca28555aa34b97aa8918fb9568d4b6_28">
              <w:r>
                <w:rPr>
                  <w:rStyle w:val="InternetLink"/>
                  <w:rFonts w:ascii="Times New Roman;sans-serif" w:hAnsi="Times New Roman;sans-serif"/>
                  <w:b w:val="false"/>
                  <w:color w:val="000080"/>
                  <w:sz w:val="20"/>
                  <w:u w:val="single"/>
                </w:rPr>
                <w:t>March</w:t>
              </w:r>
            </w:hyperlink>
            <w:hyperlink w:anchor="i49ca28555aa34b97aa8918fb9568d4b6_28">
              <w:r>
                <w:rPr>
                  <w:rStyle w:val="InternetLink"/>
                  <w:rFonts w:ascii="Times New Roman;sans-serif" w:hAnsi="Times New Roman;sans-serif"/>
                  <w:b w:val="false"/>
                  <w:color w:val="000080"/>
                  <w:sz w:val="20"/>
                  <w:u w:val="single"/>
                </w:rPr>
                <w:t xml:space="preserve"> 3</w:t>
              </w:r>
            </w:hyperlink>
            <w:hyperlink w:anchor="i49ca28555aa34b97aa8918fb9568d4b6_28">
              <w:r>
                <w:rPr>
                  <w:rStyle w:val="InternetLink"/>
                  <w:rFonts w:ascii="Times New Roman;sans-serif" w:hAnsi="Times New Roman;sans-serif"/>
                  <w:b w:val="false"/>
                  <w:color w:val="000080"/>
                  <w:sz w:val="20"/>
                  <w:u w:val="single"/>
                </w:rPr>
                <w:t>1</w:t>
              </w:r>
            </w:hyperlink>
            <w:hyperlink w:anchor="i49ca28555aa34b97aa8918fb9568d4b6_28">
              <w:r>
                <w:rPr>
                  <w:rStyle w:val="InternetLink"/>
                  <w:rFonts w:ascii="Times New Roman;sans-serif" w:hAnsi="Times New Roman;sans-serif"/>
                  <w:b w:val="false"/>
                  <w:color w:val="000080"/>
                  <w:sz w:val="20"/>
                  <w:u w:val="single"/>
                </w:rPr>
                <w:t>, 202</w:t>
              </w:r>
            </w:hyperlink>
            <w:hyperlink w:anchor="i49ca28555aa34b97aa8918fb9568d4b6_28">
              <w:r>
                <w:rPr>
                  <w:rStyle w:val="InternetLink"/>
                  <w:rFonts w:ascii="Times New Roman;sans-serif" w:hAnsi="Times New Roman;sans-serif"/>
                  <w:b w:val="false"/>
                  <w:color w:val="000080"/>
                  <w:sz w:val="20"/>
                  <w:u w:val="single"/>
                </w:rPr>
                <w:t>3</w:t>
              </w:r>
            </w:hyperlink>
            <w:hyperlink w:anchor="i49ca28555aa34b97aa8918fb9568d4b6_28">
              <w:r>
                <w:rPr>
                  <w:rStyle w:val="InternetLink"/>
                  <w:rFonts w:ascii="Times New Roman;sans-serif" w:hAnsi="Times New Roman;sans-serif"/>
                  <w:b w:val="false"/>
                  <w:color w:val="000080"/>
                  <w:sz w:val="20"/>
                  <w:u w:val="single"/>
                </w:rPr>
                <w:t xml:space="preserve"> and </w:t>
              </w:r>
            </w:hyperlink>
            <w:hyperlink w:anchor="i49ca28555aa34b97aa8918fb9568d4b6_28">
              <w:r>
                <w:rPr>
                  <w:rStyle w:val="InternetLink"/>
                  <w:rFonts w:ascii="Times New Roman;sans-serif" w:hAnsi="Times New Roman;sans-serif"/>
                  <w:b w:val="false"/>
                  <w:color w:val="000080"/>
                  <w:sz w:val="20"/>
                  <w:u w:val="single"/>
                </w:rPr>
                <w:t>March</w:t>
              </w:r>
            </w:hyperlink>
            <w:hyperlink w:anchor="i49ca28555aa34b97aa8918fb9568d4b6_28">
              <w:r>
                <w:rPr>
                  <w:rStyle w:val="InternetLink"/>
                  <w:rFonts w:ascii="Times New Roman;sans-serif" w:hAnsi="Times New Roman;sans-serif"/>
                  <w:b w:val="false"/>
                  <w:color w:val="000080"/>
                  <w:sz w:val="20"/>
                  <w:u w:val="single"/>
                </w:rPr>
                <w:t xml:space="preserve"> 3</w:t>
              </w:r>
            </w:hyperlink>
            <w:hyperlink w:anchor="i49ca28555aa34b97aa8918fb9568d4b6_28">
              <w:r>
                <w:rPr>
                  <w:rStyle w:val="InternetLink"/>
                  <w:rFonts w:ascii="Times New Roman;sans-serif" w:hAnsi="Times New Roman;sans-serif"/>
                  <w:b w:val="false"/>
                  <w:color w:val="000080"/>
                  <w:sz w:val="20"/>
                  <w:u w:val="single"/>
                </w:rPr>
                <w:t>1</w:t>
              </w:r>
            </w:hyperlink>
            <w:hyperlink w:anchor="i49ca28555aa34b97aa8918fb9568d4b6_28">
              <w:r>
                <w:rPr>
                  <w:rStyle w:val="InternetLink"/>
                  <w:rFonts w:ascii="Times New Roman;sans-serif" w:hAnsi="Times New Roman;sans-serif"/>
                  <w:b w:val="false"/>
                  <w:color w:val="000080"/>
                  <w:sz w:val="20"/>
                  <w:u w:val="single"/>
                </w:rPr>
                <w:t>, 202</w:t>
              </w:r>
            </w:hyperlink>
            <w:hyperlink w:anchor="i49ca28555aa34b97aa8918fb9568d4b6_28">
              <w:r>
                <w:rPr>
                  <w:rStyle w:val="InternetLink"/>
                  <w:rFonts w:ascii="Times New Roman;sans-serif" w:hAnsi="Times New Roman;sans-serif"/>
                  <w:b w:val="false"/>
                  <w:color w:val="000080"/>
                  <w:sz w:val="20"/>
                  <w:u w:val="single"/>
                </w:rPr>
                <w:t>2</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28">
              <w:r>
                <w:rPr>
                  <w:rStyle w:val="InternetLink"/>
                  <w:rFonts w:ascii="Times New Roman;sans-serif" w:hAnsi="Times New Roman;sans-serif"/>
                  <w:b w:val="false"/>
                  <w:color w:val="0000FF"/>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34">
              <w:r>
                <w:rPr>
                  <w:rStyle w:val="InternetLink"/>
                  <w:rFonts w:ascii="Times New Roman;sans-serif" w:hAnsi="Times New Roman;sans-serif"/>
                  <w:b w:val="false"/>
                  <w:color w:val="0000FF"/>
                  <w:sz w:val="20"/>
                  <w:u w:val="single"/>
                </w:rPr>
                <w:t>Notes to Condensed Consolidated Financial Statements</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34">
              <w:r>
                <w:rPr>
                  <w:rStyle w:val="InternetLink"/>
                  <w:rFonts w:ascii="Times New Roman;sans-serif" w:hAnsi="Times New Roman;sans-serif"/>
                  <w:b w:val="false"/>
                  <w:color w:val="0000FF"/>
                  <w:sz w:val="20"/>
                  <w:u w:val="single"/>
                </w:rPr>
                <w:t>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10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100">
              <w:r>
                <w:rPr>
                  <w:rStyle w:val="InternetLink"/>
                  <w:rFonts w:ascii="Times New Roman;sans-serif" w:hAnsi="Times New Roman;sans-serif"/>
                  <w:b w:val="false"/>
                  <w:color w:val="0000FF"/>
                  <w:sz w:val="20"/>
                  <w:u w:val="single"/>
                </w:rPr>
                <w:t>25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133">
              <w:r>
                <w:rPr>
                  <w:rStyle w:val="InternetLink"/>
                  <w:rFonts w:ascii="Times New Roman;sans-serif" w:hAnsi="Times New Roman;sans-serif"/>
                  <w:b w:val="false"/>
                  <w:color w:val="0000FF"/>
                  <w:sz w:val="20"/>
                  <w:u w:val="single"/>
                </w:rPr>
                <w:t>Quantitative and Qualitative Disclosures About Market Risk</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133">
              <w:r>
                <w:rPr>
                  <w:rStyle w:val="InternetLink"/>
                  <w:rFonts w:ascii="Times New Roman;sans-serif" w:hAnsi="Times New Roman;sans-serif"/>
                  <w:b w:val="false"/>
                  <w:color w:val="0000FF"/>
                  <w:sz w:val="20"/>
                  <w:u w:val="single"/>
                </w:rPr>
                <w:t>44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136">
              <w:r>
                <w:rPr>
                  <w:rStyle w:val="InternetLink"/>
                  <w:rFonts w:ascii="Times New Roman;sans-serif" w:hAnsi="Times New Roman;sans-serif"/>
                  <w:b w:val="false"/>
                  <w:color w:val="0000FF"/>
                  <w:sz w:val="20"/>
                  <w:u w:val="single"/>
                </w:rPr>
                <w:t>Controls and Procedures</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136">
              <w:r>
                <w:rPr>
                  <w:rStyle w:val="InternetLink"/>
                  <w:rFonts w:ascii="Times New Roman;sans-serif" w:hAnsi="Times New Roman;sans-serif"/>
                  <w:b w:val="false"/>
                  <w:color w:val="0000FF"/>
                  <w:sz w:val="20"/>
                  <w:u w:val="single"/>
                </w:rPr>
                <w:t>45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139">
              <w:r>
                <w:rPr>
                  <w:rStyle w:val="InternetLink"/>
                  <w:rFonts w:ascii="Times New Roman;sans-serif" w:hAnsi="Times New Roman;sans-serif"/>
                  <w:b w:val="false"/>
                  <w:color w:val="0000FF"/>
                  <w:sz w:val="20"/>
                  <w:u w:val="single"/>
                </w:rPr>
                <w:t>OTHER INFORMATION</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139">
              <w:r>
                <w:rPr>
                  <w:rStyle w:val="InternetLink"/>
                  <w:rFonts w:ascii="Times New Roman;sans-serif" w:hAnsi="Times New Roman;sans-serif"/>
                  <w:b w:val="false"/>
                  <w:color w:val="0000FF"/>
                  <w:sz w:val="20"/>
                  <w:u w:val="single"/>
                </w:rPr>
                <w:t>46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142">
              <w:r>
                <w:rPr>
                  <w:rStyle w:val="InternetLink"/>
                  <w:rFonts w:ascii="Times New Roman;sans-serif" w:hAnsi="Times New Roman;sans-serif"/>
                  <w:b w:val="false"/>
                  <w:color w:val="0000FF"/>
                  <w:sz w:val="20"/>
                  <w:u w:val="single"/>
                </w:rPr>
                <w:t>Legal Proceedings</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142">
              <w:r>
                <w:rPr>
                  <w:rStyle w:val="InternetLink"/>
                  <w:rFonts w:ascii="Times New Roman;sans-serif" w:hAnsi="Times New Roman;sans-serif"/>
                  <w:b w:val="false"/>
                  <w:color w:val="0000FF"/>
                  <w:sz w:val="20"/>
                  <w:u w:val="single"/>
                </w:rPr>
                <w:t>46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145">
              <w:r>
                <w:rPr>
                  <w:rStyle w:val="InternetLink"/>
                  <w:rFonts w:ascii="Times New Roman;sans-serif" w:hAnsi="Times New Roman;sans-serif"/>
                  <w:b w:val="false"/>
                  <w:color w:val="0000FF"/>
                  <w:sz w:val="20"/>
                  <w:u w:val="single"/>
                </w:rPr>
                <w:t>Risk Factors</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145">
              <w:r>
                <w:rPr>
                  <w:rStyle w:val="InternetLink"/>
                  <w:rFonts w:ascii="Times New Roman;sans-serif" w:hAnsi="Times New Roman;sans-serif"/>
                  <w:b w:val="false"/>
                  <w:color w:val="0000FF"/>
                  <w:sz w:val="20"/>
                  <w:u w:val="single"/>
                </w:rPr>
                <w:t>46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148">
              <w:r>
                <w:rPr>
                  <w:rStyle w:val="InternetLink"/>
                  <w:rFonts w:ascii="Times New Roman;sans-serif" w:hAnsi="Times New Roman;sans-serif"/>
                  <w:b w:val="false"/>
                  <w:color w:val="0000FF"/>
                  <w:sz w:val="20"/>
                  <w:u w:val="single"/>
                </w:rPr>
                <w:t>Unregistered Sales of Equity Securities and Use of Proceeds</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148">
              <w:r>
                <w:rPr>
                  <w:rStyle w:val="InternetLink"/>
                  <w:rFonts w:ascii="Times New Roman;sans-serif" w:hAnsi="Times New Roman;sans-serif"/>
                  <w:b w:val="false"/>
                  <w:color w:val="0000FF"/>
                  <w:sz w:val="20"/>
                  <w:u w:val="single"/>
                </w:rPr>
                <w:t>46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151">
              <w:r>
                <w:rPr>
                  <w:rStyle w:val="InternetLink"/>
                  <w:rFonts w:ascii="Times New Roman;sans-serif" w:hAnsi="Times New Roman;sans-serif"/>
                  <w:b w:val="false"/>
                  <w:color w:val="0000FF"/>
                  <w:sz w:val="20"/>
                  <w:u w:val="single"/>
                </w:rPr>
                <w:t>Exhibits</w:t>
              </w:r>
            </w:hyperlink>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151">
              <w:r>
                <w:rPr>
                  <w:rStyle w:val="InternetLink"/>
                  <w:rFonts w:ascii="Times New Roman;sans-serif" w:hAnsi="Times New Roman;sans-serif"/>
                  <w:b w:val="false"/>
                  <w:color w:val="0000FF"/>
                  <w:sz w:val="20"/>
                  <w:u w:val="single"/>
                </w:rPr>
                <w:t>48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ca28555aa34b97aa8918fb9568d4b6_154">
              <w:r>
                <w:rPr>
                  <w:rStyle w:val="InternetLink"/>
                  <w:rFonts w:ascii="Times New Roman;sans-serif" w:hAnsi="Times New Roman;sans-serif"/>
                  <w:b w:val="false"/>
                  <w:strike w:val="false"/>
                  <w:dstrike w:val="false"/>
                  <w:color w:val="0000FF"/>
                  <w:sz w:val="20"/>
                  <w:u w:val="none"/>
                  <w:effect w:val="none"/>
                </w:rPr>
                <w:t>Signatures</w:t>
              </w:r>
            </w:hyperlink>
          </w:p>
        </w:tc>
        <w:tc>
          <w:tcPr>
            <w:tcW w:w="8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ca28555aa34b97aa8918fb9568d4b6_154">
              <w:r>
                <w:rPr>
                  <w:rStyle w:val="InternetLink"/>
                  <w:rFonts w:ascii="Times New Roman;sans-serif" w:hAnsi="Times New Roman;sans-serif"/>
                  <w:b w:val="false"/>
                  <w:color w:val="0000FF"/>
                  <w:sz w:val="20"/>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Item 1.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right"/>
        <w:tblInd w:w="0" w:type="dxa"/>
        <w:tblLayout w:type="fixed"/>
        <w:tblCellMar>
          <w:top w:w="28" w:type="dxa"/>
          <w:left w:w="28" w:type="dxa"/>
          <w:bottom w:w="28" w:type="dxa"/>
          <w:right w:w="28" w:type="dxa"/>
        </w:tblCellMar>
      </w:tblPr>
      <w:tblGrid>
        <w:gridCol w:w="2904"/>
        <w:gridCol w:w="2009"/>
        <w:gridCol w:w="2014"/>
        <w:gridCol w:w="551"/>
        <w:gridCol w:w="461"/>
        <w:gridCol w:w="470"/>
        <w:gridCol w:w="109"/>
        <w:gridCol w:w="109"/>
        <w:gridCol w:w="109"/>
        <w:gridCol w:w="490"/>
        <w:gridCol w:w="418"/>
        <w:gridCol w:w="561"/>
      </w:tblGrid>
      <w:tr>
        <w:trPr/>
        <w:tc>
          <w:tcPr>
            <w:tcW w:w="2904"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6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326,254</w:t>
            </w:r>
          </w:p>
        </w:tc>
      </w:tr>
      <w:tr>
        <w:trPr/>
        <w:tc>
          <w:tcPr>
            <w:tcW w:w="69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976,506</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23,501</w:t>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1,326,261</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44,969</w:t>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 asset</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78,211</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 development costs, net</w:t>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w:t>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253,501</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978,217</w:t>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2,712,213</w:t>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1,094,321</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21,172</w:t>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Debt, current</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w:t>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1,125,032</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non-current, net of debt issuance costs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674,036 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722,757</w:t>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66,331</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w:t>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1,920,915</w:t>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
              <w:jc w:val="right"/>
              <w:rPr/>
            </w:pPr>
            <w:r>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$0.00001 par value, 10,000 shares authorized at March 31, 2023 and December 31, 2022; 0 shares issued and outstanding at March 31, 2023 and December 31, 2022</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$0.00001 par value; 500,000 shares authorized at March 31, 2023 and December 31, 2022; 135,438 and 134,006 shares issued and outstanding at March 31, 2023 and December 31, 2022</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1,331,517 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1,319,221</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w:t>
            </w:r>
          </w:p>
        </w:tc>
      </w:tr>
      <w:tr>
        <w:trPr/>
        <w:tc>
          <w:tcPr>
            <w:tcW w:w="69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(623,506)</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(524,774)</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791,298</w:t>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2,712,213</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321" w:type="dxa"/>
        <w:jc w:val="left"/>
        <w:tblInd w:w="0" w:type="dxa"/>
        <w:tblLayout w:type="fixed"/>
        <w:tblCellMar>
          <w:top w:w="28" w:type="dxa"/>
          <w:left w:w="28" w:type="dxa"/>
          <w:bottom w:w="28" w:type="dxa"/>
          <w:right w:w="28" w:type="dxa"/>
        </w:tblCellMar>
      </w:tblPr>
      <w:tblGrid>
        <w:gridCol w:w="1801"/>
        <w:gridCol w:w="1591"/>
        <w:gridCol w:w="1603"/>
        <w:gridCol w:w="232"/>
        <w:gridCol w:w="908"/>
        <w:gridCol w:w="119"/>
        <w:gridCol w:w="109"/>
        <w:gridCol w:w="109"/>
        <w:gridCol w:w="109"/>
        <w:gridCol w:w="232"/>
        <w:gridCol w:w="908"/>
        <w:gridCol w:w="119"/>
        <w:gridCol w:w="109"/>
        <w:gridCol w:w="109"/>
        <w:gridCol w:w="109"/>
        <w:gridCol w:w="154"/>
      </w:tblGrid>
      <w:tr>
        <w:trPr/>
        <w:tc>
          <w:tcPr>
            <w:tcW w:w="180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230,645 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157,899 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(100,495)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(99,041)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for income taxes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(98,732)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net loss per share:</w:t>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4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134,667 </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132,236 </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6762" w:type="dxa"/>
        <w:jc w:val="left"/>
        <w:tblInd w:w="0" w:type="dxa"/>
        <w:tblLayout w:type="fixed"/>
        <w:tblCellMar>
          <w:top w:w="28" w:type="dxa"/>
          <w:left w:w="28" w:type="dxa"/>
          <w:bottom w:w="28" w:type="dxa"/>
          <w:right w:w="28" w:type="dxa"/>
        </w:tblCellMar>
      </w:tblPr>
      <w:tblGrid>
        <w:gridCol w:w="1243"/>
        <w:gridCol w:w="1086"/>
        <w:gridCol w:w="1105"/>
        <w:gridCol w:w="238"/>
        <w:gridCol w:w="899"/>
        <w:gridCol w:w="123"/>
        <w:gridCol w:w="109"/>
        <w:gridCol w:w="109"/>
        <w:gridCol w:w="109"/>
        <w:gridCol w:w="238"/>
        <w:gridCol w:w="899"/>
        <w:gridCol w:w="123"/>
        <w:gridCol w:w="109"/>
        <w:gridCol w:w="109"/>
        <w:gridCol w:w="109"/>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(98,732)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(98,365)</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315"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278"/>
        <w:gridCol w:w="278"/>
        <w:gridCol w:w="196"/>
        <w:gridCol w:w="109"/>
        <w:gridCol w:w="109"/>
        <w:gridCol w:w="109"/>
        <w:gridCol w:w="196"/>
        <w:gridCol w:w="571"/>
        <w:gridCol w:w="109"/>
        <w:gridCol w:w="109"/>
        <w:gridCol w:w="109"/>
        <w:gridCol w:w="109"/>
        <w:gridCol w:w="205"/>
        <w:gridCol w:w="773"/>
        <w:gridCol w:w="163"/>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 xml:space="preserve">Comprehensive </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880,757 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stock</w:t>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2022</w:t>
            </w:r>
          </w:p>
        </w:tc>
        <w:tc>
          <w:tcPr>
            <w:tcW w:w="9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837,910 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1000"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203"/>
        <w:gridCol w:w="203"/>
        <w:gridCol w:w="196"/>
        <w:gridCol w:w="109"/>
        <w:gridCol w:w="109"/>
        <w:gridCol w:w="109"/>
        <w:gridCol w:w="196"/>
        <w:gridCol w:w="406"/>
        <w:gridCol w:w="109"/>
        <w:gridCol w:w="109"/>
        <w:gridCol w:w="109"/>
        <w:gridCol w:w="109"/>
        <w:gridCol w:w="205"/>
        <w:gridCol w:w="773"/>
        <w:gridCol w:w="163"/>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 xml:space="preserve">Comprehensive </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791,298 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135,438 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(623,506)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705,229 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94"/>
        <w:gridCol w:w="2337"/>
        <w:gridCol w:w="2343"/>
        <w:gridCol w:w="231"/>
        <w:gridCol w:w="868"/>
        <w:gridCol w:w="128"/>
        <w:gridCol w:w="109"/>
        <w:gridCol w:w="109"/>
        <w:gridCol w:w="109"/>
        <w:gridCol w:w="229"/>
        <w:gridCol w:w="863"/>
        <w:gridCol w:w="185"/>
      </w:tblGrid>
      <w:tr>
        <w:trPr/>
        <w:tc>
          <w:tcPr>
            <w:tcW w:w="2694"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7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7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provided by operating activities:</w:t>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intangible assets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debt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property and equipment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(gain) loss,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items, net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 of business acquisitions:</w:t>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(141,068)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(141,312)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(30,893)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 use software development costs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Mergers and acquisitions, net of cash acquired</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(31,321)</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debt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Convertible Senior Notes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(40,828)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financing lease</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stock</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indemnification claims holdback</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(16,388)</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CASH EQUIVALENTS AND RESTRICTED CASH</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(89,904)</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(25,809)</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period</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326,502 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230,693 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End of period</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236,598 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204,884 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57"/>
        <w:gridCol w:w="2337"/>
        <w:gridCol w:w="2341"/>
        <w:gridCol w:w="224"/>
        <w:gridCol w:w="843"/>
        <w:gridCol w:w="125"/>
        <w:gridCol w:w="109"/>
        <w:gridCol w:w="109"/>
        <w:gridCol w:w="109"/>
        <w:gridCol w:w="224"/>
        <w:gridCol w:w="843"/>
        <w:gridCol w:w="125"/>
        <w:gridCol w:w="159"/>
      </w:tblGrid>
      <w:tr>
        <w:trPr/>
        <w:tc>
          <w:tcPr>
            <w:tcW w:w="2657"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59" w:type="dxa"/>
            <w:tcBorders/>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CASH EQUIVALENTS AND RESTRICTED CASH TO CONSOLIDATED BALANCE SHEETS</w:t>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assets,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236,598 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204,884 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OTHER CASH FLOW INFORMATION:</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assets financed by accounts payable and accrued expenses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stock-based compensation</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obtained in exchange for operating lease liabilities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consideration - indemnification claims holdback</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Note 1—Organization and Summary of Significant Accounting Policies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 ("Magnite" or the "Company") was formed in Delaware and began operations on April 20, 2007. On April 1, 2020, Magnite completed a stock-for-stock merger with Telaria, Inc. ("Telaria" and such merger the "Telaria Merger"), a leading sell-side advertising platform and provider of connected television ("CTV") technology. On April 30, 2021, the Company completed its acquisition of SpotX, Inc. ("SpotX" and such acquisition the "SpotX Acquisition"), a leading CTV and video advertising platform. On July 1, 2021, the Company completed its acquisition of SpringServe, LLC ("SpringServe" and such acquisition the "SpringServe Acquisition"), a leading ad serving platform for CTV. Magnite has its principal offices in New York City, Los Angeles, Denver, London, and Sydney, and additional offices in Europe, Asia, North America, and South America.</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a technology solution to automate the purchase and sale of digital advertising inventory for buyers and sellers globally, across all channels, formats and auction types.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and Summary of Significant Accounting Policies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accordance with accounting principles generally accepted in the United States of America,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months ended March 31, 2023 are not necessarily indicative of the results that may be expected for any future interim period, the year ending December 31, 2023, or for any future year.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at December 31, 2022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2022 included in its 2022 Annual Report on Form 10-K.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the Company's accounting policies from those disclosed in its audited consolidated financial statements and notes thereto for the year ended December 31, 2022 included in its Annual Report on Form 10-K.</w:t>
      </w:r>
    </w:p>
    <w:p>
      <w:pPr>
        <w:pStyle w:val="TextBody"/>
        <w:bidi w:val="0"/>
        <w:spacing w:lineRule="auto" w:line="288" w:before="1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The preparation of condensed consolidated financial statements in conformity with GAAP requires management to make estimates and assumptions that affect the reported and disclosed financial statements and accompanying footnotes. Due to the economic uncertainty of macroeconomic challenges, such as inflation, global conflict, capital market disruptions and instability of financial institutions, the occurrence of a recession, and other macroeconomic factors, it has become more difficult to apply certain assumptions and judgments into these estimates. </w:t>
      </w:r>
      <w:r>
        <w:rPr>
          <w:rFonts w:ascii="Times New Roman;sans-serif" w:hAnsi="Times New Roman;sans-serif"/>
          <w:b w:val="false"/>
          <w:color w:val="212529"/>
          <w:sz w:val="20"/>
        </w:rPr>
        <w:t>The extent of the impact of these factors on the Company's operational and financial performance will depend on future developments, which are highly uncertain and cannot be predicted, including but not limited to the duration and how quickly and to what extent normal economic and operating conditions can resume. During the three months ended March 31, 2023, this uncertainty continued to result in a higher level of judgment related to its estimates and assumptions. As of the date of issuance of the condensed consolidated financial statements for the three months ended March 31, 2023,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materially from these estimates.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Standards </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In October 2021, the FASB issued ASU 2021-08, Business Combinations (Topic 805) – </w:t>
      </w:r>
      <w:r>
        <w:rPr>
          <w:rFonts w:ascii="Times New Roman;sans-serif" w:hAnsi="Times New Roman;sans-serif"/>
          <w:b w:val="false"/>
          <w:i/>
          <w:color w:val="000000"/>
          <w:sz w:val="20"/>
        </w:rPr>
        <w:t>Accounting for Contract Assets and Contract Liabilities from Contracts with Customers</w:t>
      </w:r>
      <w:r>
        <w:rPr>
          <w:color w:val="000000"/>
        </w:rPr>
        <w:t xml:space="preserve"> </w:t>
      </w:r>
      <w:r>
        <w:rPr>
          <w:rFonts w:ascii="Times New Roman;sans-serif" w:hAnsi="Times New Roman;sans-serif"/>
          <w:b w:val="false"/>
          <w:color w:val="000000"/>
          <w:sz w:val="20"/>
        </w:rPr>
        <w:t xml:space="preserve">("ASU 2021-08"). ASU 2021-08 requires the recognition and measurement of contract assets and contract liabilities acquired in a business combination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Considerations to determine the amount of contract assets and contract liabilities to record at the acquisition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include the terms of the acquired contract, such as timing of payment, identification of each performance obligation in the contract and allocation of the contract transaction price to each identified performance obligation on a relative standalone selling price basis as of contract inception. ASU 2021-08 is effective for the Company beginning in the first quarter of 2023. The Company adopted this standard January 1, 2023 and will apply the guidance to future acquisitions, if any.</w:t>
      </w:r>
    </w:p>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Note 2—Net Loss Per Share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basic and diluted net loss per share: </w:t>
      </w:r>
    </w:p>
    <w:tbl>
      <w:tblPr>
        <w:tblW w:w="10157" w:type="dxa"/>
        <w:jc w:val="left"/>
        <w:tblInd w:w="0" w:type="dxa"/>
        <w:tblLayout w:type="fixed"/>
        <w:tblCellMar>
          <w:top w:w="28" w:type="dxa"/>
          <w:left w:w="28" w:type="dxa"/>
          <w:bottom w:w="28" w:type="dxa"/>
          <w:right w:w="28" w:type="dxa"/>
        </w:tblCellMar>
      </w:tblPr>
      <w:tblGrid>
        <w:gridCol w:w="2429"/>
        <w:gridCol w:w="2136"/>
        <w:gridCol w:w="2155"/>
        <w:gridCol w:w="238"/>
        <w:gridCol w:w="899"/>
        <w:gridCol w:w="123"/>
        <w:gridCol w:w="109"/>
        <w:gridCol w:w="109"/>
        <w:gridCol w:w="109"/>
        <w:gridCol w:w="238"/>
        <w:gridCol w:w="899"/>
        <w:gridCol w:w="123"/>
        <w:gridCol w:w="109"/>
        <w:gridCol w:w="109"/>
        <w:gridCol w:w="109"/>
        <w:gridCol w:w="109"/>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590" w:type="dxa"/>
            <w:gridSpan w:val="5"/>
            <w:tcBorders/>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Loss Per Share:</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(98,732)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used to compute net loss per share</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134,667 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weighted-average shares have been excluded from the calculation of diluted net loss per share attributable to common stockholders for each period presented because they are anti-dilutive: </w:t>
      </w:r>
    </w:p>
    <w:tbl>
      <w:tblPr>
        <w:tblW w:w="7319" w:type="dxa"/>
        <w:jc w:val="center"/>
        <w:tblInd w:w="0" w:type="dxa"/>
        <w:tblLayout w:type="fixed"/>
        <w:tblCellMar>
          <w:top w:w="28" w:type="dxa"/>
          <w:left w:w="28" w:type="dxa"/>
          <w:bottom w:w="28" w:type="dxa"/>
          <w:right w:w="28" w:type="dxa"/>
        </w:tblCellMar>
      </w:tblPr>
      <w:tblGrid>
        <w:gridCol w:w="1350"/>
        <w:gridCol w:w="1190"/>
        <w:gridCol w:w="1195"/>
        <w:gridCol w:w="419"/>
        <w:gridCol w:w="419"/>
        <w:gridCol w:w="421"/>
        <w:gridCol w:w="195"/>
        <w:gridCol w:w="195"/>
        <w:gridCol w:w="195"/>
        <w:gridCol w:w="419"/>
        <w:gridCol w:w="419"/>
        <w:gridCol w:w="421"/>
        <w:gridCol w:w="109"/>
        <w:gridCol w:w="109"/>
        <w:gridCol w:w="109"/>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performance stock units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shares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net loss per share</w:t>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11,422 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Company excluded outstanding performance stock units from the calculation of diluted net loss per share because they were anti-dilutive. As of March 31, 2023, the performance stock units granted in 2020, 2021, 2022, and 2023 had expected achievement levels of 94%, 0%, 54% and 29%, respectively. As of March 31, 2022, the performance stock units granted in 2020, 2021, and 2022 had expected achievement levels of 121%, 0%, and 51% respectively. Refer to Note 9—"Stock-Based Compensation" for additional information related to performance stock units.</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For the three months ended March 31, 2023 and March 31, 2022, shares that would be issuable assuming conversion of all of the Convertible Senior Notes (as defined in Note 13) were excluded from the calculation of diluted loss per share because they were anti-dilutive. Diluted earnings per share for the Convertible Senior Notes is calculated under the if-converted method in accordance with ASC 260,</w:t>
      </w:r>
      <w:r>
        <w:rPr>
          <w:color w:val="000000"/>
        </w:rPr>
        <w:t xml:space="preserve">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The Convertible Senior Notes have an initial conversion rate of 15.6539 shares of common stock per $1,000 principal amount of the Convertible Senior Notes, which will be subject to anti-dilution adjustments in certain circumstances. As of March 31, 2023 and 2022, the number of shares that would be issuable assuming conversion of all of the Convertible Senior Notes is approximately 5,474,952 and 6,261,560, respectively. Refer to Note 13—"Debt" for additional information related to accounting for Convertible Senior Notes issued and associated Capped Call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3—Revenue</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Company's revenue recognized on a net basis and on a gross basis for the three months ended March 31,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tbl>
      <w:tblPr>
        <w:tblW w:w="6683" w:type="dxa"/>
        <w:jc w:val="left"/>
        <w:tblInd w:w="0" w:type="dxa"/>
        <w:tblLayout w:type="fixed"/>
        <w:tblCellMar>
          <w:top w:w="28" w:type="dxa"/>
          <w:left w:w="28" w:type="dxa"/>
          <w:bottom w:w="28" w:type="dxa"/>
          <w:right w:w="28" w:type="dxa"/>
        </w:tblCellMar>
      </w:tblPr>
      <w:tblGrid>
        <w:gridCol w:w="368"/>
        <w:gridCol w:w="325"/>
        <w:gridCol w:w="326"/>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109"/>
        <w:gridCol w:w="109"/>
        <w:gridCol w:w="109"/>
        <w:gridCol w:w="109"/>
        <w:gridCol w:w="154"/>
      </w:tblGrid>
      <w:tr>
        <w:trPr/>
        <w:tc>
          <w:tcPr>
            <w:tcW w:w="3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basis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by channel for the three months ended March 31, 2023 and 2022:</w:t>
      </w:r>
    </w:p>
    <w:tbl>
      <w:tblPr>
        <w:tblW w:w="6534" w:type="dxa"/>
        <w:jc w:val="left"/>
        <w:tblInd w:w="0" w:type="dxa"/>
        <w:tblLayout w:type="fixed"/>
        <w:tblCellMar>
          <w:top w:w="28" w:type="dxa"/>
          <w:left w:w="28" w:type="dxa"/>
          <w:bottom w:w="28" w:type="dxa"/>
          <w:right w:w="28" w:type="dxa"/>
        </w:tblCellMar>
      </w:tblPr>
      <w:tblGrid>
        <w:gridCol w:w="315"/>
        <w:gridCol w:w="277"/>
        <w:gridCol w:w="278"/>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109"/>
        <w:gridCol w:w="109"/>
        <w:gridCol w:w="109"/>
        <w:gridCol w:w="109"/>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Desktop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jc w:val="left"/>
        <w:rPr>
          <w:color w:val="000000"/>
        </w:rPr>
      </w:pPr>
      <w:r>
        <w:rPr>
          <w:color w:val="000000"/>
        </w:rPr>
        <w:t>    </w:t>
      </w:r>
      <w:r>
        <w:rPr>
          <w:rFonts w:ascii="Times New Roman;sans-serif" w:hAnsi="Times New Roman;sans-serif"/>
          <w:b w:val="false"/>
          <w:color w:val="000000"/>
          <w:sz w:val="20"/>
        </w:rPr>
        <w:t>The following table presents the Company's revenue disaggregated by geographic location, based on the location of the Company's sellers for the three months ended March 31, 2023 and 2022:</w:t>
      </w:r>
    </w:p>
    <w:tbl>
      <w:tblPr>
        <w:tblW w:w="4525" w:type="dxa"/>
        <w:jc w:val="left"/>
        <w:tblInd w:w="0" w:type="dxa"/>
        <w:tblLayout w:type="fixed"/>
        <w:tblCellMar>
          <w:top w:w="28" w:type="dxa"/>
          <w:left w:w="28" w:type="dxa"/>
          <w:bottom w:w="28" w:type="dxa"/>
          <w:right w:w="28" w:type="dxa"/>
        </w:tblCellMar>
      </w:tblPr>
      <w:tblGrid>
        <w:gridCol w:w="435"/>
        <w:gridCol w:w="381"/>
        <w:gridCol w:w="383"/>
        <w:gridCol w:w="232"/>
        <w:gridCol w:w="908"/>
        <w:gridCol w:w="119"/>
        <w:gridCol w:w="109"/>
        <w:gridCol w:w="109"/>
        <w:gridCol w:w="109"/>
        <w:gridCol w:w="232"/>
        <w:gridCol w:w="908"/>
        <w:gridCol w:w="11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130,150 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75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 </w:t>
      </w:r>
    </w:p>
    <w:p>
      <w:pPr>
        <w:pStyle w:val="TextBody"/>
        <w:bidi w:val="0"/>
        <w:spacing w:lineRule="auto" w:line="288" w:before="1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is presented net of an allowance for doubtful accounts of $1.7 million at March 31, 2023, and $1.1 million at December 31, 2022. Accounts receivable are written off against the allowance for doubtful accounts when the Company determines amounts are no longer collectible. </w:t>
      </w:r>
    </w:p>
    <w:p>
      <w:pPr>
        <w:pStyle w:val="TextBody"/>
        <w:bidi w:val="0"/>
        <w:spacing w:lineRule="auto" w:line="288" w:before="1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$1.1 million and $0.6 million as of March 31, 2023 and December 31,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activity in the allowance for doubtful accounts for the three months ended March 31, 2023 and 2022:</w:t>
      </w:r>
    </w:p>
    <w:tbl>
      <w:tblPr>
        <w:tblW w:w="8081" w:type="dxa"/>
        <w:jc w:val="left"/>
        <w:tblInd w:w="0" w:type="dxa"/>
        <w:tblLayout w:type="fixed"/>
        <w:tblCellMar>
          <w:top w:w="28" w:type="dxa"/>
          <w:left w:w="28" w:type="dxa"/>
          <w:bottom w:w="28" w:type="dxa"/>
          <w:right w:w="28" w:type="dxa"/>
        </w:tblCellMar>
      </w:tblPr>
      <w:tblGrid>
        <w:gridCol w:w="1723"/>
        <w:gridCol w:w="1511"/>
        <w:gridCol w:w="1521"/>
        <w:gridCol w:w="284"/>
        <w:gridCol w:w="829"/>
        <w:gridCol w:w="146"/>
        <w:gridCol w:w="109"/>
        <w:gridCol w:w="109"/>
        <w:gridCol w:w="109"/>
        <w:gridCol w:w="284"/>
        <w:gridCol w:w="829"/>
        <w:gridCol w:w="146"/>
        <w:gridCol w:w="109"/>
        <w:gridCol w:w="109"/>
        <w:gridCol w:w="109"/>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beginning balance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provision for expected credit losses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of previous write-offs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ending balance</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provision for expected credit losses associated with accounts receivable increased by $0.6 million, offset by increases of contra seller payables related to recoveries of uncollected buyer receivables of $0.5 million, which resulted in $0.1 million of bad debt expense. During the three months ended March 31, 2022, the provision for expected credit losses associated with accounts receivable decreased by $1.5 million, offset by decreases of contra seller payables related to recoveries of uncollected buyer receivables of an $0.9 million amount, which resulted in $0.6 million of bad debt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4—Fair Value Measurements </w:t>
      </w:r>
    </w:p>
    <w:p>
      <w:pPr>
        <w:pStyle w:val="TextBody"/>
        <w:bidi w:val="0"/>
        <w:spacing w:lineRule="auto" w:line="288" w:before="100" w:after="120"/>
        <w:ind w:left="0" w:right="0" w:firstLine="720"/>
        <w:jc w:val="left"/>
        <w:rPr/>
      </w:pPr>
      <w:r>
        <w:rPr>
          <w:rFonts w:ascii="Times New Roman;sans-serif" w:hAnsi="Times New Roman;sans-serif"/>
          <w:b/>
          <w:i/>
          <w:color w:val="000000"/>
          <w:sz w:val="20"/>
        </w:rPr>
        <w:t>Recurring Fair Value Measurements</w:t>
      </w:r>
      <w:r>
        <w:rPr>
          <w:color w:val="000000"/>
        </w:rPr>
        <w: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 </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Level 1 – Quoted prices (unadjusted) in active markets for identical assets or liabilities that the Company has the ability to access at the measurement date.</w:t>
      </w:r>
    </w:p>
    <w:p>
      <w:pPr>
        <w:pStyle w:val="TextBody"/>
        <w:bidi w:val="0"/>
        <w:spacing w:lineRule="auto" w:line="288" w:before="100" w:after="283"/>
        <w:ind w:left="0" w:right="0" w:hanging="540"/>
        <w:jc w:val="left"/>
        <w:rPr/>
      </w:pPr>
      <w:r>
        <w:rPr>
          <w:color w:val="000000"/>
        </w:rPr>
        <w:t>•</w:t>
      </w:r>
      <w:r>
        <w:rPr>
          <w:rFonts w:ascii="Times New Roman;sans-serif" w:hAnsi="Times New Roman;sans-serif"/>
          <w:b w:val="false"/>
          <w:color w:val="000000"/>
          <w:sz w:val="20"/>
        </w:rPr>
        <w:t>Level 2 – Inputs other than quoted prices included within Level 1 that are observable for the asset or liability, either directly or indirectly.</w:t>
      </w:r>
    </w:p>
    <w:p>
      <w:pPr>
        <w:pStyle w:val="TextBody"/>
        <w:bidi w:val="0"/>
        <w:spacing w:lineRule="auto" w:line="288" w:before="100" w:after="283"/>
        <w:ind w:left="0" w:right="0" w:hanging="540"/>
        <w:jc w:val="left"/>
        <w:rPr/>
      </w:pPr>
      <w:r>
        <w:rPr>
          <w:color w:val="000000"/>
        </w:rPr>
        <w:t>•</w:t>
      </w:r>
      <w:r>
        <w:rPr>
          <w:rFonts w:ascii="Times New Roman;sans-serif" w:hAnsi="Times New Roman;sans-serif"/>
          <w:b w:val="false"/>
          <w:color w:val="000000"/>
          <w:sz w:val="20"/>
        </w:rPr>
        <w:t>Level 3 – Unobservable inputs.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a summary of financial instruments that are measured at fair value on a recurring basis at March 31, 2023:</w:t>
      </w:r>
    </w:p>
    <w:tbl>
      <w:tblPr>
        <w:tblW w:w="8214" w:type="dxa"/>
        <w:jc w:val="center"/>
        <w:tblInd w:w="0" w:type="dxa"/>
        <w:tblLayout w:type="fixed"/>
        <w:tblCellMar>
          <w:top w:w="28" w:type="dxa"/>
          <w:left w:w="28" w:type="dxa"/>
          <w:bottom w:w="28" w:type="dxa"/>
          <w:right w:w="28" w:type="dxa"/>
        </w:tblCellMar>
      </w:tblPr>
      <w:tblGrid>
        <w:gridCol w:w="548"/>
        <w:gridCol w:w="481"/>
        <w:gridCol w:w="485"/>
        <w:gridCol w:w="211"/>
        <w:gridCol w:w="721"/>
        <w:gridCol w:w="109"/>
        <w:gridCol w:w="109"/>
        <w:gridCol w:w="109"/>
        <w:gridCol w:w="109"/>
        <w:gridCol w:w="310"/>
        <w:gridCol w:w="1060"/>
        <w:gridCol w:w="160"/>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a summary of financial instruments that are measured at fair value on a recurring basis at December 31, 2022:</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and December 31, 2022, cash equivalents of $22.6 million and $259.6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Company had Convertible Senior Notes and its Term Loan B Facility (as defined in Note 13) included in its balance sheets. The estimated fair value of the Company's Convertible Senior Notes was $282.4 million and $305.0 million as of March 31, 2023 and December 31, 2022, respectively. The estimated fair value of Convertible Senior Notes is based on market rates and the closing trading price of the Convertible Senior Notes as of March 31, 2023 and December 31, 2022 and is classified as Level 2 in the fair value hierarchy. At March 31, 2023 and December 31, 2022, the estimated fair value of the Company's Term Loan B Facility was $341.3 million and $333.3 million, respectively. The estimated fair value is based on borrowing rates currently available to the Company for financing with similar terms and is classified as Level 2 in the fair value hierarchy.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fair value measurements during the three months ended March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5—Other Balance Sheet Amounts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included the following:</w:t>
      </w:r>
    </w:p>
    <w:tbl>
      <w:tblPr>
        <w:tblW w:w="6761" w:type="dxa"/>
        <w:jc w:val="left"/>
        <w:tblInd w:w="0" w:type="dxa"/>
        <w:tblLayout w:type="fixed"/>
        <w:tblCellMar>
          <w:top w:w="28" w:type="dxa"/>
          <w:left w:w="28" w:type="dxa"/>
          <w:bottom w:w="28" w:type="dxa"/>
          <w:right w:w="28" w:type="dxa"/>
        </w:tblCellMar>
      </w:tblPr>
      <w:tblGrid>
        <w:gridCol w:w="1315"/>
        <w:gridCol w:w="1156"/>
        <w:gridCol w:w="1159"/>
        <w:gridCol w:w="232"/>
        <w:gridCol w:w="908"/>
        <w:gridCol w:w="119"/>
        <w:gridCol w:w="109"/>
        <w:gridCol w:w="109"/>
        <w:gridCol w:w="109"/>
        <w:gridCol w:w="243"/>
        <w:gridCol w:w="1125"/>
        <w:gridCol w:w="177"/>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payable—seller</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1,057,556 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payable—trade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employee-related payables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holdback - indemnification claims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950,405 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1,094,321 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6—Goodwill, Intangible Assets, Internal Use Software Development Costs, and Capitalized Costs Incurred in Cloud Computing Arrangements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goodwill balance as of March 31, 2023 and December 31, 2022 was $978.2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intangible assets as of March 31, 2023 and December 31, 2022 included the following:</w:t>
      </w:r>
    </w:p>
    <w:tbl>
      <w:tblPr>
        <w:tblW w:w="7389" w:type="dxa"/>
        <w:jc w:val="left"/>
        <w:tblInd w:w="0" w:type="dxa"/>
        <w:tblLayout w:type="fixed"/>
        <w:tblCellMar>
          <w:top w:w="28" w:type="dxa"/>
          <w:left w:w="28" w:type="dxa"/>
          <w:bottom w:w="28" w:type="dxa"/>
          <w:right w:w="28" w:type="dxa"/>
        </w:tblCellMar>
      </w:tblPr>
      <w:tblGrid>
        <w:gridCol w:w="1544"/>
        <w:gridCol w:w="1353"/>
        <w:gridCol w:w="1362"/>
        <w:gridCol w:w="232"/>
        <w:gridCol w:w="908"/>
        <w:gridCol w:w="119"/>
        <w:gridCol w:w="109"/>
        <w:gridCol w:w="109"/>
        <w:gridCol w:w="109"/>
        <w:gridCol w:w="273"/>
        <w:gridCol w:w="1072"/>
        <w:gridCol w:w="199"/>
      </w:tblGrid>
      <w:tr>
        <w:trPr/>
        <w:tc>
          <w:tcPr>
            <w:tcW w:w="154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390,136 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 gross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540,666 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amortization—intangible assets:</w:t>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(254,521)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(184,439)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amortization—intangible assets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(373,594)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(287,165)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 net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167,072 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253,501 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 assets for the three months ended March 31, 2023 and 2022 was $86.4 million and $38.5 million, respectively. During the first quarter of 2022, the Company abandoned certain in-process research and development projects and technology intangible assets. The abandonment resulted in $3.3 million of impairment costs in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2022, which was included within merger, acquisition, and restructuring costs in the condensed consolidated statement of operations.</w:t>
      </w:r>
    </w:p>
    <w:p>
      <w:pPr>
        <w:pStyle w:val="TextBody"/>
        <w:bidi w:val="0"/>
        <w:spacing w:lineRule="auto" w:line="268" w:before="0" w:after="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the Company reassessed the remaining estimated useful lives of the developed technology and in-process research and development related to the SpotX acquisition based on the remaining expected benefit from those assets. The change in the remaining estimated useful lives for developed technology and in-process research and development resulted in increased amortization expense of $52.1 million for the three months ended March 31, 2023. The increased amortization expense increased the basic and diluted loss per share by $0.38, net of tax, for the three months ended March 31, 2023.</w:t>
      </w:r>
    </w:p>
    <w:p>
      <w:pPr>
        <w:pStyle w:val="TextBody"/>
        <w:bidi w:val="0"/>
        <w:spacing w:lineRule="auto" w:line="288" w:before="100" w:after="12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remaining amortization expense associated with the Company's intangible assets was as follows as of March 31, 2023:</w:t>
      </w:r>
    </w:p>
    <w:tbl>
      <w:tblPr>
        <w:tblW w:w="2676" w:type="dxa"/>
        <w:jc w:val="left"/>
        <w:tblInd w:w="0" w:type="dxa"/>
        <w:tblLayout w:type="fixed"/>
        <w:tblCellMar>
          <w:top w:w="28" w:type="dxa"/>
          <w:left w:w="28" w:type="dxa"/>
          <w:bottom w:w="28" w:type="dxa"/>
          <w:right w:w="28" w:type="dxa"/>
        </w:tblCellMar>
      </w:tblPr>
      <w:tblGrid>
        <w:gridCol w:w="537"/>
        <w:gridCol w:w="471"/>
        <w:gridCol w:w="477"/>
        <w:gridCol w:w="211"/>
        <w:gridCol w:w="82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internal use software development costs associated with creating and enhancing internally developed software related to the Company’s technology infrastructure. During the fourth quarter of 2022, the Company reassessed the remaining estimated useful lives of capitalized software projects related to integration of its technology platforms. The change in the remaining estimated useful lives for the related projects resulted in increased amortization expense of $1.1 million for the three months ended March 31, 2023. The increased amortization expense increased the basic and diluted loss per share by $0.01, net of tax, for the three months ended March 31, 2023.</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costs related to arrangements for infrastructure as a service, platform as a service, and software as a service. As of March 31, 2023 and December 31, 2022, capitalized costs associated with these arrangements was included within prepaid expenses and other current assets in the amounts of $0.7 million and $0.7 million, respectively, and within other assets, non-current in the amounts of $0.4 million and $0.5 million, respectively. The amortization of these agreements was immaterial for the three months ended March 31, 2023 and 2022.</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7—Business Combinations </w:t>
      </w:r>
    </w:p>
    <w:p>
      <w:pPr>
        <w:pStyle w:val="TextBody"/>
        <w:bidi w:val="0"/>
        <w:spacing w:lineRule="auto" w:line="288" w:before="100" w:after="10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2022 Acquisition—Carbon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completed the acquisition of the business of Carbon (AI) Limited ("Carbon" and such acquisition the "Carbon Acquisition"), a platform that enables publishers to measure, manage, and monetize audience segments, in February 2022 for a total purchase price of $23.1 million in cash. Approximately $2.3 million of the purchase price was held back to cover possible indemnification claims, which was subsequently paid out in February 2023. </w:t>
      </w:r>
    </w:p>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8—Merger, Acquisition, and Restructuring Costs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 consist primarily of professional services fees and employee termination costs, including stock-based compensation charges, associated with the Telaria Merger, the SpotX Acquisition, and restructuring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merger, acquisition, and restructuring cost activity (in thousands):</w:t>
      </w:r>
    </w:p>
    <w:tbl>
      <w:tblPr>
        <w:tblW w:w="10205" w:type="dxa"/>
        <w:jc w:val="left"/>
        <w:tblInd w:w="0" w:type="dxa"/>
        <w:tblLayout w:type="fixed"/>
        <w:tblCellMar>
          <w:top w:w="28" w:type="dxa"/>
          <w:left w:w="28" w:type="dxa"/>
          <w:bottom w:w="28" w:type="dxa"/>
          <w:right w:w="28" w:type="dxa"/>
        </w:tblCellMar>
      </w:tblPr>
      <w:tblGrid>
        <w:gridCol w:w="2521"/>
        <w:gridCol w:w="2195"/>
        <w:gridCol w:w="2208"/>
        <w:gridCol w:w="278"/>
        <w:gridCol w:w="813"/>
        <w:gridCol w:w="143"/>
        <w:gridCol w:w="109"/>
        <w:gridCol w:w="109"/>
        <w:gridCol w:w="109"/>
        <w:gridCol w:w="278"/>
        <w:gridCol w:w="813"/>
        <w:gridCol w:w="143"/>
        <w:gridCol w:w="109"/>
        <w:gridCol w:w="109"/>
        <w:gridCol w:w="109"/>
        <w:gridCol w:w="159"/>
      </w:tblGrid>
      <w:tr>
        <w:trPr/>
        <w:tc>
          <w:tcPr>
            <w:tcW w:w="2521"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6" w:type="dxa"/>
            <w:gridSpan w:val="4"/>
            <w:tcBorders/>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(severance and one-time termination benefit costs)</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contracts (facilities related)</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 costs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and equipment, net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 (double-trigger acceleration and severance)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costs of abandoned technology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(investment banking advisory, legal and other professional services)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merger, acquisition, and restructuring costs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the Company incurred costs of $7.5 million and $6.8 million, respectively, related to restructuring activities as a result of the Company's consolidation of its legacy CTV and SpotX CTV platforms following the SpotX Acquisition. During the three months ended March 31, 2023, these activities included the Company's reduction of its global workforce primarily associated with the elimination of duplicative roles and other costs associated with the the consolidation of its platforms, including loss contracts office facilities the Company does not plan to continue to occupy and impairment charges related to certain assets it no longer plans to utilize. During the three months ended March 31, 2022 the Company incurred costs primarily related to restructuring activities following the SpotX Acquisition.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restructuring costs related to mergers and acquisitions were $2.8 million and $1.2 million at March 31, 2023 and December 31, 2022, respectively, and were primarily related the Company's consolidation of its platforms as mentioned above and the Telaria Merger. Accrued restructuring costs associated with personnel costs are included within accounts payable and accrued expenses and accruals related to exit costs are included within other current liabilities and other liabilities, non-current on the Company's condensed consolidated balance sheets. </w:t>
      </w:r>
    </w:p>
    <w:tbl>
      <w:tblPr>
        <w:tblW w:w="5998" w:type="dxa"/>
        <w:jc w:val="left"/>
        <w:tblInd w:w="0" w:type="dxa"/>
        <w:tblLayout w:type="fixed"/>
        <w:tblCellMar>
          <w:top w:w="28" w:type="dxa"/>
          <w:left w:w="28" w:type="dxa"/>
          <w:bottom w:w="28" w:type="dxa"/>
          <w:right w:w="28" w:type="dxa"/>
        </w:tblCellMar>
      </w:tblPr>
      <w:tblGrid>
        <w:gridCol w:w="1750"/>
        <w:gridCol w:w="1538"/>
        <w:gridCol w:w="1541"/>
        <w:gridCol w:w="251"/>
        <w:gridCol w:w="735"/>
        <w:gridCol w:w="183"/>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costs at December 31, 2022</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and non-cash stock-based compensation</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contracts (facilities related)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 costs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and equipment,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restructuring costs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loss contracts (facilities related)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impairments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costs at March 31, 2023</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9—Stock-Based Compensation</w:t>
      </w:r>
    </w:p>
    <w:p>
      <w:pPr>
        <w:pStyle w:val="TextBody"/>
        <w:bidi w:val="0"/>
        <w:spacing w:lineRule="auto" w:line="288" w:before="2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stock option activity for the three months ended March 31, 2023 is as follows: </w:t>
      </w:r>
    </w:p>
    <w:tbl>
      <w:tblPr>
        <w:tblW w:w="10205" w:type="dxa"/>
        <w:jc w:val="left"/>
        <w:tblInd w:w="0" w:type="dxa"/>
        <w:tblLayout w:type="fixed"/>
        <w:tblCellMar>
          <w:top w:w="28" w:type="dxa"/>
          <w:left w:w="28" w:type="dxa"/>
          <w:bottom w:w="28" w:type="dxa"/>
          <w:right w:w="28" w:type="dxa"/>
        </w:tblCellMar>
      </w:tblPr>
      <w:tblGrid>
        <w:gridCol w:w="768"/>
        <w:gridCol w:w="674"/>
        <w:gridCol w:w="678"/>
        <w:gridCol w:w="544"/>
        <w:gridCol w:w="441"/>
        <w:gridCol w:w="393"/>
        <w:gridCol w:w="109"/>
        <w:gridCol w:w="109"/>
        <w:gridCol w:w="109"/>
        <w:gridCol w:w="414"/>
        <w:gridCol w:w="1209"/>
        <w:gridCol w:w="213"/>
        <w:gridCol w:w="109"/>
        <w:gridCol w:w="109"/>
        <w:gridCol w:w="109"/>
        <w:gridCol w:w="705"/>
        <w:gridCol w:w="705"/>
        <w:gridCol w:w="707"/>
        <w:gridCol w:w="109"/>
        <w:gridCol w:w="109"/>
        <w:gridCol w:w="109"/>
        <w:gridCol w:w="326"/>
        <w:gridCol w:w="1118"/>
        <w:gridCol w:w="169"/>
        <w:gridCol w:w="160"/>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Under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2023</w:t>
            </w:r>
          </w:p>
        </w:tc>
        <w:tc>
          <w:tcPr>
            <w:tcW w:w="9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3,551 </w:t>
            </w:r>
          </w:p>
        </w:tc>
        <w:tc>
          <w:tcPr>
            <w:tcW w:w="3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intrinsic value of options exercised during the three months ended March 31, 2023 was $1.7 million. At March 31, 2023, the Company had unrecognized employee stock-based compensation expense relating to nonvested stock options of approximately $8.3 million, which is expected to be recognized over a weighted-average period of 2.4 years. Total grant date fair value of options vested during the three months ended March 31, 2023 was $2.2 million.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stock options that contain service and/or performance conditions using the Black-Scholes option pricing model. The grant date fair value of options granted during the three months ended March 31, 2023 was $7.27 per share. The weighted-average input assumptions used by the Company were as follows:</w:t>
      </w:r>
    </w:p>
    <w:tbl>
      <w:tblPr>
        <w:tblW w:w="5487" w:type="dxa"/>
        <w:jc w:val="left"/>
        <w:tblInd w:w="0" w:type="dxa"/>
        <w:tblLayout w:type="fixed"/>
        <w:tblCellMar>
          <w:top w:w="28" w:type="dxa"/>
          <w:left w:w="28" w:type="dxa"/>
          <w:bottom w:w="28" w:type="dxa"/>
          <w:right w:w="28" w:type="dxa"/>
        </w:tblCellMar>
      </w:tblPr>
      <w:tblGrid>
        <w:gridCol w:w="755"/>
        <w:gridCol w:w="663"/>
        <w:gridCol w:w="666"/>
        <w:gridCol w:w="281"/>
        <w:gridCol w:w="281"/>
        <w:gridCol w:w="698"/>
        <w:gridCol w:w="134"/>
        <w:gridCol w:w="134"/>
        <w:gridCol w:w="134"/>
        <w:gridCol w:w="281"/>
        <w:gridCol w:w="281"/>
        <w:gridCol w:w="698"/>
        <w:gridCol w:w="109"/>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720"/>
        <w:jc w:val="left"/>
        <w:rPr/>
      </w:pPr>
      <w:r>
        <w:rPr/>
      </w:r>
    </w:p>
    <w:p>
      <w:pPr>
        <w:pStyle w:val="TextBody"/>
        <w:bidi w:val="0"/>
        <w:spacing w:lineRule="auto" w:line="288" w:before="1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restricted stock unit activity for the three months ended March 31, 2023 is as follows: </w:t>
      </w:r>
    </w:p>
    <w:tbl>
      <w:tblPr>
        <w:tblW w:w="9670" w:type="dxa"/>
        <w:jc w:val="left"/>
        <w:tblInd w:w="0" w:type="dxa"/>
        <w:tblLayout w:type="fixed"/>
        <w:tblCellMar>
          <w:top w:w="28" w:type="dxa"/>
          <w:left w:w="28" w:type="dxa"/>
          <w:bottom w:w="28" w:type="dxa"/>
          <w:right w:w="28" w:type="dxa"/>
        </w:tblCellMar>
      </w:tblPr>
      <w:tblGrid>
        <w:gridCol w:w="1706"/>
        <w:gridCol w:w="1500"/>
        <w:gridCol w:w="1504"/>
        <w:gridCol w:w="469"/>
        <w:gridCol w:w="469"/>
        <w:gridCol w:w="471"/>
        <w:gridCol w:w="109"/>
        <w:gridCol w:w="109"/>
        <w:gridCol w:w="109"/>
        <w:gridCol w:w="693"/>
        <w:gridCol w:w="2023"/>
        <w:gridCol w:w="508"/>
      </w:tblGrid>
      <w:tr>
        <w:trPr/>
        <w:tc>
          <w:tcPr>
            <w:tcW w:w="170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at December 31, 2022</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released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at March 31, 2023</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and unvested</w:t>
            </w:r>
          </w:p>
        </w:tc>
        <w:tc>
          <w:tcPr>
            <w:tcW w:w="9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0" w:type="dxa"/>
            <w:gridSpan w:val="12"/>
            <w:tcBorders/>
            <w:shd w:fill="CCEEFF" w:val="clear"/>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March 31, 2023, outstanding restricted stock units included 18,436 units that were vested but deferred.</w:t>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per share of restricted stock units granted during the three months ended March 31, 2023 was $10.72. The intrinsic value of restricted stock units that vested during the three months ended March 31, 2023 was $23.5 million. At March 31, 2023, the intrinsic value of unvested restricted stock units was $130.7 million. At March 31, 2023, the Company had unrecognized stock-based compensation expense relating to unvested restricted stock units of approximately $167.0 million, which is expected to be recognized over a weighted-average period of 3.1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Performance Stock Units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granted performance stock units ("PSU") to select executive employees that vest based on share price metrics tied to total shareholder return relative to a peer group over a three-year period. The grant date fair value for such PSUs was estimated using a Monte-Carlo simulation model that incorporates option-pricing inputs covering the period from the grant date through the end of the performance period. Between 0% and 150% of the performance stock units will vest on the third anniversary of the respective grant date.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additionally granted PSUs to the Company's CEO which are subject to both time-based and performance-based vesting conditions. The PSUs consist of three equal tranches (each, a "Performance Tranche"), based on achievement of a share price condition if the Company achieves share price targets of $60.00, $80.00, and $100.00, respectively, over 60 consecutive trading days during a performance period commencing on August 26, 2022 and ending on August 26, 2026. The grant date fair value for such PSUs was estimated using a Monte-Carlo simulation model that incorporates option-pricing inputs covering the period from the grant date through the end of the performance period. To the extent any of the performance-based requirements are met, the Company's CEO must also provide continued service to the Company through at least August 26, 2024 to receive any shares of common stock underlying the grant and through August 26, 2026 to receive all of the shares of common stock underlying the performance units that have satisfied the applicable performance-based requirement.</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PSUs is based on a performance measurement of 100%. The compensation expense will not be reversed if the performance metrics are not met.</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performance stock units activity for the three months ended March 31, 2023 is as follows:</w:t>
      </w:r>
    </w:p>
    <w:tbl>
      <w:tblPr>
        <w:tblW w:w="7900" w:type="dxa"/>
        <w:jc w:val="left"/>
        <w:tblInd w:w="0" w:type="dxa"/>
        <w:tblLayout w:type="fixed"/>
        <w:tblCellMar>
          <w:top w:w="28" w:type="dxa"/>
          <w:left w:w="28" w:type="dxa"/>
          <w:bottom w:w="28" w:type="dxa"/>
          <w:right w:w="28" w:type="dxa"/>
        </w:tblCellMar>
      </w:tblPr>
      <w:tblGrid>
        <w:gridCol w:w="1065"/>
        <w:gridCol w:w="935"/>
        <w:gridCol w:w="940"/>
        <w:gridCol w:w="469"/>
        <w:gridCol w:w="469"/>
        <w:gridCol w:w="471"/>
        <w:gridCol w:w="109"/>
        <w:gridCol w:w="109"/>
        <w:gridCol w:w="109"/>
        <w:gridCol w:w="693"/>
        <w:gridCol w:w="2023"/>
        <w:gridCol w:w="50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for the PSUs was estimated using a Monte-Carlo simulation model. The weighted-average input assumptions used by the Company were as follows:</w:t>
      </w:r>
    </w:p>
    <w:tbl>
      <w:tblPr>
        <w:tblW w:w="7988" w:type="dxa"/>
        <w:jc w:val="left"/>
        <w:tblInd w:w="0" w:type="dxa"/>
        <w:tblLayout w:type="fixed"/>
        <w:tblCellMar>
          <w:top w:w="28" w:type="dxa"/>
          <w:left w:w="28" w:type="dxa"/>
          <w:bottom w:w="28" w:type="dxa"/>
          <w:right w:w="28" w:type="dxa"/>
        </w:tblCellMar>
      </w:tblPr>
      <w:tblGrid>
        <w:gridCol w:w="1820"/>
        <w:gridCol w:w="1599"/>
        <w:gridCol w:w="1606"/>
        <w:gridCol w:w="280"/>
        <w:gridCol w:w="280"/>
        <w:gridCol w:w="699"/>
        <w:gridCol w:w="133"/>
        <w:gridCol w:w="133"/>
        <w:gridCol w:w="133"/>
        <w:gridCol w:w="266"/>
        <w:gridCol w:w="266"/>
        <w:gridCol w:w="773"/>
      </w:tblGrid>
      <w:tr>
        <w:trPr/>
        <w:tc>
          <w:tcPr>
            <w:tcW w:w="1820"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Magnite</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selected peer companies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correlation coefficients of Magnite</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correlation coefficients of selected peer companies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unrecognized stock-based compensation expense relating to outstanding PSUs of approximately $12.0 million, which will be recognized over a weighted-average period of 2.9 years.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Expense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expense recorded in the condensed consolidated statements of operations was as follows: </w:t>
      </w:r>
    </w:p>
    <w:tbl>
      <w:tblPr>
        <w:tblW w:w="6957" w:type="dxa"/>
        <w:jc w:val="center"/>
        <w:tblInd w:w="0" w:type="dxa"/>
        <w:tblLayout w:type="fixed"/>
        <w:tblCellMar>
          <w:top w:w="28" w:type="dxa"/>
          <w:left w:w="28" w:type="dxa"/>
          <w:bottom w:w="28" w:type="dxa"/>
          <w:right w:w="28" w:type="dxa"/>
        </w:tblCellMar>
      </w:tblPr>
      <w:tblGrid>
        <w:gridCol w:w="1312"/>
        <w:gridCol w:w="1156"/>
        <w:gridCol w:w="1161"/>
        <w:gridCol w:w="255"/>
        <w:gridCol w:w="873"/>
        <w:gridCol w:w="132"/>
        <w:gridCol w:w="109"/>
        <w:gridCol w:w="109"/>
        <w:gridCol w:w="109"/>
        <w:gridCol w:w="255"/>
        <w:gridCol w:w="873"/>
        <w:gridCol w:w="132"/>
        <w:gridCol w:w="109"/>
        <w:gridCol w:w="109"/>
        <w:gridCol w:w="109"/>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00" w:after="10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An aggregate of 14,781,139 shares remained available for future grants at March 31, 2023 under the Company's 2014 Equity Incentive Plan. The 2014 Equity Incentive Plan has an evergreen provision pursuant to which the share reserve automatically increased on January 1, 2023 in an amount equal to 5% of the total number of shares of capital stock outstanding on December 31, 2022. This plan expires in November 2023.</w:t>
      </w:r>
    </w:p>
    <w:p>
      <w:pPr>
        <w:pStyle w:val="TextBody"/>
        <w:bidi w:val="0"/>
        <w:spacing w:lineRule="auto" w:line="26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has reserved 5,169,575 shares of its common stock for issuance under the Company's 2014 Employee Stock Purchase Plan ("ESPP"). The ESPP has an evergreen provision pursuant to which the share reserve automatically increased on January 1, 2023 in the amount equal to 1% of the total number of shares of capital stock outstanding on December 31, 2022. This plan expires in April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Note 10—Income Taxes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nondeductible executive compensation, and changes in the Company's valuation allowance.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an income tax benefit of $0.3 million and $2.0 million for the three months ended March 31, 2023 and 2022, respectively. The tax benefit for the three months ended March 31, 2023 and March 31, 2022 is primarily the result of recognizing the benefit of deferred tax assets ("DTAs") previously subject to the domestic valuation allowance and the foreign income tax provision. The Company continues to maintain a partial valuation allowance for the domestic DTAs.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the Inflation Reduction Act of 2022 (the “IRA”) into law. The IRA includes a new corporate alternative minimum tax (the “Corporate AMT”) of 15% on the adjusted financial statement income (the “AFSI”) of corporations with average AFSI exceeding $1.0 billion over a three-year period. The Corporate AMT is effective for tax years beginning after December 31, 2022 and is not expected to impact the Company. Additionally, the IRA imposes an excise tax of 1% on the fair market value of net stock repurchases made after December 31, 2022. The impact of this latter provision to the Company will be dependent upon the extent of share repurchases made in future periods.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uncertainty as to the realization of benefits from the Company's domestic and certain international DTAs, including net operating loss carryforwards and research and development tax credits, the Company has a partial valuation allowance reserved against such assets. The Company intends to continue to maintain a partial valuation allowance on the DTAs until there is sufficient evidence to support the reversal of all or some additional portion of these allowances.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net operating loss carryforwards, all of the Company's United States federal and a majority of its state returns are open to examination by the Internal Revenue Service and state jurisdictions for all years since inception. For the Netherlands, Malaysia, India, Sweden, and the United Kingdom, all tax years remain open for examination by the local country tax authorities, for France only 2020 and forward are open, for Singapore only 2019 and forward are open for examination, for Australia, Brazil, Germany, and New Zealand 2018 and forward are open for examination, for Canada 2017 and forward are open for examination, and for Japan and Italy 2016 and forward remain open for examination.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382 of the Internal Revenue Code, the Company and Telaria, Inc. both underwent ownership changes for tax purposes (i.e. a more than 50% change in stock ownership in aggregated 5% shareholders) on April 1, 2020 due to the Telaria Merger. As a result, the use of our total domestic NOL carryforwards and tax credits generated prior to the ownership change will be subject to annual use limitations under Section 382 and Section 383 of the Code and comparable state income tax laws. The Company believes that the ownership change will not impact our ability to utilize substantially all of our NOLs and state research and development carryforward tax credits to the extent it will generate taxable income that can be offset by such losses. The Company reasonably expects its pre-2021 federal research and development carryforward tax credits will not be recovered prior to expiration.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material change to the Company's unrecognized tax benefits in the three months ended March 31, 2023 and the Company does not expect to have any material changes to unrecognized tax benefits through the end of the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11—Lease Obligations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the Company recognized $6.5 million and $5.6 million, respectively, of operating lease expense associated with leases included in the lease liability and right of use ("ROU") asset on the condensed consolidated balance sheets. For lease expenses not included in the Company's ROU asset and lease liability balances, the Company recognized short term lease expense of $0.2 million and $0.3 million, respectively, and variable lease expense of $0.9 million and $0.5 million, respectively, during the three months ended March 31, 2023 and 2022.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received rental income of $1.3 million and $1.3 million for real estate leases for which it subleases the property to third parties during the three months ended March 31, 2023 and 2022, respectively.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a weighted average discount rate of 6.13% and 6.11%, respectively, has been applied to the remaining lease payments to calculate the lease liabilities included within the condensed consolidated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sheet. The lease terms of the Company’s operating leases generally range from one year to ten years, and the weighted average remaining lease term of leases included in the lease liability is 5.5 years and 5.6 years as of March 31, 2023 and December 31, 2022, respectively. </w:t>
      </w:r>
    </w:p>
    <w:p>
      <w:pPr>
        <w:pStyle w:val="TextBody"/>
        <w:bidi w:val="0"/>
        <w:spacing w:lineRule="auto" w:line="288" w:before="1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of the Company's lease liabilities associated with leases included in the lease liability and ROU asset were as follows as of March 31, 2023 (in thousands):</w:t>
      </w:r>
    </w:p>
    <w:tbl>
      <w:tblPr>
        <w:tblW w:w="4191" w:type="dxa"/>
        <w:jc w:val="left"/>
        <w:tblInd w:w="0" w:type="dxa"/>
        <w:tblLayout w:type="fixed"/>
        <w:tblCellMar>
          <w:top w:w="28" w:type="dxa"/>
          <w:left w:w="28" w:type="dxa"/>
          <w:bottom w:w="28" w:type="dxa"/>
          <w:right w:w="28" w:type="dxa"/>
        </w:tblCellMar>
      </w:tblPr>
      <w:tblGrid>
        <w:gridCol w:w="1123"/>
        <w:gridCol w:w="989"/>
        <w:gridCol w:w="993"/>
        <w:gridCol w:w="211"/>
        <w:gridCol w:w="72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 (undiscounted)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liabilities—total (discounted)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ind w:left="0" w:right="0" w:firstLine="720"/>
        <w:jc w:val="left"/>
        <w:rPr/>
      </w:pPr>
      <w:r>
        <w:rPr/>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lease liabilities included in these condensed consolidated financial statements, the Company entered into an agreement for office space that had not commenced as of March 31, 2023; therefore, the lease was not included in the lease liability and ROU asset balance as of March 31, 2023. The Company has future commitments totaling $2.3 million over a term of 10.0 years related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12—Commitments and Contingencies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commitments under non-cancelable operating leases for facilities, certain equipment, and its managed data center facilities (Note 11).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$5.3 million and $5.3 million, respectively, of letters of credit associated with office leases available for borrowing, on which there were no outstanding borrowings as of either date.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non-cancelable contractual obligations with various parties, primarily related to software services agreements and data center providers that are not included in the Company's lease liability obligations and ROU assets. As of March 31, 2023, the Company's outstanding non-cancelable contractual obligations with a remaining term of one year or longer consist of the following (in thousands):</w:t>
      </w:r>
    </w:p>
    <w:tbl>
      <w:tblPr>
        <w:tblW w:w="2570" w:type="dxa"/>
        <w:jc w:val="left"/>
        <w:tblInd w:w="0" w:type="dxa"/>
        <w:tblLayout w:type="fixed"/>
        <w:tblCellMar>
          <w:top w:w="28" w:type="dxa"/>
          <w:left w:w="28" w:type="dxa"/>
          <w:bottom w:w="28" w:type="dxa"/>
          <w:right w:w="28" w:type="dxa"/>
        </w:tblCellMar>
      </w:tblPr>
      <w:tblGrid>
        <w:gridCol w:w="535"/>
        <w:gridCol w:w="471"/>
        <w:gridCol w:w="478"/>
        <w:gridCol w:w="211"/>
        <w:gridCol w:w="721"/>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as of March 31, 2023, the Company has an agreement for cloud-managed services containing commitments that are variable in nature. Under this agreement, the Company has a non-cancelable minimum spend commitment from July 2023 to June 2025 based on actual spend, as defined in the agreement, with the third-party provider from July 2022 to June 2023. The estimated non-cancelable minimum annual obligation is approximately $42 million in each twelve-month period (i.e. July 2023 to June 2024 and July 2024 to June 2025), based on spend in the nine months ended March 31, 2023. Per the agreement, the commitment from July 2023 to June 2025 will generally increase as the amount of spend during the period from July 2022 to June 2023 increases. Because the Company expects to continue to spend under this agreement through June 2023, the Company also expects that the minimum future commitment will likely increase as a result of the higher level of spend.</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Guarantees and Indemnification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 </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Litigation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March 31, 2023. However, based on management’s knowledge as of March 31, 2023, management believes that the final resolution of these matters known at such date, individually and in the aggregate, will not have a material adverse effect upon the Company’s consolidated financial position, results of operations or cash flows.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Employment Contracts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severance agreements with certain employees and officers. The Company may be required to pay severance and accelerate the vesting of certain equity awards in the event of involuntary terminations. </w:t>
      </w:r>
    </w:p>
    <w:p>
      <w:pPr>
        <w:pStyle w:val="TextBody"/>
        <w:bidi w:val="0"/>
        <w:spacing w:before="1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13—Debt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 term debt as of March 31, 2023 and December 31, 2022 consisted of the following:</w:t>
      </w:r>
    </w:p>
    <w:tbl>
      <w:tblPr>
        <w:tblW w:w="7375" w:type="dxa"/>
        <w:jc w:val="center"/>
        <w:tblInd w:w="0" w:type="dxa"/>
        <w:tblLayout w:type="fixed"/>
        <w:tblCellMar>
          <w:top w:w="28" w:type="dxa"/>
          <w:left w:w="28" w:type="dxa"/>
          <w:bottom w:w="28" w:type="dxa"/>
          <w:right w:w="28" w:type="dxa"/>
        </w:tblCellMar>
      </w:tblPr>
      <w:tblGrid>
        <w:gridCol w:w="1539"/>
        <w:gridCol w:w="1351"/>
        <w:gridCol w:w="1355"/>
        <w:gridCol w:w="232"/>
        <w:gridCol w:w="908"/>
        <w:gridCol w:w="119"/>
        <w:gridCol w:w="109"/>
        <w:gridCol w:w="109"/>
        <w:gridCol w:w="109"/>
        <w:gridCol w:w="273"/>
        <w:gridCol w:w="1072"/>
        <w:gridCol w:w="199"/>
      </w:tblGrid>
      <w:tr>
        <w:trPr/>
        <w:tc>
          <w:tcPr>
            <w:tcW w:w="15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392,645 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Facility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debt issuance cost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333,817 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333,712 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debt</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674,036 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722,757 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the principal amount of the Company's long-term debt as of March 31, 2023 are as follows (in thousands):</w:t>
      </w:r>
    </w:p>
    <w:tbl>
      <w:tblPr>
        <w:tblW w:w="2676" w:type="dxa"/>
        <w:jc w:val="left"/>
        <w:tblInd w:w="0" w:type="dxa"/>
        <w:tblLayout w:type="fixed"/>
        <w:tblCellMar>
          <w:top w:w="28" w:type="dxa"/>
          <w:left w:w="28" w:type="dxa"/>
          <w:bottom w:w="28" w:type="dxa"/>
          <w:right w:w="28" w:type="dxa"/>
        </w:tblCellMar>
      </w:tblPr>
      <w:tblGrid>
        <w:gridCol w:w="537"/>
        <w:gridCol w:w="473"/>
        <w:gridCol w:w="475"/>
        <w:gridCol w:w="211"/>
        <w:gridCol w:w="82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the debt issuance cost and the discount associated with our indebtedness totaled $1.6 million for the three months ended March 31, 2023 and $1.6 million for the three months ended March 31, 2022. Amortization of debt issuance costs is computed using the effective interest method and is included in interest expense. In addition, amortization of deferred financing costs was $0.1 million for the three months ended March 31, 2023 and 2022. Deferred financing costs are included in prepaid expenses and other current assets and other assets, non-current assets.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Convertible Senior Notes and Capped Call Transactions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 indebtedness, to the extent of the value of the collateral securing that indebtedness, including amounts outstanding under our Loan Agreement or our new Credit Agreement (see section below); and (iv) structurally subordinated to all existing and future indebtedness and other liabilities, including trade payables, and (to the extent we are not a holder thereof) preferred equity, if any, of the Company’s subsidiaries that do not guarantee the Convertible Senior Notes.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not redeem the Convertible Senior Notes at their option at any time before March 20, 2024. Subject to the terms of the indenture agreement, the Company has the right, at its election, to redeem all, or any portion (subject to the partial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we send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Senior Notes have an initial conversion rate of 15.6539 shares of common stock per $1,000 principal amount of the Convertible Senior Notes, which will be subject to customary anti-dilution adjustments in certain circumstances.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condensed consolidated financial statements.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debt issuance costs of $11.4 million in March 2021. The Convertible Senior Notes are presented net of issuance costs on the Company's condensed consolidated balance sheets. The debt issuance costs are amortized on an effective interest basis over the term of the Convertible Senior Notes and are included in interest expense and amortization of debt discount in the accompanying condensed consolidated statements of operations.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repurchased a portion of its Convertible Senior Notes in the open market with cash on hand for $40.8 million. The Company recognized a gain on extinguishment of debt of $8.5 million related to the repurchase of $50.3 million of principal balance of Convertible Senior Notes and $0.9 million of unamortized debt issuance costs associated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extinguished debt. The gain on extinguishment is included in other (income) expense in the Company's condensed consolidated statement of operations.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interest expense related to the Convertible Senior Notes for the three months ended March 31, 2023 and 2022 (in thousands, except interest rates):</w:t>
      </w:r>
    </w:p>
    <w:tbl>
      <w:tblPr>
        <w:tblW w:w="6325" w:type="dxa"/>
        <w:jc w:val="left"/>
        <w:tblInd w:w="0" w:type="dxa"/>
        <w:tblLayout w:type="fixed"/>
        <w:tblCellMar>
          <w:top w:w="28" w:type="dxa"/>
          <w:left w:w="28" w:type="dxa"/>
          <w:bottom w:w="28" w:type="dxa"/>
          <w:right w:w="28" w:type="dxa"/>
        </w:tblCellMar>
      </w:tblPr>
      <w:tblGrid>
        <w:gridCol w:w="1085"/>
        <w:gridCol w:w="954"/>
        <w:gridCol w:w="960"/>
        <w:gridCol w:w="280"/>
        <w:gridCol w:w="619"/>
        <w:gridCol w:w="360"/>
        <w:gridCol w:w="109"/>
        <w:gridCol w:w="109"/>
        <w:gridCol w:w="109"/>
        <w:gridCol w:w="280"/>
        <w:gridCol w:w="619"/>
        <w:gridCol w:w="360"/>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7"/>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8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3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3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Company's debt issuance costs related to the Convertible Senior Notes for the fiscal years 2023 through 2026 is as follows (in thousands):</w:t>
      </w:r>
    </w:p>
    <w:tbl>
      <w:tblPr>
        <w:tblW w:w="3059" w:type="dxa"/>
        <w:jc w:val="left"/>
        <w:tblInd w:w="0" w:type="dxa"/>
        <w:tblLayout w:type="fixed"/>
        <w:tblCellMar>
          <w:top w:w="28" w:type="dxa"/>
          <w:left w:w="28" w:type="dxa"/>
          <w:bottom w:w="28" w:type="dxa"/>
          <w:right w:w="28" w:type="dxa"/>
        </w:tblCellMar>
      </w:tblPr>
      <w:tblGrid>
        <w:gridCol w:w="537"/>
        <w:gridCol w:w="471"/>
        <w:gridCol w:w="477"/>
        <w:gridCol w:w="338"/>
        <w:gridCol w:w="989"/>
        <w:gridCol w:w="247"/>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Issuance Costs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2021, the Company entered into a credit agreement (the "Credit Agreement") with Goldman Sachs Bank USA as administrative agent and collateral agent, and other lender parties thereto. The Credit Agreement provides for a $360.0 million seven-year senior secured term loan facility ("Term Loan B Facility") and a $52.5 million senior secured revolving credit facility (the "Revolving Credit Facility"). As part of the Term Loan B Facility, the Company received $325 million in proceeds, net of discounts and fees, which were used to finance the SpotX Acquisition and related transactions, and for general corporate purposes. Loans, if any, under the Revolving Credit Facility are expected to be used for general corporate purposes. The obligations under the Credit Agreement are secured by substantially all of the assets of the Company and those of its subsidiaries that are guarantors under the Credit Agreement.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 3.75%, in each case, depending on the Company’s first lien net leverage ratio. As of March 31, 2023, the contractual interest rate related to the Term Loan B Facility was 9.91%.</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 As of March 31, 2023, the Company was in compliance with its debt covenants.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Credit Agreement. The Credit Agreement calls for customary scheduled loan amortization payments of 0.25% of the initial principal balance payable quarterly (i.e. 1% in aggregate per year) as well as a provision that requires the Company to prepay the Term Loan B based on an annual calculation of cumulative free cash flow ("Excess Cash Flow") generated by the company as defined within the terms of the Agreement. The Company was not required to make any such mandatory prepayment required by the Excess Cash Flow provision for the period ended March 31, 2023. In addition, the Credit Agreement will mature in the event that any portion of the Convertible Senior Notes remains outstanding 91 days prior to the maturity date of the Convertible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2021, the Company entered into an Incremental Assumption Agreement (the "Incremental Agreement") to the Credit Agreement. Pursuant to the terms of the Incremental Agreement, the Company’s existing revolving credit facility under the Credit Agreement was increased by $12.5 million (the "Incremental Revolver"), and the letter of credit sublimit under the Credit Agreement was increased by $5.0 million. The Incremental Revolver bears the same interest rate as the existing revolving credit facility and has the same maturity date as the existing revolving credit facility. No other terms of the Credit Agreement were amended. As a result, amounts available under the Revolving Credit Facility were $65.0 million. At March 31, 2023, amounts available under the Revolving Credit Facility were $59.7 million, net of letters of credit outstanding in the amount of $5.3 million.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outstanding under the Term Loan B Facility at March 31, 2023 and December 31, 2022:</w:t>
      </w:r>
    </w:p>
    <w:tbl>
      <w:tblPr>
        <w:tblW w:w="5998" w:type="dxa"/>
        <w:jc w:val="left"/>
        <w:tblInd w:w="0" w:type="dxa"/>
        <w:tblLayout w:type="fixed"/>
        <w:tblCellMar>
          <w:top w:w="28" w:type="dxa"/>
          <w:left w:w="28" w:type="dxa"/>
          <w:bottom w:w="28" w:type="dxa"/>
          <w:right w:w="28" w:type="dxa"/>
        </w:tblCellMar>
      </w:tblPr>
      <w:tblGrid>
        <w:gridCol w:w="1000"/>
        <w:gridCol w:w="878"/>
        <w:gridCol w:w="881"/>
        <w:gridCol w:w="232"/>
        <w:gridCol w:w="908"/>
        <w:gridCol w:w="119"/>
        <w:gridCol w:w="109"/>
        <w:gridCol w:w="109"/>
        <w:gridCol w:w="109"/>
        <w:gridCol w:w="276"/>
        <w:gridCol w:w="1081"/>
        <w:gridCol w:w="142"/>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Facility</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 of debt issuance costs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333,817 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333,712 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debt issuance costs of $27.7 million in April 2021, of which $10.8 million were associated with debt discount netted against the proceeds and $16.9 million were associated with other deferred financing costs associated with the Term Loan B Facility. Debt outstanding under the Term Loan B Facility are presented net of issuance costs on the Company's condensed consolidated balance sheets. The debt issuance costs are amortized on an effective interest basis over the term of the Term Loan B Facility and are included in interest expense and amortization of debt discount in the accompanying condensed consolidated statements of operations.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interest expense related to the Term Loan B Facility for the three months ended March 31, 2023 and 2022 (in thousands, except interest rates):</w:t>
      </w:r>
    </w:p>
    <w:tbl>
      <w:tblPr>
        <w:tblW w:w="6165" w:type="dxa"/>
        <w:jc w:val="left"/>
        <w:tblInd w:w="0" w:type="dxa"/>
        <w:tblLayout w:type="fixed"/>
        <w:tblCellMar>
          <w:top w:w="28" w:type="dxa"/>
          <w:left w:w="28" w:type="dxa"/>
          <w:bottom w:w="28" w:type="dxa"/>
          <w:right w:w="28" w:type="dxa"/>
        </w:tblCellMar>
      </w:tblPr>
      <w:tblGrid>
        <w:gridCol w:w="1085"/>
        <w:gridCol w:w="954"/>
        <w:gridCol w:w="960"/>
        <w:gridCol w:w="211"/>
        <w:gridCol w:w="616"/>
        <w:gridCol w:w="271"/>
        <w:gridCol w:w="109"/>
        <w:gridCol w:w="109"/>
        <w:gridCol w:w="109"/>
        <w:gridCol w:w="242"/>
        <w:gridCol w:w="707"/>
        <w:gridCol w:w="311"/>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Term Loan B Facility debt discount and debt issuance costs for fiscal years 2023 through 2028 is as follows (in thousands):</w:t>
      </w:r>
    </w:p>
    <w:tbl>
      <w:tblPr>
        <w:tblW w:w="4512" w:type="dxa"/>
        <w:jc w:val="left"/>
        <w:tblInd w:w="0" w:type="dxa"/>
        <w:tblLayout w:type="fixed"/>
        <w:tblCellMar>
          <w:top w:w="28" w:type="dxa"/>
          <w:left w:w="28" w:type="dxa"/>
          <w:bottom w:w="28" w:type="dxa"/>
          <w:right w:w="28" w:type="dxa"/>
        </w:tblCellMar>
      </w:tblPr>
      <w:tblGrid>
        <w:gridCol w:w="537"/>
        <w:gridCol w:w="471"/>
        <w:gridCol w:w="477"/>
        <w:gridCol w:w="253"/>
        <w:gridCol w:w="741"/>
        <w:gridCol w:w="131"/>
        <w:gridCol w:w="109"/>
        <w:gridCol w:w="109"/>
        <w:gridCol w:w="109"/>
        <w:gridCol w:w="306"/>
        <w:gridCol w:w="1046"/>
        <w:gridCol w:w="223"/>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Issuance Costs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acquisitions by the Company, including the acquisition of SpotX, Inc. ("SpotX," and such acquisition the "SpotX Acquisition"), the acquisition of SpringServe, LLC ("SpringServe," and such acquisition the "SpringServe Acquisition"), and the merger with Telaria, Inc. ("Telaria," and such merger the "Telaria Merger"), or the anticipated benefits thereof; statements concerning potential synergies from the Company's acquisitions; statements concerning macroeconomic conditions, including inflation, supply chain issues or the occurrence of a recession, or concerns related thereto; our anticipated financial performance; key strategic objectives; industry growth rates for ad-supported connected television ("CTV") and the shift in video consumption from linear TV to CTV; anticipated benefits of new offerings, including the introduction of our new Magnite Streaming platform and our ClearLine solution; the impact of our traffic shaping technology on our business; the success of the consolidation of our two CTV platforms; the effects of our cost reduction initiatives; scope and duration of client relationships; the fees we may charge in the future; business mix; sales growth; benefits from supply path optimization; the development of identity solutions; client utilization of our offerings;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w:t>
      </w:r>
    </w:p>
    <w:p>
      <w:pPr>
        <w:pStyle w:val="TextBody"/>
        <w:bidi w:val="0"/>
        <w:spacing w:lineRule="auto" w:line="417" w:before="1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that our business faces include, but are not limited to, the following:</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realize the anticipated benefits of the SpotX Acquisition, SpringServe Acquisition, and other acquisitions;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impact of macroeconomic challenges on the overall demand for advertising and the advertising marketplace, including as a result of global conflict, global pandemics and the responses to such pandemics by governments, inflation, supply chain issues, capital market disruptions and instability of financial institutions, the occurrence of a recession, or concerns relating to the foregoing;</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CTV spend on our platform may grow more slowly than we expect if industry growth rates for ad supported CTV are not accurate, if CTV sellers fail to adopt programmatic advertising solutions or if we are unable to maintain or increase access to CTV advertising inventory;</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we may be unsuccessful in our supply path optimization efforts with buyers;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introduce new offerings and bring them to market in a timely manner and potential responses or reactions of clients, vendors, and competitors to the announcement of new products and offerings;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 xml:space="preserve">uncertainty of our estimates and expectations associated with new offerings, including our SpringServe ad server, ClearLine product, and our developing identity solutions; </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potential negative impacts associated with the integration of our CTV platforms and the introduction of Magnite Streaming;</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we must increase the scale and efficiency of our technology infrastructure to support our growth;</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emergence of header bidding has increased competition from other demand sources and may cause infrastructure strain and added costs;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access to mobile inventory may be limited by third-party technology or lack of direct relationships with mobile sellers;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we may experience lower take rates, which may not be offset by increases in the volume of ad requests, improvements in fill-rate, and/or increases in the value of transactions through our platform;</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impact of requests for discounts, fee concessions, rebates, refunds or favorable payment terms;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business may be subject to sales and use tax, advertising and other taxes;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failure by us or our clients to meet advertising and inventory content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freedom of buyers and sellers to direct their spending and inventory to competing sources of inventory and demand, and to establish direct relationships and integrations without the use of our platform;</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reliance on large aggregators of advertising inventory, and the concentration of CTV among a small number of large sellers that enjoy significant negotiating leverage;</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provide value to both buyers and sellers of advertising without being perceived as favoring one over the other or being perceived as competing with them through our service offerings;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reliance on large sources of advertising demand, including demand side platforms ("DSPs") that may have or develop high-risk credit profiles or fail to pay invoices when due;</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sales efforts may require significant time and expense and may not yield the results we seek;</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we may be exposed to claims from clients for breach of contract;</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effects of seasonal trends on our results of operations;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we operate in an intensely competitive market that includes companies that have greater financial, technical and marketing resources than we do;</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effects of consolidation in the ad tech industry or among our media clients;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differentiate our offerings and compete effectively to combat commodification and disintermediation;</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potential limitations on our ability to collect or use data as a result of consumer tools, regulatory restrictions and technological limitations;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development and use of new identity solutions as a replacement for third-party cookies and other identifiers may disrupt the programmatic ecosystem and cause the performance of our platform to decline;</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industry may not adopt or may be slow to adopt the use of first-party publisher segments as an alternative to third-party cookies;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impact of antitrust regulations or enforcement actions targeting the digital advertising ecosystem;</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 xml:space="preserve">our ability to comply with, and the effect on our business of, evolving legal standards and regulations, particularly concerning data protection and privacy; </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errors or failures in the operation of our solution, interruptions in our access to network infrastructure or data, and breaches of our computer systems;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ensure a high level of brand safety for our clients and to detect "bot" traffic and other fraudulent or malicious activity;</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attract and retain qualified employees and key personnel;</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costs associated with enforcing our intellectual property rights or defending intellectual property infringement;</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 xml:space="preserve">our ability to comply with the terms of our financing arrangements; </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restrictions in our Credit Agreement may limit our ability to make strategic investments, respond to changing market conditions, or otherwise operate our business;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increases in our debt leverage may put us at greater risk of defaulting on our debt obligations, subject us to additional operating restrictions and make it more difficult to obtain future financing on favorable terms;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conversion of our Convertible Senior Notes would dilute the ownership interest of existing stockholders;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Capped Call Transactions subject us to counterparty risk and may affect the value of the Convertible Senior Notes and our common stock;</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conditional conversion feature of the Convertible Senior Notes, if triggered, may adversely affect our financial condition and operating result;</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 xml:space="preserve">failure to successfully execute our international growth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 xml:space="preserve">failure to maintain an effective system of internal control over financial reporting, which could adversely affect investor confidence; </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use of our net operating losses and tax credit carryforwards may be subject to certain limitations;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raise additional capital if needed and the elimination of LIBOR;</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 xml:space="preserve">volatility in the price of our common stock; </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impact of our repurchase program on our stock price and cash reserves;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competition for investors and the impact of negative analyst or investor research reports; and</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provisions of our charter documents and Delaware law may inhibit a potential acquisition of the company and limit the ability of stockholders to cause changes in company management.</w:t>
      </w:r>
    </w:p>
    <w:p>
      <w:pPr>
        <w:pStyle w:val="TextBody"/>
        <w:bidi w:val="0"/>
        <w:spacing w:lineRule="auto" w:line="288" w:before="2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2022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 </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our unaudited condensed consolidated financial statements and notes thereto appearing elsewhere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 ("we," or "us"), provides technology solutions to automate the purchase and sale of digital advertising inventory.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2020, we completed a stock-for-stock merger with Telaria, Inc. ("Telaria" and such merger the "Telaria Merger"), a leading provider of connected television ("CTV") technology, and on April 30, 2021, we completed the acquisition of SpotX, Inc. ("SpotX" and such acquisition the "SpotX Acquisition"), a leading platform shaping CTV and video advertising globally. On July 1, 2021, we acquired SpringServe, LLC ("SpringServe"), a leading ad serving platform for CTV. SpringServe's ad serving technology manages multiple aspects of video advertising, including for CTV publishers, across both programmatic and direct-sold inventory, including forecasting, routing, customized ad experiences and ad formats, and advanced podding logic.</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these acquisitions, 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a full suite of tools for sellers to control their advertising business and protect the consumer viewing experience. These tools are particularly important to CTV sellers who need to ensure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to ensure that competing brand ads do not appear during the same commercial break. Other tools we offer include audio normalization tools to control for the volume of an ad relative to content, frequency capping to avoid exposing viewers to repetitive ad placements, and creative review so that a publisher can review and approve the ad units being served to its properties. In addition, through the integration of our SSP and ad server we are able to offer a holistic work flow and yield management solution that dynamically allocates between direct-sold and programmatic inventory to drive value.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 xml:space="preserve">How We Generate Revenue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price that buyers pay for each thousand paid impressions purchased is measured in units referred to as CPM, or cost per thousand, and the total volume of spending between buyers and sellers on our platform is referred to as advertising spend.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the use of our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our SpringServe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ad server and Demand Manager header-bidding product, where fees are generally based on the number of impressions processed. In addition, we may receive certain fixed monthly fees for the use of our platforms or products.</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Industry Trends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Continued Shift Toward Digital Advertising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Automation of Buying and Selling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advertising allows buyers and sellers to transact on an impression-by-impression basis through the use of real-time bidding technology, and allows for the use of advanced data and identity solutions to better target ad campaigns. Programmatic transactions include open auctions, where multiple buyers bid against each other in a real-time auction for the right to purchase a publisher's inventory, as well as reserve auctions, where publishers establish direct deals or private marketplaces with select buyers. Programmatic is the dominant method of transacting for desktop, CTV, and mobile inventory.</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Convergence of TV and Digital</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similar to trends that occurred in desktop and mobile. As such, we expect CTV to be a significant driver of our revenue growth for the foreseeable future.</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Identity Solutions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participants in the advertising technology ecosystem have taken or are expected to take action to eliminate or restrict the use of third-party cookies and other primary identifiers that have historically been used to deliver targeted advertisements.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this identity model already largely exists with publishers more tightly controlling access to identifiers and user data, while offering proprietary first party data segments for reaching desired audiences. We believe that our scale and expertise in CTV position us well to take a leadership position in advancing this shift to a first party identity model and creating additional value opportunities for our clients. Accordingly, we have invested and intend to further invest in the development and enhancement of industry leading identity and audience solutions. In furtherance of this goal, in December 2021, we acquired Nth Party, Ltd. ("Nth Party"), a developer of cryptographic software for secure audience data sharing and analysis, and in February 2022, we acquired Carbon (AI) Limited ("Carbon"), a platform that enables publishers to measure, manage, and monetize audience segments.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support industry privacy initiatives and believe that the next generation of identity solutions need to be open and ubiquitous, with consumer privacy, transparency and control at the core. We further believe that these solutions will ultimately lead to greater trust and consumer confidence in digital advertising, which will be positive for the advertising ecosystem in the long term. In the short term, however, these changes could create some variability in our revenue across certain buyers or sellers, depending on the timing of changes and developed solutions.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Supply Path Optimization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In furtherance of these goals, in April 2023 we announced the launch of ClearLine, a self-service solution that provides agencies direct access to premium advertising on our platform. This solution helps agencies maximize the spend going towards working media, makes it easier for sellers and agencies to securely share data, improves workflow for campaigns traditionally transacted manually, and helps publishers generate more revenue and develop new sources of unique demand. We believe we are well positioned to benefit from SPO in the long run as a result of our transparency, our broad and unique inventory supply across all channels and formats,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including CTV, buyer tools, such as traffic shaping and ClearLine that reduce the cost of working with us, and our brand safety measures.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Header Bidding and Data Processing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Header bidding is a programmatic technique by which sellers offer inventory to multiple ad exchanges and supply side platforms, such as our platform, simultaneously. Header bidding has been rapidly adopted in recent years in the desktop and mobile channels and has experienced modest adoption in CTV. The adoption of header bidding has created a number of challenges and technical complexities for both sellers and buyers, which require sophisticated tools to manage. In addition, header bidding has led to a significant increase in the number of ad impressions to be processed and analyzed through our platform as well as by DSPs, which can lead to increased costs if not properly addressed. We have invested in technology solutions, such as Demand Manager, to help desktop and mobile publishers manage their header-bidding inventory.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header-bidding technologies have not been largely adopted by CTV sellers, such solutions or similar solutions geared towards increasing demand competition have become more prevalent. We have addressed this, in part, through our SpringServe ad server, which offers sellers a unified programmatic demand solution for CTV that leverages our existing programmatic SSP capabilities as well as connecting with third party programmatic demand sources.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Privacy Regulation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highly susceptible to existing and emerging privacy regulations and oversight concerning the collection, use and sharing of data. Data protection authorities in the United States and around the world have focused on the advertising technology ecosystem. Because we, and our clients, rely upon large volumes of such data, it is essential that we monitor developments in this area domestically and globally, and engage in responsible privacy practices.</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shd w:fill="FFFFFF" w:val="clear"/>
        </w:rPr>
        <w:t>We do n</w:t>
      </w:r>
      <w:r>
        <w:rPr>
          <w:rFonts w:ascii="Times New Roman;sans-serif" w:hAnsi="Times New Roman;sans-serif"/>
          <w:b w:val="false"/>
          <w:color w:val="000000"/>
          <w:sz w:val="20"/>
        </w:rPr>
        <w:t>ot collect information that can be used directly to identify a real person, such as name, address, or phone number, and we take steps to avoid collecting and storing such information. Instead, we rely on pseudonymous forms of data such as IP addresses, general geo-location information, and persistent identifiers about Internet users and do not attempt to associate this data with other data that can be used to identify real people. Increasingly, this type of information is considered "personal" across various jurisdictions and is therefore governed by consumer privacy laws and may be the subject of future legislation or regulation.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European Economic Area ("EEA") member states and the United Kingdom (“UK”), the use and transfer of personal data is governed by the General Data Protection Regulation and the UK General Data Protection Regulation (the "GDPR" and "UK GDPR"). The GDPR and UK GDPR set out significant potential liabilities for certain data protection violations and establish significant regulatory requirements resulting in a greater compliance burden for us in the course of delivering our solution in the EEA and UK.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GDPR and UK GDPR, a number of recent privacy regulations will or have already come into effect in the United States. California was the first state to enact an omnibus consumer privacy law in 2018, the California Consumer Privacy Act ("CCPA"), which became effective January 1, 2020. This law imposes substantial obligations on businesses that handle the personal information of California residents. The obligations imposed require us to maintain ongoing significant resources for compliance purposes. In addition, amendments to the CCPA, along with broad-based consumer privacy laws in Connecticut, Colorado, Virginia, and Utah, will all take effect by the end of 2023 and impose obligations that are similar to the CCPA. These new laws will cause us to incur additional compliance costs and impose additional restrictions on us and on our industry partners. In addition, other privacy bills have been introduced at both the state and federal level and certain international territories are imposing new or expanded privacy obligations. In the coming years, we expect further consumer privacy regulation worldwide.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compliance with our privacy policies and our general consumer privacy practices are also subject to review by the Federal Trade Commission, which may bring enforcement actions to challenge allegedly unfair and deceptive trade practices, including the violation of privacy policies and representations therein. Certain State Attorneys General may also bring enforcement actions based on comparable state laws or federal laws that permit state-level enforcement. Outside of the United States, our privacy and data practices are subject to regulation by data protection authorities and other regulators in the countries in which we do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Beyond laws and regulations, we are members of self-regulatory bodies that impose additional requirements related to the collection, use, and disclosure of consumer data, including the Internet Advertising Bureau ("IAB"), the Digital Advertising Alliance, the Network Advertising Initiative, and the Europe Interactive Digital Advertising Alliance. Under the requirements of these self-regulatory bodies, in addition to other compliance obligations, we provide consumers with notice via our privacy policy about our use of cookies and other technologies to collect consumer data, and of our collection and use of consumer data to deliver personalized advertisements. We allow consumers to opt-out from the use of data we collect for purposes of behavioral advertising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a mechanism on our website, linked through our privacy policy as well as through portals maintained by some of these self-regulatory bodies.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support privacy initiatives and believe they will be beneficial to consumers' confidence in advertising technology, which will ultimately be positive for the advertising ecosystem in the long term. However, until prevailing compliance practices standardize, the impact of worldwide privacy regulations on our business and, consequently, our revenue could be negatively impacted.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regulatory risks to our business, see "Item 1A. Risk Factors" in our Annual Report on Form 10-K for the year ended December 31, 2022.</w:t>
      </w:r>
    </w:p>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Trends in Our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CTV viewership is growing rapidly and the pace of adoption is accelerating the shift of advertising budgets from linear television to CTV, we believe we have strategically positioned ourselves to take advantage of this trend, and that CTV will be our biggest growth driver in future periods.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SpotX Acquisition resulted in a significant increase in our revenue and Revenue ex-TAC (as defined in section "Key Operating and Financial Performance Metrics"), in particular in CTV and online video. Following the transaction, the percentage of our revenue attributable to CTV increased significantly, and because CTV is largely transacted through reserve auctions, these types of auctions have become a more significant portion of the transactions on our platform. The acquisition also resulted in an increase in related operating expenses, primarily associated with costs for personnel, data center and hosting costs, facilities, payments to sellers for revenue reported on a gross basis, and other ancillary costs to support the business. We have been able to offset some of these increases through cost saving activities and the achievement of acquisition synergies. As part of our integration efforts, we recently introduced our unified CTV platform, Magnite Steaming, which merges leading technology from the legacy Magnite CTV and SpotX CTV platforms. We expect client migration to our unified platform to occur primarily through the first half of 2023 and expect the migration to be completed early in the third quarter of 2023. We are continuing to support certain aspects of our legacy CTV platforms through this transition, resulting in some temporary duplication of costs.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SpringServe Acquisition, expanded our video and CTV offering to include ad server functionality in addition to our programmatic SSP capabilities. The SpringServe ad server manages multiple aspects of video advertising for both programmatic transactions and inventory sold directly by the publisher, including forecasting, routing, customized ad experiences and ad formats, and advanced podding logic. Combined with our SSP, the SpringServe ad server provides publishers a holistic yield management solution that works across their entire video advertising business to drive value. This is of particular importance for CTV publishers, who still sell a large percentage of their inventory through their direct sales team. We believe the acquisition of SpringServe is highly strategic as it allows us to offer publishers an independent full-stack solution to the walled gardens, which can be leveraged across their entire video advertising business.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announced a reduction of our global workforce by approximately 6%. The reduction in force was primarily associated with the elimination of duplicative technology roles resulting from the integration of our CTV platforms and represent additional cost synergies related to our acquisition.</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Macroeconomic Developments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has been negatively impacted as a result of macroeconomic challenges, such as inflation, global conflict, capital market disruptions and instability of financial institutions, the occurrence of a recession, and other macroeconomic factors, which have generally negatively impacted ad budgets, and in turn led to reduced ad spend through our platform. Any worsening of macroeconomic conditions in future periods would likely have a negative effect on our financial results, the magnitude of which is difficult to predict. In addition, continued inflation could result in an increase in our cost base relative to our 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Item 1A. "Risk Factors" in our Annual Report on Form 10-K for the year ended December 31, 2022 for additional information related to risks associated with macroeconomic challenges.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our financial results as one operating segment. Our consolidated operating results are regularly reviewed by our chief operating decision maker, principally to make decisions about how we allocate our resources and to measure our consolidated operating performance.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the use of our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our ad server and Demand Manager header-bidding product, where fees are either based on the number of impressions processed or a percent of ad spend.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 </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our revenue reported on a gross basis was 15% of total revenue, and for the three months ended March 31, 2023, our revenue reported on a gross basis was 17% of total revenue. Any mix shift that causes an increase in the relative percentage of our revenue accounted for on a gross basis would result in a higher revenue contribution and an associated decrease in our gross margin percentage (with no underlying impact on gross profit or Revenue ex-TAC, as defined in section "Key Operating and Financial Performance Metrics"). Our revenue recognition policies are discussed in more detail in our audited consolidated financial statements and notes thereto for the year ended December 31, 2022 included in our Annual Report on Form 10-K and in Note 3 of the accompanying Notes to the Condensed Consolidated Financial Statements.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Expenses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expenses into the following categories: </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Cost of Revenue</w:t>
      </w:r>
      <w:r>
        <w:rPr>
          <w:rFonts w:ascii="Times New Roman;sans-serif" w:hAnsi="Times New Roman;sans-serif"/>
          <w:b w:val="false"/>
          <w:color w:val="000000"/>
          <w:sz w:val="20"/>
        </w:rPr>
        <w:t>. Our cost of revenue consists primarily of cloud hosting, data center, and bandwidth costs, ad protection costs, depreciation and maintenance expense of hardware supporting our revenue-producing platform, amortization of software costs for the development of our revenue-producing platform, amortization expense associated with acquired developed technologies, personnel costs, and facilities-related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Our sales and marketing expenses consist primarily of personnel costs, including salaries, bonuses, and stock-based compensation, as well as marketing expenses such as brand marketing, travel expenses, trade shows and marketing materials, professional services, and amortization expense associated with client relationships, backlog, and non-compete agreements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Technology and Development</w:t>
      </w:r>
      <w:r>
        <w:rPr>
          <w:rFonts w:ascii="Times New Roman;sans-serif" w:hAnsi="Times New Roman;sans-serif"/>
          <w:b w:val="false"/>
          <w:color w:val="000000"/>
          <w:sz w:val="20"/>
        </w:rPr>
        <w:t>. Our technology and development expenses consist primarily of personnel costs, including salaries, bonuses, and stock-based compensation, as well as outsourced resources associated with the ongoing development and maintenance of our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xml:space="preserve">. Our general and administrative expenses consist primarily of personnel costs, including salaries, bonuses, and stock-based compensation,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use software development costs and acquired intangible assets from our business acquisitions over their estimated useful lives that relate to general and administrative functions.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Merger, Acquisition, and Restructuring Costs.</w:t>
      </w:r>
      <w:r>
        <w:rPr>
          <w:color w:val="000000"/>
        </w:rPr>
        <w:t xml:space="preserve"> </w:t>
      </w:r>
      <w:r>
        <w:rPr>
          <w:rFonts w:ascii="Times New Roman;sans-serif" w:hAnsi="Times New Roman;sans-serif"/>
          <w:b w:val="false"/>
          <w:color w:val="000000"/>
          <w:sz w:val="20"/>
        </w:rPr>
        <w:t>Our merger, acquisition, and restructuring costs consist primarily of professional service fees associated with the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Interest (Income) Expense, Net.</w:t>
      </w:r>
      <w:r>
        <w:rPr>
          <w:color w:val="000000"/>
        </w:rPr>
        <w:t xml:space="preserve"> </w:t>
      </w:r>
      <w:r>
        <w:rPr>
          <w:rFonts w:ascii="Times New Roman;sans-serif" w:hAnsi="Times New Roman;sans-serif"/>
          <w:b w:val="false"/>
          <w:color w:val="000000"/>
          <w:sz w:val="20"/>
        </w:rPr>
        <w:t xml:space="preserve">Interest expense consists of interest expense associated with our Term Loan B Facility (defined below) and Convertible Senior Notes (defined below), and their related amortization of debt issuance costs and debt discount. Interest income consists of interest earned on our cash equivalents. </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 xml:space="preserve">Other Income. </w:t>
      </w:r>
      <w:r>
        <w:rPr>
          <w:rFonts w:ascii="Times New Roman;sans-serif" w:hAnsi="Times New Roman;sans-serif"/>
          <w:b w:val="false"/>
          <w:color w:val="000000"/>
          <w:sz w:val="20"/>
        </w:rPr>
        <w:t>Other income consists primarily of rental income from commercial office space we hold under lease and have sublet to other tenants.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Foreign Currency Exchange (Gain) Loss, Net</w:t>
      </w:r>
      <w:r>
        <w:rPr>
          <w:rFonts w:ascii="Times New Roman;sans-serif" w:hAnsi="Times New Roman;sans-serif"/>
          <w:b w:val="false"/>
          <w:color w:val="000000"/>
          <w:sz w:val="20"/>
        </w:rPr>
        <w:t>. Foreign currency exchange (gain) loss, net consists primarily of gains and losses on foreign currency transactions and remeasurement of monetary assets and liabilities on our balance sheet denominated in foreign currencies. Foreign currency monetary assets and liabilities consist primarily of cash and cash equivalents, accounts receivable, accounts payable, and various intercompany balances held between our subsidiaries. Our primary foreign currency exposures are currencies other than the U.S. Dollar, principally the Australian Dollar, British Pound, Canadian Dollar, Euro, and Japanese Yen.</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 xml:space="preserve">Gain on Extinguishment of Debt. </w:t>
      </w:r>
      <w:r>
        <w:rPr>
          <w:rFonts w:ascii="Times New Roman;sans-serif" w:hAnsi="Times New Roman;sans-serif"/>
          <w:b w:val="false"/>
          <w:color w:val="000000"/>
          <w:sz w:val="20"/>
        </w:rPr>
        <w:t>Gain on extinguishment of debt consists of gains or losses associated with the repurchases of Convertible Senior Notes at a discount or premium, respectively, including unamortized issuance costs, accrued interest expense, and commissions associated with the extinguished debt.</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Provision (Benefit) for Income Taxes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00"/>
        <w:jc w:val="left"/>
        <w:rPr>
          <w:color w:val="000000"/>
        </w:rPr>
      </w:pPr>
      <w:r>
        <w:rPr>
          <w:color w:val="000000"/>
        </w:rPr>
        <w:t>    </w:t>
      </w:r>
      <w:r>
        <w:rPr>
          <w:rFonts w:ascii="Times New Roman;sans-serif" w:hAnsi="Times New Roman;sans-serif"/>
          <w:b w:val="false"/>
          <w:color w:val="000000"/>
          <w:sz w:val="20"/>
        </w:rPr>
        <w:t>The following table sets forth our condensed consolidated results of operations:</w:t>
      </w:r>
    </w:p>
    <w:tbl>
      <w:tblPr>
        <w:tblW w:w="7993" w:type="dxa"/>
        <w:jc w:val="center"/>
        <w:tblInd w:w="0" w:type="dxa"/>
        <w:tblLayout w:type="fixed"/>
        <w:tblCellMar>
          <w:top w:w="28" w:type="dxa"/>
          <w:left w:w="28" w:type="dxa"/>
          <w:bottom w:w="28" w:type="dxa"/>
          <w:right w:w="28" w:type="dxa"/>
        </w:tblCellMar>
      </w:tblPr>
      <w:tblGrid>
        <w:gridCol w:w="1154"/>
        <w:gridCol w:w="1013"/>
        <w:gridCol w:w="1028"/>
        <w:gridCol w:w="237"/>
        <w:gridCol w:w="891"/>
        <w:gridCol w:w="132"/>
        <w:gridCol w:w="109"/>
        <w:gridCol w:w="109"/>
        <w:gridCol w:w="109"/>
        <w:gridCol w:w="237"/>
        <w:gridCol w:w="891"/>
        <w:gridCol w:w="132"/>
        <w:gridCol w:w="109"/>
        <w:gridCol w:w="109"/>
        <w:gridCol w:w="109"/>
        <w:gridCol w:w="271"/>
        <w:gridCol w:w="224"/>
        <w:gridCol w:w="430"/>
        <w:gridCol w:w="109"/>
        <w:gridCol w:w="109"/>
        <w:gridCol w:w="109"/>
        <w:gridCol w:w="109"/>
        <w:gridCol w:w="109"/>
        <w:gridCol w:w="154"/>
      </w:tblGrid>
      <w:tr>
        <w:trPr/>
        <w:tc>
          <w:tcPr>
            <w:tcW w:w="115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Expenses </w:t>
            </w:r>
            <w:r>
              <w:rPr>
                <w:rFonts w:ascii="Times New Roman;sans-serif" w:hAnsi="Times New Roman;sans-serif"/>
                <w:b w:val="false"/>
                <w:color w:val="000000"/>
                <w:sz w:val="12"/>
              </w:rPr>
              <w:t>(1)(2)</w:t>
            </w:r>
            <w:r>
              <w:rPr>
                <w:rFonts w:ascii="Times New Roman;sans-serif" w:hAnsi="Times New Roman;sans-serif"/>
                <w:b w:val="false"/>
                <w:color w:val="000000"/>
                <w:sz w:val="18"/>
              </w:rPr>
              <w:t>:</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acquisition, and restructuring costs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230,645 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157,899 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(100,495)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(99,041)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(46,598)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(98,732)</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(44,593)</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tbl>
      <w:tblPr>
        <w:tblW w:w="7092" w:type="dxa"/>
        <w:jc w:val="center"/>
        <w:tblInd w:w="0" w:type="dxa"/>
        <w:tblLayout w:type="fixed"/>
        <w:tblCellMar>
          <w:top w:w="28" w:type="dxa"/>
          <w:left w:w="28" w:type="dxa"/>
          <w:bottom w:w="28" w:type="dxa"/>
          <w:right w:w="28" w:type="dxa"/>
        </w:tblCellMar>
      </w:tblPr>
      <w:tblGrid>
        <w:gridCol w:w="1158"/>
        <w:gridCol w:w="1014"/>
        <w:gridCol w:w="1022"/>
        <w:gridCol w:w="300"/>
        <w:gridCol w:w="991"/>
        <w:gridCol w:w="167"/>
        <w:gridCol w:w="167"/>
        <w:gridCol w:w="167"/>
        <w:gridCol w:w="167"/>
        <w:gridCol w:w="300"/>
        <w:gridCol w:w="991"/>
        <w:gridCol w:w="167"/>
        <w:gridCol w:w="109"/>
        <w:gridCol w:w="109"/>
        <w:gridCol w:w="109"/>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NM Not meaningful</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1" w:type="dxa"/>
            <w:gridSpan w:val="12"/>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18"/>
              </w:rPr>
            </w:pPr>
            <w:r>
              <w:rPr>
                <w:rFonts w:ascii="Times New Roman;sans-serif" w:hAnsi="Times New Roman;sans-serif"/>
                <w:b w:val="false"/>
                <w:color w:val="000000"/>
                <w:sz w:val="18"/>
              </w:rPr>
              <w:t>(1) Stock-based compensation expense included in our expenses was as follows: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acquisition, and restructuring costs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 expense</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939" w:type="dxa"/>
        <w:jc w:val="center"/>
        <w:tblInd w:w="0" w:type="dxa"/>
        <w:tblLayout w:type="fixed"/>
        <w:tblCellMar>
          <w:top w:w="28" w:type="dxa"/>
          <w:left w:w="28" w:type="dxa"/>
          <w:bottom w:w="28" w:type="dxa"/>
          <w:right w:w="28" w:type="dxa"/>
        </w:tblCellMar>
      </w:tblPr>
      <w:tblGrid>
        <w:gridCol w:w="1166"/>
        <w:gridCol w:w="1022"/>
        <w:gridCol w:w="1022"/>
        <w:gridCol w:w="462"/>
        <w:gridCol w:w="1522"/>
        <w:gridCol w:w="256"/>
        <w:gridCol w:w="256"/>
        <w:gridCol w:w="256"/>
        <w:gridCol w:w="256"/>
        <w:gridCol w:w="462"/>
        <w:gridCol w:w="1522"/>
        <w:gridCol w:w="256"/>
        <w:gridCol w:w="109"/>
        <w:gridCol w:w="109"/>
        <w:gridCol w:w="109"/>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58" w:type="dxa"/>
            <w:gridSpan w:val="12"/>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18"/>
              </w:rPr>
            </w:pPr>
            <w:r>
              <w:rPr>
                <w:rFonts w:ascii="Times New Roman;sans-serif" w:hAnsi="Times New Roman;sans-serif"/>
                <w:b w:val="false"/>
                <w:color w:val="000000"/>
                <w:sz w:val="18"/>
              </w:rPr>
              <w:t>(2) Depreciation and amortization expense included in our expenses was as follows: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 and amortization expense</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95,795 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sets forth our condensed consolidated results of operations for the specified periods as a percentage of our revenue for those periods presented:</w:t>
      </w:r>
    </w:p>
    <w:tbl>
      <w:tblPr>
        <w:tblW w:w="6665" w:type="dxa"/>
        <w:jc w:val="center"/>
        <w:tblInd w:w="0" w:type="dxa"/>
        <w:tblLayout w:type="fixed"/>
        <w:tblCellMar>
          <w:top w:w="28" w:type="dxa"/>
          <w:left w:w="28" w:type="dxa"/>
          <w:bottom w:w="28" w:type="dxa"/>
          <w:right w:w="28" w:type="dxa"/>
        </w:tblCellMar>
      </w:tblPr>
      <w:tblGrid>
        <w:gridCol w:w="1155"/>
        <w:gridCol w:w="1016"/>
        <w:gridCol w:w="1024"/>
        <w:gridCol w:w="263"/>
        <w:gridCol w:w="263"/>
        <w:gridCol w:w="763"/>
        <w:gridCol w:w="137"/>
        <w:gridCol w:w="137"/>
        <w:gridCol w:w="137"/>
        <w:gridCol w:w="263"/>
        <w:gridCol w:w="263"/>
        <w:gridCol w:w="763"/>
        <w:gridCol w:w="109"/>
        <w:gridCol w:w="109"/>
        <w:gridCol w:w="109"/>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acquisition, and restructuring costs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Note: Percentages may not sum due to rounding.</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2023 and 2022</w:t>
      </w:r>
    </w:p>
    <w:p>
      <w:pPr>
        <w:pStyle w:val="TextBody"/>
        <w:bidi w:val="0"/>
        <w:spacing w:lineRule="auto" w:line="288" w:before="200" w:after="120"/>
        <w:jc w:val="left"/>
        <w:rPr>
          <w:color w:val="000000"/>
        </w:rPr>
      </w:pPr>
      <w:r>
        <w:rPr>
          <w:color w:val="000000"/>
        </w:rPr>
        <w:t>    </w:t>
      </w:r>
      <w:r>
        <w:rPr>
          <w:rFonts w:ascii="Times New Roman;sans-serif" w:hAnsi="Times New Roman;sans-serif"/>
          <w:b/>
          <w:i/>
          <w:color w:val="000000"/>
          <w:sz w:val="20"/>
        </w:rPr>
        <w:t>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$12.1 million, or 10%, for the three months ended March 31, 2023 compared to the three months ended March 31, 2022. Our revenue growth was driven primarily by growth in mobile, which increased by $9.2 million, or 23%, and CTV, which increased by $7.6 million, or 15%. These increases were partially offset by a decline in revenue from desktop of $4.7 million, or 17%.</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impacted by shifts in the mix of advertising spend on our platform. We believe that contributions to revenue from reserve auctions, in particular with respect to CTV, which is largely transacted on a reserved basis, will continue to grow as a percentage of our total revenue. In general, we expect this shift will have a positive impact on our revenue due to both an increase in the volume of transactions and average CPM, despite the fact that reserve auctions generally carry a lower take rate compared to open auction transactions.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dependent in part on the overall health of the advertising market. Our revenue growth has been tempered, and may be negatively impacted in the future, by reductions in revenue resulting from the impact of macroeconomic challenges. If economic conditions were to deteriorate further, we would likely experience a negative impact on our future revenue trends, and the magnitude of this impact is difficult to predict depending on the scope and duration of any recession. Refer to Item 1A. "Risk Factors" in our Annual Report on Form 10-K for the year ended December 31, 2022 for additional information related to these risks and the impact they may have on our business.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$65.4 million, or 110%, for the three months ended March 31, 2023 compared to the three months ended March 31, 2022, primarily due to an increase of $54.1 million in depreciation and amortization. This increase was driven by incremental amortization of $53.2 million due to the acceleration of the remaining lives of certain acquired intangible assets and capitalized software during the fourth quarter of 2022 from the integration of our legacy CTV platforms into Magnite Streaming. Costs of revenue also included increases of $8.5 million in cloud hosting, data center, and bandwidth expenses.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cost of revenue to continue to increase through the third quarter of 2023 compared to 2022 in absolute dollars primarily due to the accelerated amortization expense as discussed above, which is expected to result in approximately $61.1 million of net incremental non-cash expense through the third quarter of 2023 as compared to the original timing of its amortization. Cost of revenue in the fourth quarter of 2023 is expected to decline compared to the fourth quarter of 2022 in absolute dollars, due to the completion of the accelerated amortization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 </w:t>
      </w:r>
    </w:p>
    <w:p>
      <w:pPr>
        <w:pStyle w:val="TextBody"/>
        <w:bidi w:val="0"/>
        <w:spacing w:lineRule="auto" w:line="288" w:before="200" w:after="283"/>
        <w:jc w:val="left"/>
        <w:rPr>
          <w:color w:val="000000"/>
        </w:rPr>
      </w:pPr>
      <w:r>
        <w:rPr>
          <w:color w:val="000000"/>
        </w:rPr>
        <w:t>    </w:t>
      </w:r>
      <w:r>
        <w:rPr>
          <w:rFonts w:ascii="Times New Roman;sans-serif" w:hAnsi="Times New Roman;sans-serif"/>
          <w:b/>
          <w:i/>
          <w:color w:val="000000"/>
          <w:sz w:val="20"/>
        </w:rPr>
        <w:t xml:space="preserve">Sales and Marketing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$3.0 million, or 6%, for the three months ended March 31, 2023 compared to the three months ended March 31, 2022 primarily due to increases of $5.1 million related to personnel expenses and $0.9 million related to professional services expenses. These increases were partially offset by a decrease of $4.1 million related to depreciation and amortization primarily due to certain acquired intangible assets becoming fully amortized in 2022.</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may fluctuate quarter to quarter and period to period, on an absolute dollar basis and as a percentage of revenue, based on revenue levels, the timing of our investments and seasonality in our industry and business.</w:t>
      </w:r>
    </w:p>
    <w:p>
      <w:pPr>
        <w:pStyle w:val="TextBody"/>
        <w:bidi w:val="0"/>
        <w:spacing w:lineRule="auto" w:line="288" w:before="200" w:after="100"/>
        <w:jc w:val="left"/>
        <w:rPr>
          <w:color w:val="000000"/>
        </w:rPr>
      </w:pPr>
      <w:r>
        <w:rPr>
          <w:color w:val="000000"/>
        </w:rPr>
        <w:t>    </w:t>
      </w:r>
      <w:r>
        <w:rPr>
          <w:rFonts w:ascii="Times New Roman;sans-serif" w:hAnsi="Times New Roman;sans-serif"/>
          <w:b/>
          <w:i/>
          <w:color w:val="000000"/>
          <w:sz w:val="20"/>
        </w:rPr>
        <w:t>Technology and Development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expenses increased $1.2 million, or 5%, for the three months ended March 31, 2023 compared to the three months ended March 31, 2022.</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$2.4 million, or 13%, for the three months ended March 31, 2023 compared to the three months ended March 31, 2022, primarily due to increases of $1.9 million in personnel expenses.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Merger, Acquisition, and Restructuring Costs</w:t>
      </w:r>
    </w:p>
    <w:p>
      <w:pPr>
        <w:pStyle w:val="TextBody"/>
        <w:bidi w:val="0"/>
        <w:spacing w:lineRule="auto" w:line="288" w:before="2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 increased $0.7 million, or 10%, for the three months ended March 31, 2023 compared to the three months ended March 31, 2022. Costs incurred during the three months ended March 31, 2023 were due to restructuring activities as a result of consolidating our legacy CTV and SpotX CTV platforms following the SpotX Acquisition, which primarily included $3.4 million of severance related expenses, $2.2 million of facilities related loss contracts, and $1.4 million of exit costs. Costs incurred during the three months ended March 31, 2022 of $6.8 million were primarily due to restructuring activities from the SpotX Acquisition, which included $3.3 million of impairment costs associated with abandoned technology and $1.9 million non-cash stock-based compensation expense associated with the acceleration of unvested equity awards.</w:t>
      </w:r>
    </w:p>
    <w:p>
      <w:pPr>
        <w:pStyle w:val="TextBody"/>
        <w:bidi w:val="0"/>
        <w:spacing w:lineRule="auto" w:line="288" w:before="1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tbl>
      <w:tblPr>
        <w:tblW w:w="6161" w:type="dxa"/>
        <w:jc w:val="left"/>
        <w:tblInd w:w="0" w:type="dxa"/>
        <w:tblLayout w:type="fixed"/>
        <w:tblCellMar>
          <w:top w:w="28" w:type="dxa"/>
          <w:left w:w="28" w:type="dxa"/>
          <w:bottom w:w="28" w:type="dxa"/>
          <w:right w:w="28" w:type="dxa"/>
        </w:tblCellMar>
      </w:tblPr>
      <w:tblGrid>
        <w:gridCol w:w="1027"/>
        <w:gridCol w:w="902"/>
        <w:gridCol w:w="906"/>
        <w:gridCol w:w="263"/>
        <w:gridCol w:w="861"/>
        <w:gridCol w:w="135"/>
        <w:gridCol w:w="109"/>
        <w:gridCol w:w="109"/>
        <w:gridCol w:w="109"/>
        <w:gridCol w:w="284"/>
        <w:gridCol w:w="829"/>
        <w:gridCol w:w="146"/>
        <w:gridCol w:w="109"/>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extinguishment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$1.1 million during the three months ended March 31, 2023 compared to the three months ended March 31, 2022 primarily due to increases of interest expense of $3.2 million as a result of increased interest rates on our Term Loan B Facility, partially offset by increases of interest income of $2.2 million generated from cash equivalents and short term investments.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loss, net is impacted by movements in exchange rates and the amount of foreign currency-denominated cash, receivables, and payables, which are impacted by our billings to buyers, payments to sellers, and intercompany balances.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loss, net during the three months ended March 31, 2023 was primarily due to the currency movements between the British Pound, Australian Dollar, Canadian Dollar, and Euro relative to the U.S. Dollar.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repurchased a portion of our Convertible Senior Notes and as a result, we recorded a gain on early extinguishment of debt of $8.5 million, representing the difference between the purchase price of $40.8 million and the net carrying amount of the debt extinguished of $49.4 million, which included a principal balance of $50.3 million and $0.9 million of unamortized debt issuance costs.</w:t>
      </w:r>
    </w:p>
    <w:p>
      <w:pPr>
        <w:pStyle w:val="TextBody"/>
        <w:bidi w:val="0"/>
        <w:spacing w:lineRule="auto" w:line="288" w:before="200" w:after="200"/>
        <w:ind w:left="0" w:right="0" w:firstLine="720"/>
        <w:jc w:val="left"/>
        <w:rPr/>
      </w:pPr>
      <w:r>
        <w:rPr>
          <w:rFonts w:ascii="Times New Roman;sans-serif" w:hAnsi="Times New Roman;sans-serif"/>
          <w:b/>
          <w:i/>
          <w:color w:val="000000"/>
          <w:sz w:val="20"/>
        </w:rPr>
        <w:t>Provision (Benefit) for Income Taxes</w:t>
      </w:r>
      <w:r>
        <w:rPr>
          <w:color w:val="000000"/>
        </w:rPr>
        <w:t>    </w:t>
      </w:r>
    </w:p>
    <w:p>
      <w:pPr>
        <w:pStyle w:val="TextBody"/>
        <w:bidi w:val="0"/>
        <w:spacing w:lineRule="auto" w:line="288" w:before="0" w:after="200"/>
        <w:jc w:val="left"/>
        <w:rPr/>
      </w:pPr>
      <w:r>
        <w:rPr>
          <w:color w:val="006EBF"/>
        </w:rPr>
        <w:t>    </w:t>
      </w:r>
      <w:r>
        <w:rPr>
          <w:rFonts w:ascii="Times New Roman;sans-serif" w:hAnsi="Times New Roman;sans-serif"/>
          <w:b w:val="false"/>
          <w:color w:val="000000"/>
          <w:sz w:val="20"/>
        </w:rPr>
        <w:t>We recorded an income tax benefit of $0.3 million and $2.0 million for the three months ended March 31, 2023 and 2022, respectively. The tax benefit for the three months ended March 31, 2023 and March 31, 2022 was primarily the result of recognizing the benefit of DTAs previously subject to the domestic valuation allowance and the foreign income tax provision. We continue to maintain a partial valuation allowance for our domestic DTAs.</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Operating and Financial Performance Metrics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GAAP results, we review non-GAAP financial measures, including Revenue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 </w:t>
      </w:r>
    </w:p>
    <w:p>
      <w:pPr>
        <w:pStyle w:val="TextBody"/>
        <w:bidi w:val="0"/>
        <w:spacing w:before="100" w:after="10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603"/>
        <w:gridCol w:w="1410"/>
        <w:gridCol w:w="1418"/>
        <w:gridCol w:w="230"/>
        <w:gridCol w:w="903"/>
        <w:gridCol w:w="118"/>
        <w:gridCol w:w="109"/>
        <w:gridCol w:w="109"/>
        <w:gridCol w:w="109"/>
        <w:gridCol w:w="230"/>
        <w:gridCol w:w="903"/>
        <w:gridCol w:w="118"/>
        <w:gridCol w:w="109"/>
        <w:gridCol w:w="109"/>
        <w:gridCol w:w="109"/>
        <w:gridCol w:w="637"/>
        <w:gridCol w:w="637"/>
        <w:gridCol w:w="639"/>
        <w:gridCol w:w="109"/>
        <w:gridCol w:w="109"/>
        <w:gridCol w:w="109"/>
        <w:gridCol w:w="109"/>
        <w:gridCol w:w="109"/>
        <w:gridCol w:w="160"/>
      </w:tblGrid>
      <w:tr>
        <w:trPr/>
        <w:tc>
          <w:tcPr>
            <w:tcW w:w="16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Favorable/ (Unfavorable)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Measures and non-GAAP Financial Measures: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ex-TAC</w:t>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(98,732)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Revenue ex-TAC</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ex-TAC is revenue excluding traffic acquisition cost ("TAC"). Traffic acquisition cost, a component of cost of revenue, represents what we must pay sellers for the sale of advertising inventory through our platform for revenue reported on a gross basis. In calculating Revenue ex-TAC, we add back the cost of revenue, excluding TAC, to gross profit, the most comparable GAAP measurement. Revenue ex-TAC is a non-GAAP financial measure. Our management believes Revenue ex-TAC is a useful measure in assessing the performance of Magnite as a combined company following the SpotX Acquisition and facilitates a consistent comparison against our core business without considering the impact of traffic acquisition costs related to revenue reported on a gross basis.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Revenue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Revenue ex-TAC differently, which may make comparisons difficult. Because of these and other limitations, you should consider our non-GAAP measures only as supplemental to GAAP-based financial performance measures, including revenue, net income (loss) and cash flows.</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calculation of gross profit and reconciliation of gross profit to Revenue ex-TAC for the three months ended March 31, 2023 and 2022: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tbl>
      <w:tblPr>
        <w:tblW w:w="8449" w:type="dxa"/>
        <w:jc w:val="left"/>
        <w:tblInd w:w="0" w:type="dxa"/>
        <w:tblLayout w:type="fixed"/>
        <w:tblCellMar>
          <w:top w:w="28" w:type="dxa"/>
          <w:left w:w="28" w:type="dxa"/>
          <w:bottom w:w="28" w:type="dxa"/>
          <w:right w:w="28" w:type="dxa"/>
        </w:tblCellMar>
      </w:tblPr>
      <w:tblGrid>
        <w:gridCol w:w="1311"/>
        <w:gridCol w:w="1157"/>
        <w:gridCol w:w="1161"/>
        <w:gridCol w:w="232"/>
        <w:gridCol w:w="908"/>
        <w:gridCol w:w="119"/>
        <w:gridCol w:w="109"/>
        <w:gridCol w:w="109"/>
        <w:gridCol w:w="109"/>
        <w:gridCol w:w="232"/>
        <w:gridCol w:w="908"/>
        <w:gridCol w:w="119"/>
        <w:gridCol w:w="109"/>
        <w:gridCol w:w="109"/>
        <w:gridCol w:w="109"/>
        <w:gridCol w:w="249"/>
        <w:gridCol w:w="217"/>
        <w:gridCol w:w="483"/>
        <w:gridCol w:w="109"/>
        <w:gridCol w:w="109"/>
        <w:gridCol w:w="109"/>
        <w:gridCol w:w="109"/>
        <w:gridCol w:w="109"/>
        <w:gridCol w:w="154"/>
      </w:tblGrid>
      <w:tr>
        <w:trPr/>
        <w:tc>
          <w:tcPr>
            <w:tcW w:w="131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Cost of revenue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Cost of revenue, excluding TAC</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110,727 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ex-TAC</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116,049 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track the breakdown of Revenue ex-TAC across channels to better understand how our clients are transacting on our platform, which informs decisions as to business strategy and the allocation of resources and capital. The following table presents Revenue ex-TAC by channel:</w:t>
      </w:r>
    </w:p>
    <w:tbl>
      <w:tblPr>
        <w:tblW w:w="5547" w:type="dxa"/>
        <w:jc w:val="left"/>
        <w:tblInd w:w="0" w:type="dxa"/>
        <w:tblLayout w:type="fixed"/>
        <w:tblCellMar>
          <w:top w:w="28" w:type="dxa"/>
          <w:left w:w="28" w:type="dxa"/>
          <w:bottom w:w="28" w:type="dxa"/>
          <w:right w:w="28" w:type="dxa"/>
        </w:tblCellMar>
      </w:tblPr>
      <w:tblGrid>
        <w:gridCol w:w="315"/>
        <w:gridCol w:w="277"/>
        <w:gridCol w:w="278"/>
        <w:gridCol w:w="211"/>
        <w:gridCol w:w="826"/>
        <w:gridCol w:w="109"/>
        <w:gridCol w:w="109"/>
        <w:gridCol w:w="109"/>
        <w:gridCol w:w="109"/>
        <w:gridCol w:w="232"/>
        <w:gridCol w:w="908"/>
        <w:gridCol w:w="119"/>
        <w:gridCol w:w="109"/>
        <w:gridCol w:w="109"/>
        <w:gridCol w:w="109"/>
        <w:gridCol w:w="218"/>
        <w:gridCol w:w="218"/>
        <w:gridCol w:w="483"/>
        <w:gridCol w:w="109"/>
        <w:gridCol w:w="109"/>
        <w:gridCol w:w="109"/>
        <w:gridCol w:w="109"/>
        <w:gridCol w:w="109"/>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ex-TAC</w:t>
            </w:r>
          </w:p>
        </w:tc>
        <w:tc>
          <w:tcPr>
            <w:tcW w:w="699" w:type="dxa"/>
            <w:gridSpan w:val="6"/>
            <w:tcBorders/>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Desktop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00"/>
        <w:ind w:left="0" w:right="0" w:firstLine="720"/>
        <w:jc w:val="left"/>
        <w:rPr/>
      </w:pPr>
      <w:r>
        <w:rPr/>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ex-TAC increased $9.0 million, or 8%, for the three months ended March 31, 2023 compared to the three months ended March 31, 2022. The increase in Revenue ex-TAC was primarily due to growth in mobile and CTV. This was partially offset by a decline in our desktop business.</w:t>
      </w:r>
    </w:p>
    <w:p>
      <w:pPr>
        <w:pStyle w:val="TextBody"/>
        <w:bidi w:val="0"/>
        <w:spacing w:lineRule="auto" w:line="288" w:before="100" w:after="283"/>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gains or losses on extinguishment of debt, non-operational real estate and other expense (income), net, and provision (benefit) for income taxes. We believe Adjusted EBITDA is useful to investors in evaluating our performance for the following reasons: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Stock-based compensation is a non-cash charge and will remain an element of our long-term incentive compensation package, although we exclude it as an expense when evaluating our ongoing operating performance for a particular period.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Depreciation and amortization are non-cash charges, and the assets being depreciated or amortized will often have to be replaced in the future, but Adjusted EBITDA does not reflect any cash requirements for these replacements.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Impairment charges are non-cash charges related to goodwill, intangible assets and/or long-lived assets.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non-cash charges related to acquisition and related items, such as amortization of acquired intangible assets, merger, acquisition, or restructuring related severance costs, and changes in the fair value of contingent consideration.</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cash and non-cash charges and changes in, or cash requirements for, acquisition and related items, such as certain transaction expenses and expenses associated with earn-out amounts.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changes in our working capital needs, capital expenditures, non-operational real estate expenses or income, or contractual commitments.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cash requirements for income taxes and the cash impact of other income or expense.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Other companies may calculate Adjusted EBITDA differently than we do, limiting its usefulness as a comparative measure.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loss, the most comparable GAAP measure, to Adjusted EBITDA for the three months ended March 31, 2023 and 2022 (in thousands):</w:t>
      </w:r>
    </w:p>
    <w:tbl>
      <w:tblPr>
        <w:tblW w:w="10205" w:type="dxa"/>
        <w:jc w:val="left"/>
        <w:tblInd w:w="0" w:type="dxa"/>
        <w:tblLayout w:type="fixed"/>
        <w:tblCellMar>
          <w:top w:w="28" w:type="dxa"/>
          <w:left w:w="28" w:type="dxa"/>
          <w:bottom w:w="28" w:type="dxa"/>
          <w:right w:w="28" w:type="dxa"/>
        </w:tblCellMar>
      </w:tblPr>
      <w:tblGrid>
        <w:gridCol w:w="2553"/>
        <w:gridCol w:w="2179"/>
        <w:gridCol w:w="2192"/>
        <w:gridCol w:w="234"/>
        <w:gridCol w:w="879"/>
        <w:gridCol w:w="121"/>
        <w:gridCol w:w="109"/>
        <w:gridCol w:w="109"/>
        <w:gridCol w:w="109"/>
        <w:gridCol w:w="234"/>
        <w:gridCol w:w="879"/>
        <w:gridCol w:w="121"/>
        <w:gridCol w:w="109"/>
        <w:gridCol w:w="109"/>
        <w:gridCol w:w="109"/>
        <w:gridCol w:w="159"/>
      </w:tblGrid>
      <w:tr>
        <w:trPr/>
        <w:tc>
          <w:tcPr>
            <w:tcW w:w="2553"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(98,732)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(deduct):</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excluding amortization of acquired intangible assets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acquired intangibles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 expense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 excluding stock-based compensation expense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Non-operational real estate and other expense, net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 net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for income taxes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decreased by $5.5 million during the three months ended March 31, 2023 compared to the three months ended March 31, 2022, primarily due to increases in cloud hosting, data center, and bandwidth costs and increases in personnel expenses, which are discussed in section "Comparison of the Three Months Ended March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cash and cash equivalents of $236.6 million, of which $41.6 million was held in foreign currency denominated cash accounts, and an aggregate gross principal amount of $703.5 million of indebtedness outstanding under our Term Loan B Facility (as defined below) and our Convertible Senior Notes (as defined below). In addition, we are party to a $65.0 million Revolving Credit Facility (as defined below), of which approximately $5.3 million is assigned to outstanding but undrawn letters of credit. See "Capital Resources" below for further information about our outstanding debt.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cash requirements for the twelve-month period following this report primarily consist of personnel costs, contractual payment obligations, including office leases, data center costs and cloud hosting costs, capital expenditures, payment of interest and required principal payments on our Convertible Senior Notes and Term Loan B Facility, cash outlays for income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working capital needs and cash conversion cycle, which is influenced by seasonality and may be negatively impacted as a result of pandemics, inflationary, recessionary and other macroeconomic challenges, can have large fluctuations due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timing of receipts from buyers and timing of disbursements to sellers. In addition, in the event a buyer defaults on payment, we may still be required to pay sellers for the inventory purchased. Our capital expenditure investments tend to be higher in the second half of the year. The impacts from changes in working capital and capital expenditures can significantly impact our cash flows and therefore, our liquidity during any period presented.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cash generated from operating activities, and amounts available to borrow under our Revolving Credit Facility will be sufficient to meet our working capital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and macroeconomic factors like labor shortages, supply chain disruptions, and inflation impacting the markets and communities in which our clients operate and the factors set forth in Part I, Item 1A: "Risk Factors" of our Annual Report on Form 10-K for the year ended December 31, 2022.</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March 31, 2023, the balance of the Convertible Senior Notes was $343.8 million, net of unamortized debt issuance costs of $5.9 million. Accrued interest for the Convertible Senior Notes at March 31, 2023 was immaterial.</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 Although the Company’s incremental exposure to the additional cash payment above the principal amount of the Convertible Senior Notes is reduced by the capped calls, conversion of the Convertible Senior Notes by the holders may cause dilution to the ownership interests of existing stockholders. See Note 13 "Debt" in the notes to unaudited condensed consolidated financial statements included in this Quarterly Report for more information regarding terms and conditions of the Convertible Senior Notes and the capped call transactions.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2021, and in conjunction with the SpotX Acquisition, we entered into a credit agreement (the "Credit Agreement") with Goldman Sachs Bank USA as administrative and collateral agent, and other lending parties thereto for a $360.0 million seven-year senior secured term loan facility ("Term Loan B Facility") and a $52.5 million senior secured revolving credit facility (the "Revolving Credit Facility"), which was subsequently increased to $65.0 million in June 2021. 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 3.75%, in each case, depending on the Company’s first lien net leverage ratio. As part of the Term Loan B Facility, the Company received $325 million in proceeds, net of discounts and fees, which were used to finance the SpotX Acquisition and related transactions and for general corporate purposes. At March 31, 2023, amounts available under the Revolving Credit Facility were $59.7 million, net of letters of credit outstanding in the amount of $5.3 million. Accrued interest for the Term Loan B Facility at March 31, 2023 was $0.8 million.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approved a repurchase plan (the “2023 Repurchase Plan”), pursuant to which the Company is authorized to purchase up to an aggregate of $75.0 million of common stock or Convertible Senior Notes through February 16, 2025. The repurchase program allows the Company to repurchase its common stock or Convertible Senior Notes using open market stock purchases, privately negotiated transactions, block trades or other means in accordance with U.S. securities laws. Approximately $34.2 million remained available for purchases under this repurchase program as of March 31, 2023.</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balance is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by certain macroeconomic challenges, such as capital market disruptions and instability of financial institutions.         </w:t>
      </w:r>
    </w:p>
    <w:p>
      <w:pPr>
        <w:pStyle w:val="TextBody"/>
        <w:bidi w:val="0"/>
        <w:spacing w:lineRule="auto" w:line="288" w:before="200" w:after="283"/>
        <w:jc w:val="left"/>
        <w:rPr/>
      </w:pPr>
      <w:r>
        <w:rPr>
          <w:color w:val="000000"/>
        </w:rPr>
        <w:t>    </w:t>
      </w:r>
      <w:r>
        <w:rPr>
          <w:rFonts w:ascii="Times New Roman;sans-serif" w:hAnsi="Times New Roman;sans-serif"/>
          <w:b/>
          <w:i/>
          <w:color w:val="000000"/>
          <w:sz w:val="20"/>
        </w:rPr>
        <w:t>Cash Flows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9297" w:type="dxa"/>
        <w:jc w:val="center"/>
        <w:tblInd w:w="0" w:type="dxa"/>
        <w:tblLayout w:type="fixed"/>
        <w:tblCellMar>
          <w:top w:w="28" w:type="dxa"/>
          <w:left w:w="28" w:type="dxa"/>
          <w:bottom w:w="28" w:type="dxa"/>
          <w:right w:w="28" w:type="dxa"/>
        </w:tblCellMar>
      </w:tblPr>
      <w:tblGrid>
        <w:gridCol w:w="2317"/>
        <w:gridCol w:w="2041"/>
        <w:gridCol w:w="2047"/>
        <w:gridCol w:w="238"/>
        <w:gridCol w:w="899"/>
        <w:gridCol w:w="123"/>
        <w:gridCol w:w="109"/>
        <w:gridCol w:w="109"/>
        <w:gridCol w:w="109"/>
        <w:gridCol w:w="237"/>
        <w:gridCol w:w="895"/>
        <w:gridCol w:w="173"/>
      </w:tblGrid>
      <w:tr>
        <w:trPr/>
        <w:tc>
          <w:tcPr>
            <w:tcW w:w="2317"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provided by operating activities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cash equivalents and restricted cash</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(89,904)</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(25,809)</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r>
        <w:rPr>
          <w:rFonts w:ascii="Times New Roman;sans-serif" w:hAnsi="Times New Roman;sans-serif"/>
          <w:b/>
          <w:i/>
          <w:color w:val="000000"/>
          <w:sz w:val="20"/>
        </w:rPr>
        <w:t>Operating Activities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from operating activities are primarily driven by revenue from transactions of advertising on our platform, offset by the cash costs of operations, and are significantly influenced by the timing of and fluctuations in receipts from buyers and related payments to sellers. Our future cash flows will be diminished if we cannot increase our revenue levels and manage costs appropriately.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cash used in operating activities was $30.9 million compared to net cash provided by operating activities of $21.6 million for the three months ended March 31, 2022. Our operating activities included our net loss of $98.7 million and $44.6 million for the three months ended March 31, 2023 and 2022, respectively, which were offset by non-cash adjustments of $109.1 million and $66.1 million, respectively. Net changes in our working capital resulted in $41.3 million of cash used in operating activities and $0.1 million of cash provided by operating activities for the three months ended March 31, 2023 and March 31, 2022, respectively. The net changes in working capital for both periods are primarily due to the timing of cash receipts from buyers and the timing of payments to sellers.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cash flows from operations will continue to fluctuate, but in general will increase over time as our business continues to grow.</w:t>
      </w:r>
    </w:p>
    <w:p>
      <w:pPr>
        <w:pStyle w:val="TextBody"/>
        <w:bidi w:val="0"/>
        <w:spacing w:lineRule="auto" w:line="288" w:before="200" w:after="283"/>
        <w:jc w:val="left"/>
        <w:rPr>
          <w:color w:val="000000"/>
        </w:rPr>
      </w:pPr>
      <w:r>
        <w:rPr>
          <w:color w:val="000000"/>
        </w:rPr>
        <w:t>    </w:t>
      </w:r>
      <w:r>
        <w:rPr>
          <w:rFonts w:ascii="Times New Roman;sans-serif" w:hAnsi="Times New Roman;sans-serif"/>
          <w:b/>
          <w:i/>
          <w:color w:val="000000"/>
          <w:sz w:val="20"/>
        </w:rPr>
        <w:t xml:space="preserve">Investing Activities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investing activities have consisted of acquisitions of businesses, purchases of property and equipment, capital expenditures in support of creating and enhancing our technology infrastructure, and investments in, and maturities of, available-for-sale securities. Purchases of property and equipment and investments in internal use software development may vary from period-to-period due to the timing of the expansion of our operations, changes to headcount, and the cycles of our internal use software development. We anticipate investment in internal use software development and purchases of property and equipment to decrease in 2023 compared to 2022. Historically, a majority of our purchases in property and equipment have occurred in the latter half of the year in preparation for the peak volumes of the fourth quarter and early in the first quarter of the following year; however, in 2023, we expect these investments to occur more evenly throughout the year.</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our investing activities used net cash of $7.5 million and $31.3 million, respectively. During the three months ended March 31, 2023 and 2022, we used cash for purchases of property and equipment of $4.4 million and $7.2 million, respectively, and used cash for investments in our internally developed software of $3.1 million and $3.4 million, respectively. The three months ended March 31, 2022 included net cash used of $20.8 million to acquire Carbon.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cash flows used in our investing activities will generally increase in order to support our overall growth, in particular with respect to investments in property and equipment and internally developed software. In addition, our cash flows from investing activities may fluctuate depending on future acquisition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00"/>
        <w:jc w:val="left"/>
        <w:rPr>
          <w:color w:val="000000"/>
        </w:rPr>
      </w:pPr>
      <w:r>
        <w:rPr>
          <w:color w:val="000000"/>
        </w:rPr>
        <w:t>    </w:t>
      </w:r>
      <w:r>
        <w:rPr>
          <w:rFonts w:ascii="Times New Roman;sans-serif" w:hAnsi="Times New Roman;sans-serif"/>
          <w:b/>
          <w:i/>
          <w:color w:val="000000"/>
          <w:sz w:val="20"/>
        </w:rPr>
        <w:t xml:space="preserve">Financing Activities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consisted of our Convertible Senior Notes transactions, repayment of amounts borrowed under our Term Loan B Facility, transactions related to our equity plans, and stock and convertible note purchases under the repurchase plans.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net cash used by financing activities was $51.8 million and $16.4 million, respectively. Cash outflows from financing activities for the three months ended March 31, 2023 primarily included a $40.8 million payment related to repurchases of our Convertible Senior Notes, $9.0 million for taxes paid related to net share settlement of stock-based awards, a $2.3 million payment of our indemnification claims holdback, and a $0.9 million repayment of our Term Loan B. The outflows were partially offset by cash proceeds from stock options exercised of $1.5 million.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outflows from financing activities for the three months ended March 31, 2022 primarily included a $12.1 million payment related to share repurchases, $4.3 million for taxes paid related to net share settlement of stock-based awards, and a $0.9 million repayment of our Term Loan B. The outflows were offset by cash proceeds from stock options exercised of $1.1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Off-Balance Sheet Arrangements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March 31, 2023 other than the short-term operating leases and the indemnification agreements described below, and commitments mentioned in Note 12 - "Commitments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Contractual Obligations and Known Future Cash Requirements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our principal commitments consist of obligations under our Convertible Senior Notes, Term Loan B Facility, Revolving Credit Facility, leases for our various office facilities, including our corporate headquarters in New York, New York and office in Los Angeles, California, operating lease agreements, including data centers, and cloud hosting services that expire at various times through 2033. In certain cases, the terms of the lease agreements provide for rental payments on a graduated basis.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future lease obligations, payments of principal and interest under our debt agreements, sublease income, and other future payments due under non-cancelable agreements at March 31, 2023 (in thousands):</w:t>
      </w:r>
    </w:p>
    <w:tbl>
      <w:tblPr>
        <w:tblW w:w="10975" w:type="dxa"/>
        <w:jc w:val="left"/>
        <w:tblInd w:w="0" w:type="dxa"/>
        <w:tblLayout w:type="fixed"/>
        <w:tblCellMar>
          <w:top w:w="28" w:type="dxa"/>
          <w:left w:w="28" w:type="dxa"/>
          <w:bottom w:w="28" w:type="dxa"/>
          <w:right w:w="28" w:type="dxa"/>
        </w:tblCellMar>
      </w:tblPr>
      <w:tblGrid>
        <w:gridCol w:w="753"/>
        <w:gridCol w:w="306"/>
        <w:gridCol w:w="3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75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associated with leases included Right of Use Asset as of March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for leases not included in Lease liabilities as of March 31,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Term Loan B</w:t>
            </w:r>
            <w:r>
              <w:rPr>
                <w:color w:val="000000"/>
              </w:rPr>
              <w:t xml:space="preserve">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Term Loan B</w:t>
            </w:r>
            <w:r>
              <w:rPr>
                <w:color w:val="000000"/>
              </w:rPr>
              <w:t xml:space="preserve"> </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sublease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non-cancelable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983,710 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7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only scheduled amortization of payments and excludes currently unknown prepayment amounts that may be required, per terms of the Credit Agreement, after the end of each fiscal year.</w:t>
            </w:r>
          </w:p>
        </w:tc>
      </w:tr>
      <w:tr>
        <w:trPr/>
        <w:tc>
          <w:tcPr>
            <w:tcW w:w="1097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Interest payments are based on an assumed rate of 9.91%, which was the rate as of March 31, 2023 for the associated Term Loan B Facility.</w:t>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for leases not included in the lease liabilities as of March 31, 2023 include commitments under agreements for office space and data centers that have not commenced as of March 31, 2023.</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Payments associated with our Convertible Senior Notes are based on contractual terms and intended timing of repayments of long-term debt and associated interest and do not assume conversion prior to the maturity date.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non-cancelable obligations include agreements in the normal course of business and purchase consideration that extend beyond a year as of March 31, 2023. Other non-cancelable obligations above excludes a variable commitment from an agreement for cloud-managed services. The variable commitment begins in July 2023 and ends in June 2025. The future obligation under this agreement will be based on actual spend, as defined in the agreement, with the service provider from July 2022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2023. We estimate the future minimum annual obligation to be approximately $55 million to $60 million in each twelve-month period (i.e. July 2023 to June 2024 and July 2024 to June 2025).</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assumptions and estimates have the greatest potential impact on our condensed consolidated financial statements: (i) the determination of revenue recognition as net versus gross in our revenue arrangements, (ii) the determination of amounts to capitalize and the estimated useful lives of internal-use software development costs, (iii) the recoverability of intangible assets and goodwill and the determination of the estimated useful lives of intangible assets, (iv) assumptions used in the valuation models to determine the fair value of stock options, awards with market and performance conditions, and stock-based compensation expense, (v) the assumptions used in the valuation of acquired assets and liabilities in business combinations, and (vi) income taxes, including the realization of tax assets and estimates of tax liabilities. Besides the adoption of new accounting pronouncements, as included within "Note 1—Organization and Summary of Significant Accounting Policies" to the condensed consolidated financial statements in this report, there have been no significant changes in our accounting policies or estimates from those disclosed in our audited consolidated financial statements and notes thereto for the year ended December 31, 2022 included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recent accounting pronouncements, refer to Note 1 "Organization and Summary of Significant Accounting Policies" to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certain global macroeconomic challenges and market conditions.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Interest Rate Fluctuation Risk</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consist of cash and money market funds, but may from time to time also include commercial paper,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economic interest rate expense exposure on our Convertible Senior Notes due to their fixed interest rate nature. The amount paid upon redemption is not based on changes in any index or changing market rates. It is fixed at 100% of the principal amount of the Convertible Senior Notes plus unpaid interest. Since the Convertible Senior Notes bear fixed rate coupon, we are not exposed to interest rate risk on those notes, however, the fair value of those notes will change as market interest rates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Term Loan B Facility under the Credit Agreement which bears a floating rate of interest that resets periodically, subject to a 0.75% floor on that floating rate, according to the terms of the agreement. Our financial results have been exposed to changes in the underlying base interest rate on that debt because the underlying base interest rate has now reset above the floor on such underlying interest rate. The fair value of Term Loan B Facility may fluctuate when the underlying base interest rate fluctuates below the floor or when the rate of return demanded by our loan investors increases relative to when the loans were issued. As of March 31, 2023, the Company had no outstanding borrowings under the Revolving Credit Facility. Should the company borrow under the Revolving Credit Facility at any point in the future, any associated borrowings would have a floating underlying base rate of interest that would expose the Company to interest rate risk.</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believe that an increase or decrease in interest rates of 100 basis points would have a material effect on our operating results or financial condition. The annualized impact to interest expense for each 100 basis points increase above the LIBOR Floor on our Term Loan B Facility is approximately $3.5 million. The actual impact to our financial results of the same increase in interest rates is expected to be lower than $3.5 million depending on the timing and magnitude of such rate changes relative to our LIBOR Floor, and will be partially offset by higher interest income earned on our cash and cash equivalent balances over the same period. In future periods, we will continue to evaluate our investment opportunities and policy relative to our overall objectives.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regard to all debt currently outstanding, the company is potentially exposed to refinancing risk, should the Company seek to refinance existing debt or raise new debt in the future, and the prevailing cost or terms for that debt differs from terms in our current debt agreements.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U.S. based company that does business around the globe, we have foreign currency risks related to our revenue and expenses denominated in currencies other than the U.S. Dollar, principally the British Pound, Australian Dollar, Canadian Dollar, and Euro. The volatility of exchange rates depends on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March 31, 2023 and December 31, 2022, including intercompany balances, would result in a foreign currency loss of approximately $9.7 million and $10.5 million, respectively. At this time we do not, but we may in the future, enter into derivatives or other financial instruments in an attempt to hedge our foreign currency exchange risk. It is difficult to predict the impact hedging activities would have on our results of operations.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March 31, 2023, our disclosure controls and procedures were effective at the reasonable assurance level.</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that occurred during the three months ended March 31, 2023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ind w:left="0" w:right="0" w:firstLine="720"/>
        <w:jc w:val="left"/>
        <w:rPr/>
      </w:pPr>
      <w:r>
        <w:rPr>
          <w:rFonts w:ascii="Times New Roman;sans-serif" w:hAnsi="Times New Roman;sans-serif"/>
          <w:b/>
          <w:i/>
          <w:color w:val="000000"/>
          <w:sz w:val="20"/>
        </w:rPr>
        <w:t xml:space="preserve">Inherent Limitations on Effectiveness of Controls </w:t>
      </w:r>
      <w:r>
        <w:rPr>
          <w:color w:val="000000"/>
        </w:rPr>
        <w: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March 31, 2023. However, based on our knowledge as of March 31, 2023, we believe that the final resolution of such matters pending at the time of this report, individually and in the aggregate, will not have a material adverse effect upon our condensed consolidated financial position, results of operations or cash flows.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12—"Commitments and Contingencies" for additional information related to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Investing in our common stock involves a high degree of risk. We describe risks associated with our business below and in Part I, Item 1A: "Risk Factors" of our Annual Report on Form 10-K for the year ended December 31, 2022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In addition, the economic impact of macroeconomic challenges, such as inflation, global conflict, capital market disruptions and the instability of financial institutions, the occurrence of a recession, and other macroeconomic factors may amplify many of the risks described in our risk factors. Accordingly, you are advised to consider additional sources of information and exercise your own judgment in addition to the information we provide.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Recent Sales of Unregistered Securities</w:t>
      </w:r>
    </w:p>
    <w:p>
      <w:pPr>
        <w:pStyle w:val="TextBody"/>
        <w:bidi w:val="0"/>
        <w:spacing w:lineRule="auto" w:line="288" w:before="100" w:after="283"/>
        <w:jc w:val="left"/>
        <w:rPr>
          <w:color w:val="000000"/>
        </w:rPr>
      </w:pPr>
      <w:r>
        <w:rPr>
          <w:color w:val="000000"/>
        </w:rPr>
        <w:t>    </w:t>
      </w:r>
      <w:r>
        <w:rPr>
          <w:rFonts w:ascii="Times New Roman;sans-serif" w:hAnsi="Times New Roman;sans-serif"/>
          <w:b w:val="false"/>
          <w:color w:val="000000"/>
          <w:sz w:val="20"/>
        </w:rPr>
        <w:t xml:space="preserve">None (except as previously disclosed).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 Use of Proceeds</w:t>
      </w:r>
    </w:p>
    <w:p>
      <w:pPr>
        <w:pStyle w:val="TextBody"/>
        <w:bidi w:val="0"/>
        <w:spacing w:lineRule="auto" w:line="288" w:before="100" w:after="283"/>
        <w:jc w:val="left"/>
        <w:rPr>
          <w:color w:val="000000"/>
        </w:rPr>
      </w:pPr>
      <w:r>
        <w:rPr>
          <w:color w:val="000000"/>
        </w:rPr>
        <w:t>    </w:t>
      </w:r>
      <w:r>
        <w:rPr>
          <w:rFonts w:ascii="Times New Roman;sans-serif" w:hAnsi="Times New Roman;sans-serif"/>
          <w:b w:val="false"/>
          <w:color w:val="000000"/>
          <w:sz w:val="20"/>
        </w:rPr>
        <w:t xml:space="preserve">Not Applicable.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 Purchases of Equity Securities by the Company and Affiliated Purchasers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jc w:val="left"/>
        <w:rPr>
          <w:color w:val="000000"/>
        </w:rPr>
      </w:pPr>
      <w:r>
        <w:rPr>
          <w:color w:val="000000"/>
        </w:rPr>
        <w:t>    </w:t>
      </w:r>
      <w:r>
        <w:rPr>
          <w:rFonts w:ascii="Times New Roman;sans-serif" w:hAnsi="Times New Roman;sans-serif"/>
          <w:b w:val="false"/>
          <w:color w:val="000000"/>
          <w:sz w:val="20"/>
        </w:rPr>
        <w:t>Common stock repurchases during the quarter ended March 31, 2023 were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660"/>
        <w:gridCol w:w="425"/>
        <w:gridCol w:w="428"/>
        <w:gridCol w:w="109"/>
        <w:gridCol w:w="109"/>
        <w:gridCol w:w="109"/>
        <w:gridCol w:w="474"/>
        <w:gridCol w:w="474"/>
        <w:gridCol w:w="476"/>
        <w:gridCol w:w="109"/>
        <w:gridCol w:w="109"/>
        <w:gridCol w:w="109"/>
        <w:gridCol w:w="270"/>
        <w:gridCol w:w="789"/>
        <w:gridCol w:w="139"/>
        <w:gridCol w:w="109"/>
        <w:gridCol w:w="109"/>
        <w:gridCol w:w="109"/>
        <w:gridCol w:w="734"/>
        <w:gridCol w:w="734"/>
        <w:gridCol w:w="736"/>
        <w:gridCol w:w="109"/>
        <w:gridCol w:w="109"/>
        <w:gridCol w:w="109"/>
        <w:gridCol w:w="493"/>
        <w:gridCol w:w="1694"/>
        <w:gridCol w:w="371"/>
      </w:tblGrid>
      <w:tr>
        <w:trPr/>
        <w:tc>
          <w:tcPr>
            <w:tcW w:w="6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a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Approximate Dollar Value that May Yet be Purchased Under the Program</w:t>
            </w:r>
          </w:p>
        </w:tc>
      </w:tr>
      <w:tr>
        <w:trPr/>
        <w:tc>
          <w:tcPr>
            <w:tcW w:w="1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January 1 - January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withholding</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Repurchase program</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February 1 - February 28,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withholding</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Repurchase program</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1 -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withholding</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Repurchase program</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Upon vesting of most restricted stock units,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 </w:t>
      </w:r>
    </w:p>
    <w:p>
      <w:pPr>
        <w:pStyle w:val="TextBody"/>
        <w:bidi w:val="0"/>
        <w:spacing w:lineRule="auto" w:line="288" w:before="100" w:after="10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 December 2021, our Board of Directors approved a repurchase program (the "2021 Repurchase Plan") under which the Company was authorized to purchase up to $50.0 million of its common stock during the period from December 10, 2021 to December 10, 2022. On November 4, 2022, the Board of Directors approved an extension of the 2021 Repurchase Plan through December 15, 2023. At the time of extension, there was approximately $28.3 million remaining available under the program. Shares repurchased under the 2021 Repurchase Plan have all been subsequently retired, which was recorded as a reduction in additional paid in capital. The average price paid per share purchased under the Program includes broker commission costs. On February 16, 2023, our Board of Directors approved a repurchase plan (the “2023 Repurchase Plan”), pursuant to which the Company is authorized to purchase up to an aggregate of $75.0 million of common stock or Convertible Senior Notes through February 16, 2025. The 2023 Repurchase Plan replaces the 2021 Repurchase Plan. In March 2023, $40.8 million of the 2023 Repurchase Plan was used to purchase Convertible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1"/>
        <w:gridCol w:w="273"/>
        <w:gridCol w:w="274"/>
        <w:gridCol w:w="109"/>
        <w:gridCol w:w="109"/>
        <w:gridCol w:w="109"/>
        <w:gridCol w:w="2689"/>
        <w:gridCol w:w="2607"/>
        <w:gridCol w:w="3724"/>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2023.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2023.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q12023.htm">
              <w:r>
                <w:rPr>
                  <w:rStyle w:val="InternetLink"/>
                  <w:rFonts w:ascii="Times New Roman;sans-serif" w:hAnsi="Times New Roman;sans-serif"/>
                  <w:b w:val="false"/>
                  <w:color w:val="0000FF"/>
                  <w:sz w:val="20"/>
                  <w:u w:val="single"/>
                </w:rPr>
                <w:t xml:space="preserve">Certification of the Principal Executive Officer and Principal Financial Officer Pursuant to 18 U.S.C. Section 1350, as adopted pursuant to Section 906 of the Sarbanes-Oxley Act of 2002. </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Instance Document- the instance document does not appear in the Interactive Data File because its XBRL tags are embedded within the Inline XBRL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Schema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Definition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200" w:after="200"/>
        <w:jc w:val="left"/>
        <w:rPr>
          <w:color w:val="006EBF"/>
        </w:rPr>
      </w:pPr>
      <w:r>
        <w:rPr>
          <w:color w:val="006EBF"/>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12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hyperlink w:anchor="i49ca28555aa34b97aa8918fb9568d4b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448" w:type="dxa"/>
        <w:jc w:val="center"/>
        <w:tblInd w:w="0" w:type="dxa"/>
        <w:tblLayout w:type="fixed"/>
        <w:tblCellMar>
          <w:top w:w="28" w:type="dxa"/>
          <w:left w:w="28" w:type="dxa"/>
          <w:bottom w:w="28" w:type="dxa"/>
          <w:right w:w="28" w:type="dxa"/>
        </w:tblCellMar>
      </w:tblPr>
      <w:tblGrid>
        <w:gridCol w:w="606"/>
        <w:gridCol w:w="535"/>
        <w:gridCol w:w="538"/>
        <w:gridCol w:w="1394"/>
        <w:gridCol w:w="1394"/>
        <w:gridCol w:w="1981"/>
      </w:tblGrid>
      <w:tr>
        <w:trPr/>
        <w:tc>
          <w:tcPr>
            <w:tcW w:w="60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 (Registrant)</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Day</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Day</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Duly Authorized Officer)</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Exchange Act Rules 13a-14(a) and 15d-14(a),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Michael Barrett,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Quarterly Report on Form 10-Q of Magnite, Inc.;</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a.</w:t>
      </w:r>
      <w:r>
        <w:rPr>
          <w:color w:val="000000"/>
        </w:rPr>
        <w:t>    </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b.</w:t>
      </w:r>
      <w:r>
        <w:rPr>
          <w:color w:val="000000"/>
        </w:rPr>
        <w:t>    </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c.</w:t>
      </w:r>
      <w:r>
        <w:rPr>
          <w:color w:val="000000"/>
        </w:rPr>
        <w:t>    </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 xml:space="preserve">a. </w:t>
      </w:r>
      <w:r>
        <w:rPr>
          <w:color w:val="000000"/>
        </w:rPr>
        <w:t>    </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left"/>
        <w:rPr/>
      </w:pPr>
      <w:r>
        <w:rPr/>
      </w:r>
    </w:p>
    <w:p>
      <w:pPr>
        <w:pStyle w:val="TextBody"/>
        <w:bidi w:val="0"/>
        <w:spacing w:lineRule="auto" w:line="288" w:before="0" w:after="280"/>
        <w:ind w:left="0" w:right="0" w:hanging="540"/>
        <w:jc w:val="left"/>
        <w:rPr/>
      </w:pPr>
      <w:r>
        <w:rPr>
          <w:color w:val="000000"/>
        </w:rPr>
        <w:t> </w:t>
      </w:r>
      <w:r>
        <w:rPr>
          <w:rFonts w:ascii="Times New Roman;sans-serif" w:hAnsi="Times New Roman;sans-serif"/>
          <w:b w:val="false"/>
          <w:color w:val="000000"/>
          <w:sz w:val="18"/>
        </w:rPr>
        <w:t xml:space="preserve">b. </w:t>
      </w:r>
      <w:r>
        <w:rPr>
          <w:color w:val="000000"/>
        </w:rPr>
        <w:t>    </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tbl>
      <w:tblPr>
        <w:tblW w:w="5158" w:type="dxa"/>
        <w:jc w:val="center"/>
        <w:tblInd w:w="0" w:type="dxa"/>
        <w:tblLayout w:type="fixed"/>
        <w:tblCellMar>
          <w:top w:w="28" w:type="dxa"/>
          <w:left w:w="28" w:type="dxa"/>
          <w:bottom w:w="28" w:type="dxa"/>
          <w:right w:w="28" w:type="dxa"/>
        </w:tblCellMar>
      </w:tblPr>
      <w:tblGrid>
        <w:gridCol w:w="542"/>
        <w:gridCol w:w="475"/>
        <w:gridCol w:w="482"/>
        <w:gridCol w:w="274"/>
        <w:gridCol w:w="274"/>
        <w:gridCol w:w="276"/>
        <w:gridCol w:w="827"/>
        <w:gridCol w:w="827"/>
        <w:gridCol w:w="1181"/>
      </w:tblGrid>
      <w:tr>
        <w:trPr/>
        <w:tc>
          <w:tcPr>
            <w:tcW w:w="54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Barrett</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10, 2023</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Barrett</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ans-serif" w:hAnsi="Times New Roman;sans-serif"/>
          <w:b/>
          <w:color w:val="000000"/>
          <w:sz w:val="18"/>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Financial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Exchange Act Rules 13a-14(a) and 15d-14(a),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David Day, certify that: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Quarterly Report on Form 10-Q of Magnite, Inc.;</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 xml:space="preserve">5. </w:t>
      </w:r>
      <w:r>
        <w:rPr>
          <w:color w:val="000000"/>
        </w:rPr>
        <w:t>    </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468" w:type="dxa"/>
        <w:jc w:val="center"/>
        <w:tblInd w:w="0" w:type="dxa"/>
        <w:tblLayout w:type="fixed"/>
        <w:tblCellMar>
          <w:top w:w="28" w:type="dxa"/>
          <w:left w:w="28" w:type="dxa"/>
          <w:bottom w:w="28" w:type="dxa"/>
          <w:right w:w="28" w:type="dxa"/>
        </w:tblCellMar>
      </w:tblPr>
      <w:tblGrid>
        <w:gridCol w:w="542"/>
        <w:gridCol w:w="475"/>
        <w:gridCol w:w="482"/>
        <w:gridCol w:w="274"/>
        <w:gridCol w:w="274"/>
        <w:gridCol w:w="276"/>
        <w:gridCol w:w="627"/>
        <w:gridCol w:w="627"/>
        <w:gridCol w:w="891"/>
      </w:tblGrid>
      <w:tr>
        <w:trPr/>
        <w:tc>
          <w:tcPr>
            <w:tcW w:w="54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David Day</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10, 2023</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Day</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18"/>
        </w:rPr>
      </w:pPr>
      <w:r>
        <w:rPr>
          <w:rFonts w:ascii="Times New Roman;sans-serif" w:hAnsi="Times New Roman;sans-serif"/>
          <w:b/>
          <w:color w:val="000000"/>
          <w:sz w:val="18"/>
        </w:rPr>
        <w:t>Exhibit 32</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CERTIFICATIONS OF PRINCIPAL EXECUTIVE OFFICER AND PRINCIPAL FINANCIAL OFFICER PURSUANT TO 18 U.S.C. SECTION 1350,</w:t>
      </w:r>
    </w:p>
    <w:p>
      <w:pPr>
        <w:pStyle w:val="TextBody"/>
        <w:bidi w:val="0"/>
        <w:spacing w:lineRule="auto" w:line="417" w:before="0" w:after="0"/>
        <w:jc w:val="center"/>
        <w:rPr>
          <w:color w:val="000000"/>
        </w:rPr>
      </w:pPr>
      <w:r>
        <w:rPr>
          <w:color w:val="000000"/>
        </w:rPr>
        <w:t> </w:t>
      </w:r>
      <w:r>
        <w:rPr>
          <w:rFonts w:ascii="Times New Roman;sans-serif" w:hAnsi="Times New Roman;sans-serif"/>
          <w:b/>
          <w:color w:val="000000"/>
          <w:sz w:val="18"/>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Our Quarterly Report on Form 10-Q for the quarter ended March 31, 2023, to which this certification is attached as Exhibit 32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May 10, 2023 </w:t>
      </w:r>
    </w:p>
    <w:p>
      <w:pPr>
        <w:pStyle w:val="TextBody"/>
        <w:bidi w:val="0"/>
        <w:spacing w:before="0" w:after="0"/>
        <w:jc w:val="left"/>
        <w:rPr/>
      </w:pPr>
      <w:r>
        <w:rPr/>
      </w:r>
    </w:p>
    <w:tbl>
      <w:tblPr>
        <w:tblW w:w="3177" w:type="dxa"/>
        <w:jc w:val="center"/>
        <w:tblInd w:w="0" w:type="dxa"/>
        <w:tblLayout w:type="fixed"/>
        <w:tblCellMar>
          <w:top w:w="28" w:type="dxa"/>
          <w:left w:w="28" w:type="dxa"/>
          <w:bottom w:w="28" w:type="dxa"/>
          <w:right w:w="28" w:type="dxa"/>
        </w:tblCellMar>
      </w:tblPr>
      <w:tblGrid>
        <w:gridCol w:w="124"/>
        <w:gridCol w:w="109"/>
        <w:gridCol w:w="109"/>
        <w:gridCol w:w="827"/>
        <w:gridCol w:w="827"/>
        <w:gridCol w:w="11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Barrett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Barrett</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20" w:after="280"/>
        <w:jc w:val="left"/>
        <w:rPr/>
      </w:pPr>
      <w:r>
        <w:rPr/>
      </w:r>
    </w:p>
    <w:tbl>
      <w:tblPr>
        <w:tblW w:w="2487" w:type="dxa"/>
        <w:jc w:val="center"/>
        <w:tblInd w:w="0" w:type="dxa"/>
        <w:tblLayout w:type="fixed"/>
        <w:tblCellMar>
          <w:top w:w="28" w:type="dxa"/>
          <w:left w:w="28" w:type="dxa"/>
          <w:bottom w:w="28" w:type="dxa"/>
          <w:right w:w="28" w:type="dxa"/>
        </w:tblCellMar>
      </w:tblPr>
      <w:tblGrid>
        <w:gridCol w:w="124"/>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David Day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Day</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spacing w:before="20" w:after="283"/>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27741</Words>
  <Characters>154896</Characters>
  <CharactersWithSpaces>181302</CharactersWithSpaces>
  <Paragraphs>2434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