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1080" w:type="dxa"/>
            <w:vAlign w:val="bottom"/>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Day David</w:t>
              </w:r>
            </w:hyperlink>
          </w:p>
        </w:tc>
        <w:tc>
          <w:tcPr>
            <w:tcW w:w="9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MAGNITE,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MGNI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6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00" w:type="dxa"/>
            <w:vAlign w:val="bottom"/>
            <w:gridSpan w:val="2"/>
          </w:tcPr>
          <w:p>
            <w:pPr>
              <w:spacing w:after="0"/>
              <w:rPr>
                <w:sz w:val="20"/>
                <w:szCs w:val="20"/>
                <w:color w:val="auto"/>
              </w:rPr>
            </w:pPr>
            <w:r>
              <w:rPr>
                <w:rFonts w:ascii="Arial" w:cs="Arial" w:eastAsia="Arial" w:hAnsi="Arial"/>
                <w:sz w:val="17"/>
                <w:szCs w:val="17"/>
                <w:color w:val="0000FF"/>
              </w:rPr>
              <w:t>MAGNITE, INC.</w:t>
            </w:r>
          </w:p>
        </w:tc>
        <w:tc>
          <w:tcPr>
            <w:tcW w:w="1640" w:type="dxa"/>
            <w:vAlign w:val="bottom"/>
          </w:tcPr>
          <w:p>
            <w:pPr>
              <w:spacing w:after="0"/>
              <w:rPr>
                <w:sz w:val="22"/>
                <w:szCs w:val="22"/>
                <w:color w:val="auto"/>
              </w:rPr>
            </w:pPr>
          </w:p>
        </w:tc>
        <w:tc>
          <w:tcPr>
            <w:tcW w:w="3900" w:type="dxa"/>
            <w:vAlign w:val="bottom"/>
            <w:gridSpan w:val="3"/>
          </w:tcPr>
          <w:p>
            <w:pPr>
              <w:ind w:left="160"/>
              <w:spacing w:after="0"/>
              <w:rPr>
                <w:sz w:val="20"/>
                <w:szCs w:val="20"/>
                <w:color w:val="auto"/>
              </w:rPr>
            </w:pPr>
            <w:r>
              <w:rPr>
                <w:rFonts w:ascii="Arial" w:cs="Arial" w:eastAsia="Arial" w:hAnsi="Arial"/>
                <w:sz w:val="17"/>
                <w:szCs w:val="17"/>
                <w:color w:val="0000FF"/>
              </w:rPr>
              <w:t>11/16/2020</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12181 BLUFF CREEK DRIVE, 4TH FLOOR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0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00" w:type="dxa"/>
            <w:vAlign w:val="bottom"/>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00" w:type="dxa"/>
            <w:vAlign w:val="bottom"/>
          </w:tcPr>
          <w:p>
            <w:pPr>
              <w:ind w:left="980"/>
              <w:spacing w:after="0"/>
              <w:rPr>
                <w:sz w:val="20"/>
                <w:szCs w:val="20"/>
                <w:color w:val="auto"/>
              </w:rPr>
            </w:pPr>
            <w:r>
              <w:rPr>
                <w:rFonts w:ascii="Arial" w:cs="Arial" w:eastAsia="Arial" w:hAnsi="Arial"/>
                <w:sz w:val="17"/>
                <w:szCs w:val="17"/>
                <w:color w:val="0000FF"/>
              </w:rPr>
              <w:t>CFO</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90094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11/16/2020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16,256</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11.06</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295,368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non-discretionary sale of shares on behalf of the reporting person pursuant to an arrangement mandated by the Issuer to cover the tax withholding obligations associated with the vesting of restricted stock units.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w w:val="98"/>
              </w:rPr>
              <w:t>Aaron Saltz, attorney in fact</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11/18/2020</w:t>
            </w:r>
          </w:p>
        </w:tc>
      </w:tr>
      <w:tr>
        <w:trPr>
          <w:trHeight w:val="233"/>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23288" TargetMode="External"/><Relationship Id="rId14" Type="http://schemas.openxmlformats.org/officeDocument/2006/relationships/hyperlink" Target="http://www.sec.gov/cgi-bin/browse-edgar?action=getcompany&amp;CIK=0001595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2020-11-18T18:07:55Z</dcterms:created>
  <dcterms:modified xsi:type="dcterms:W3CDTF">2020-11-18T18:07:55Z</dcterms:modified>
</cp:coreProperties>
</file>