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0" w:lineRule="exact"/>
        <w:rPr>
          <w:sz w:val="24"/>
          <w:szCs w:val="24"/>
          <w:color w:val="auto"/>
        </w:rPr>
      </w:pPr>
    </w:p>
    <w:p>
      <w:pPr>
        <w:ind w:left="4840"/>
        <w:spacing w:after="0"/>
        <w:rPr>
          <w:sz w:val="20"/>
          <w:szCs w:val="20"/>
          <w:color w:val="auto"/>
        </w:rPr>
      </w:pPr>
      <w:r>
        <w:rPr>
          <w:rFonts w:ascii="Arial" w:cs="Arial" w:eastAsia="Arial" w:hAnsi="Arial"/>
          <w:sz w:val="17"/>
          <w:szCs w:val="17"/>
          <w:b w:val="1"/>
          <w:bCs w:val="1"/>
          <w:color w:val="auto"/>
        </w:rPr>
        <w:t>__________________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33" w:lineRule="exact"/>
        <w:rPr>
          <w:sz w:val="24"/>
          <w:szCs w:val="24"/>
          <w:color w:val="auto"/>
        </w:rPr>
      </w:pPr>
    </w:p>
    <w:p>
      <w:pPr>
        <w:ind w:left="4840"/>
        <w:spacing w:after="0"/>
        <w:rPr>
          <w:sz w:val="20"/>
          <w:szCs w:val="20"/>
          <w:color w:val="auto"/>
        </w:rPr>
      </w:pPr>
      <w:r>
        <w:rPr>
          <w:rFonts w:ascii="Arial" w:cs="Arial" w:eastAsia="Arial" w:hAnsi="Arial"/>
          <w:sz w:val="17"/>
          <w:szCs w:val="17"/>
          <w:b w:val="1"/>
          <w:bCs w:val="1"/>
          <w:color w:val="auto"/>
        </w:rPr>
        <w:t>__________________</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7"/>
          <w:szCs w:val="17"/>
          <w:color w:val="auto"/>
        </w:rPr>
        <w:t>(Mark One)</w:t>
      </w:r>
    </w:p>
    <w:p>
      <w:pPr>
        <w:spacing w:after="0" w:line="226" w:lineRule="exact"/>
        <w:rPr>
          <w:sz w:val="24"/>
          <w:szCs w:val="24"/>
          <w:color w:val="auto"/>
        </w:rPr>
      </w:pPr>
    </w:p>
    <w:p>
      <w:pPr>
        <w:ind w:left="1360" w:hanging="195"/>
        <w:spacing w:after="0"/>
        <w:tabs>
          <w:tab w:leader="none" w:pos="13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2022</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6" w:lineRule="exact"/>
        <w:rPr>
          <w:sz w:val="24"/>
          <w:szCs w:val="24"/>
          <w:color w:val="auto"/>
        </w:rPr>
      </w:pPr>
    </w:p>
    <w:p>
      <w:pPr>
        <w:jc w:val="center"/>
        <w:ind w:left="3260" w:right="1120" w:hanging="2123"/>
        <w:spacing w:after="0" w:line="274" w:lineRule="auto"/>
        <w:tabs>
          <w:tab w:leader="none" w:pos="1343"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_____________ to _____________</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001-36384</w:t>
      </w:r>
    </w:p>
    <w:p>
      <w:pPr>
        <w:spacing w:after="0" w:line="30" w:lineRule="exact"/>
        <w:rPr>
          <w:sz w:val="24"/>
          <w:szCs w:val="24"/>
          <w:color w:val="auto"/>
        </w:rPr>
      </w:pPr>
    </w:p>
    <w:p>
      <w:pPr>
        <w:ind w:left="4840"/>
        <w:spacing w:after="0"/>
        <w:rPr>
          <w:sz w:val="20"/>
          <w:szCs w:val="20"/>
          <w:color w:val="auto"/>
        </w:rPr>
      </w:pPr>
      <w:r>
        <w:rPr>
          <w:rFonts w:ascii="Arial" w:cs="Arial" w:eastAsia="Arial" w:hAnsi="Arial"/>
          <w:sz w:val="17"/>
          <w:szCs w:val="17"/>
          <w:b w:val="1"/>
          <w:bCs w:val="1"/>
          <w:color w:val="auto"/>
        </w:rPr>
        <w:t>__________________</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MAGNITE,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p>
    <w:p>
      <w:pPr>
        <w:ind w:left="4860"/>
        <w:spacing w:after="0"/>
        <w:rPr>
          <w:sz w:val="20"/>
          <w:szCs w:val="20"/>
          <w:color w:val="auto"/>
        </w:rPr>
      </w:pPr>
      <w:r>
        <w:rPr>
          <w:rFonts w:ascii="Arial" w:cs="Arial" w:eastAsia="Arial" w:hAnsi="Arial"/>
          <w:sz w:val="17"/>
          <w:szCs w:val="17"/>
          <w:b w:val="1"/>
          <w:bCs w:val="1"/>
          <w:color w:val="auto"/>
        </w:rPr>
        <w:t>__________________</w:t>
      </w:r>
    </w:p>
    <w:p>
      <w:pPr>
        <w:spacing w:after="0" w:line="122" w:lineRule="exact"/>
        <w:rPr>
          <w:sz w:val="24"/>
          <w:szCs w:val="24"/>
          <w:color w:val="auto"/>
        </w:rPr>
      </w:pPr>
    </w:p>
    <w:p>
      <w:pPr>
        <w:ind w:left="1860"/>
        <w:spacing w:after="0"/>
        <w:tabs>
          <w:tab w:leader="none" w:pos="8580" w:val="left"/>
        </w:tabs>
        <w:rPr>
          <w:sz w:val="20"/>
          <w:szCs w:val="20"/>
          <w:color w:val="auto"/>
        </w:rPr>
      </w:pPr>
      <w:r>
        <w:rPr>
          <w:rFonts w:ascii="Arial" w:cs="Arial" w:eastAsia="Arial" w:hAnsi="Arial"/>
          <w:sz w:val="17"/>
          <w:szCs w:val="17"/>
          <w:b w:val="1"/>
          <w:bCs w:val="1"/>
          <w:color w:val="auto"/>
        </w:rPr>
        <w:t>Delaware</w:t>
      </w:r>
      <w:r>
        <w:rPr>
          <w:sz w:val="20"/>
          <w:szCs w:val="20"/>
          <w:color w:val="auto"/>
        </w:rPr>
        <w:tab/>
      </w:r>
      <w:r>
        <w:rPr>
          <w:rFonts w:ascii="Arial" w:cs="Arial" w:eastAsia="Arial" w:hAnsi="Arial"/>
          <w:sz w:val="17"/>
          <w:szCs w:val="17"/>
          <w:b w:val="1"/>
          <w:bCs w:val="1"/>
          <w:color w:val="auto"/>
        </w:rPr>
        <w:t>20-8881738</w:t>
      </w:r>
    </w:p>
    <w:p>
      <w:pPr>
        <w:spacing w:after="0" w:line="17" w:lineRule="exact"/>
        <w:rPr>
          <w:sz w:val="24"/>
          <w:szCs w:val="24"/>
          <w:color w:val="auto"/>
        </w:rPr>
      </w:pPr>
    </w:p>
    <w:p>
      <w:pPr>
        <w:ind w:left="640"/>
        <w:spacing w:after="0"/>
        <w:tabs>
          <w:tab w:leader="none" w:pos="7740" w:val="left"/>
        </w:tabs>
        <w:rPr>
          <w:sz w:val="20"/>
          <w:szCs w:val="20"/>
          <w:color w:val="auto"/>
        </w:rPr>
      </w:pPr>
      <w:r>
        <w:rPr>
          <w:rFonts w:ascii="Arial" w:cs="Arial" w:eastAsia="Arial" w:hAnsi="Arial"/>
          <w:sz w:val="17"/>
          <w:szCs w:val="17"/>
          <w:color w:val="auto"/>
        </w:rPr>
        <w:t>(State or other jurisdiction of incorporation or</w:t>
      </w:r>
      <w:r>
        <w:rPr>
          <w:sz w:val="20"/>
          <w:szCs w:val="20"/>
          <w:color w:val="auto"/>
        </w:rPr>
        <w:tab/>
      </w:r>
      <w:r>
        <w:rPr>
          <w:rFonts w:ascii="Arial" w:cs="Arial" w:eastAsia="Arial" w:hAnsi="Arial"/>
          <w:sz w:val="16"/>
          <w:szCs w:val="16"/>
          <w:color w:val="auto"/>
        </w:rPr>
        <w:t>(I.R.S. Employer Identification No.)</w:t>
      </w:r>
    </w:p>
    <w:p>
      <w:pPr>
        <w:ind w:left="1760"/>
        <w:spacing w:after="0"/>
        <w:rPr>
          <w:sz w:val="20"/>
          <w:szCs w:val="20"/>
          <w:color w:val="auto"/>
        </w:rPr>
      </w:pPr>
      <w:r>
        <w:rPr>
          <w:rFonts w:ascii="Arial" w:cs="Arial" w:eastAsia="Arial" w:hAnsi="Arial"/>
          <w:sz w:val="17"/>
          <w:szCs w:val="17"/>
          <w:color w:val="auto"/>
        </w:rPr>
        <w:t>organization)</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1250 Broadway, 15th Floor</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New York, New York 10001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4" w:lineRule="exact"/>
        <w:rPr>
          <w:sz w:val="24"/>
          <w:szCs w:val="24"/>
          <w:color w:val="auto"/>
        </w:rPr>
      </w:pPr>
    </w:p>
    <w:p>
      <w:pPr>
        <w:ind w:left="5500" w:hanging="415"/>
        <w:spacing w:after="0"/>
        <w:tabs>
          <w:tab w:leader="none" w:pos="55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243-2769</w:t>
      </w:r>
    </w:p>
    <w:p>
      <w:pPr>
        <w:spacing w:after="0" w:line="83" w:lineRule="exact"/>
        <w:rPr>
          <w:rFonts w:ascii="Arial" w:cs="Arial" w:eastAsia="Arial" w:hAnsi="Arial"/>
          <w:sz w:val="17"/>
          <w:szCs w:val="17"/>
          <w:b w:val="1"/>
          <w:bCs w:val="1"/>
          <w:color w:val="auto"/>
        </w:rPr>
      </w:pPr>
    </w:p>
    <w:p>
      <w:pPr>
        <w:ind w:left="50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______________</w:t>
      </w:r>
    </w:p>
    <w:p>
      <w:pPr>
        <w:spacing w:after="0" w:line="250"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41" w:lineRule="exact"/>
        <w:rPr>
          <w:sz w:val="24"/>
          <w:szCs w:val="24"/>
          <w:color w:val="auto"/>
        </w:rPr>
      </w:pPr>
    </w:p>
    <w:p>
      <w:pPr>
        <w:ind w:left="1440"/>
        <w:spacing w:after="0"/>
        <w:tabs>
          <w:tab w:leader="none" w:pos="4460" w:val="left"/>
          <w:tab w:leader="none" w:pos="7160" w:val="left"/>
        </w:tabs>
        <w:rPr>
          <w:sz w:val="20"/>
          <w:szCs w:val="20"/>
          <w:color w:val="auto"/>
        </w:rPr>
      </w:pPr>
      <w:r>
        <w:rPr>
          <w:rFonts w:ascii="Arial" w:cs="Arial" w:eastAsia="Arial" w:hAnsi="Arial"/>
          <w:sz w:val="17"/>
          <w:szCs w:val="17"/>
          <w:color w:val="auto"/>
        </w:rPr>
        <w:t>Title of each class</w:t>
      </w:r>
      <w:r>
        <w:rPr>
          <w:sz w:val="20"/>
          <w:szCs w:val="20"/>
          <w:color w:val="auto"/>
        </w:rPr>
        <w:tab/>
      </w:r>
      <w:r>
        <w:rPr>
          <w:rFonts w:ascii="Arial" w:cs="Arial" w:eastAsia="Arial" w:hAnsi="Arial"/>
          <w:sz w:val="17"/>
          <w:szCs w:val="17"/>
          <w:color w:val="auto"/>
        </w:rPr>
        <w:t>Trading Symbol(s)</w:t>
      </w:r>
      <w:r>
        <w:rPr>
          <w:sz w:val="20"/>
          <w:szCs w:val="20"/>
          <w:color w:val="auto"/>
        </w:rPr>
        <w:tab/>
      </w:r>
      <w:r>
        <w:rPr>
          <w:rFonts w:ascii="Arial" w:cs="Arial" w:eastAsia="Arial" w:hAnsi="Arial"/>
          <w:sz w:val="15"/>
          <w:szCs w:val="15"/>
          <w:color w:val="auto"/>
        </w:rPr>
        <w:t>Name of each exchange on which registered</w:t>
      </w:r>
    </w:p>
    <w:p>
      <w:pPr>
        <w:spacing w:after="0" w:line="24" w:lineRule="exact"/>
        <w:rPr>
          <w:sz w:val="24"/>
          <w:szCs w:val="24"/>
          <w:color w:val="auto"/>
        </w:rPr>
      </w:pPr>
    </w:p>
    <w:p>
      <w:pPr>
        <w:ind w:left="400"/>
        <w:spacing w:after="0"/>
        <w:tabs>
          <w:tab w:leader="none" w:pos="4880" w:val="left"/>
          <w:tab w:leader="none" w:pos="7600" w:val="left"/>
        </w:tabs>
        <w:rPr>
          <w:sz w:val="20"/>
          <w:szCs w:val="20"/>
          <w:color w:val="auto"/>
        </w:rPr>
      </w:pPr>
      <w:r>
        <w:rPr>
          <w:rFonts w:ascii="Arial" w:cs="Arial" w:eastAsia="Arial" w:hAnsi="Arial"/>
          <w:sz w:val="17"/>
          <w:szCs w:val="17"/>
          <w:b w:val="1"/>
          <w:bCs w:val="1"/>
          <w:color w:val="auto"/>
        </w:rPr>
        <w:t>Common stock, par value $0.00001 per share</w:t>
      </w:r>
      <w:r>
        <w:rPr>
          <w:sz w:val="20"/>
          <w:szCs w:val="20"/>
          <w:color w:val="auto"/>
        </w:rPr>
        <w:tab/>
      </w:r>
      <w:r>
        <w:rPr>
          <w:rFonts w:ascii="Arial" w:cs="Arial" w:eastAsia="Arial" w:hAnsi="Arial"/>
          <w:sz w:val="17"/>
          <w:szCs w:val="17"/>
          <w:b w:val="1"/>
          <w:bCs w:val="1"/>
          <w:color w:val="auto"/>
        </w:rPr>
        <w:t>MGNI</w:t>
      </w:r>
      <w:r>
        <w:rPr>
          <w:sz w:val="20"/>
          <w:szCs w:val="20"/>
          <w:color w:val="auto"/>
        </w:rPr>
        <w:tab/>
      </w:r>
      <w:r>
        <w:rPr>
          <w:rFonts w:ascii="Arial" w:cs="Arial" w:eastAsia="Arial" w:hAnsi="Arial"/>
          <w:sz w:val="15"/>
          <w:szCs w:val="15"/>
          <w:b w:val="1"/>
          <w:bCs w:val="1"/>
          <w:color w:val="auto"/>
        </w:rPr>
        <w:t>Nasdaq Global Select Market</w:t>
      </w:r>
    </w:p>
    <w:p>
      <w:pPr>
        <w:spacing w:after="0" w:line="219" w:lineRule="exact"/>
        <w:rPr>
          <w:sz w:val="24"/>
          <w:szCs w:val="24"/>
          <w:color w:val="auto"/>
        </w:rPr>
      </w:pPr>
    </w:p>
    <w:p>
      <w:pPr>
        <w:jc w:val="both"/>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62" w:lineRule="exact"/>
        <w:rPr>
          <w:sz w:val="24"/>
          <w:szCs w:val="24"/>
          <w:color w:val="auto"/>
        </w:rPr>
      </w:pPr>
    </w:p>
    <w:p>
      <w:pPr>
        <w:jc w:val="both"/>
        <w:spacing w:after="0" w:line="22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47" w:lineRule="exact"/>
        <w:rPr>
          <w:sz w:val="24"/>
          <w:szCs w:val="24"/>
          <w:color w:val="auto"/>
        </w:rPr>
      </w:pPr>
    </w:p>
    <w:p>
      <w:pPr>
        <w:jc w:val="both"/>
        <w:spacing w:after="0" w:line="26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20"/>
        <w:spacing w:after="0" w:line="196" w:lineRule="exact"/>
        <w:tabs>
          <w:tab w:leader="none" w:pos="5420" w:val="left"/>
          <w:tab w:leader="none" w:pos="1106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r>
        <w:rPr>
          <w:sz w:val="20"/>
          <w:szCs w:val="20"/>
          <w:color w:val="auto"/>
        </w:rPr>
        <w:tab/>
      </w:r>
      <w:r>
        <w:rPr>
          <w:rFonts w:ascii="MS PGothic" w:cs="MS PGothic" w:eastAsia="MS PGothic" w:hAnsi="MS PGothic"/>
          <w:sz w:val="14"/>
          <w:szCs w:val="14"/>
          <w:color w:val="auto"/>
        </w:rPr>
        <w:t>☐</w:t>
      </w:r>
    </w:p>
    <w:p>
      <w:pPr>
        <w:spacing w:after="0" w:line="115" w:lineRule="exact"/>
        <w:rPr>
          <w:sz w:val="24"/>
          <w:szCs w:val="24"/>
          <w:color w:val="auto"/>
        </w:rPr>
      </w:pPr>
    </w:p>
    <w:p>
      <w:pPr>
        <w:ind w:left="20"/>
        <w:spacing w:after="0" w:line="196" w:lineRule="exact"/>
        <w:tabs>
          <w:tab w:leader="none" w:pos="5300" w:val="left"/>
          <w:tab w:leader="none" w:pos="11060" w:val="left"/>
        </w:tabs>
        <w:rPr>
          <w:sz w:val="20"/>
          <w:szCs w:val="20"/>
          <w:color w:val="auto"/>
        </w:rPr>
      </w:pPr>
      <w:r>
        <w:rPr>
          <w:rFonts w:ascii="Arial" w:cs="Arial" w:eastAsia="Arial" w:hAnsi="Arial"/>
          <w:sz w:val="17"/>
          <w:szCs w:val="17"/>
          <w:color w:val="auto"/>
        </w:rPr>
        <w:t>Non-accelerated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115" w:lineRule="exact"/>
        <w:rPr>
          <w:sz w:val="24"/>
          <w:szCs w:val="24"/>
          <w:color w:val="auto"/>
        </w:rPr>
      </w:pPr>
    </w:p>
    <w:p>
      <w:pPr>
        <w:ind w:left="5620"/>
        <w:spacing w:after="0" w:line="196" w:lineRule="exact"/>
        <w:tabs>
          <w:tab w:leader="none" w:pos="11060" w:val="left"/>
        </w:tabs>
        <w:rPr>
          <w:sz w:val="20"/>
          <w:szCs w:val="20"/>
          <w:color w:val="auto"/>
        </w:rPr>
      </w:pPr>
      <w:r>
        <w:rPr>
          <w:rFonts w:ascii="Arial" w:cs="Arial" w:eastAsia="Arial" w:hAnsi="Arial"/>
          <w:sz w:val="17"/>
          <w:szCs w:val="17"/>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51" w:lineRule="exact"/>
        <w:rPr>
          <w:sz w:val="24"/>
          <w:szCs w:val="24"/>
          <w:color w:val="auto"/>
        </w:rPr>
      </w:pPr>
    </w:p>
    <w:p>
      <w:pPr>
        <w:ind w:right="44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 w:lineRule="exact"/>
        <w:rPr>
          <w:sz w:val="24"/>
          <w:szCs w:val="24"/>
          <w:color w:val="auto"/>
        </w:rPr>
      </w:pPr>
    </w:p>
    <w:p>
      <w:pPr>
        <w:ind w:right="2560"/>
        <w:spacing w:after="0" w:line="275"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Indicate the number of shares outstanding of each of the registrant's classes of common stock, as of the latest practicable date.</w:t>
      </w:r>
    </w:p>
    <w:p>
      <w:pPr>
        <w:spacing w:after="0" w:line="116" w:lineRule="exact"/>
        <w:rPr>
          <w:sz w:val="24"/>
          <w:szCs w:val="24"/>
          <w:color w:val="auto"/>
        </w:rPr>
      </w:pPr>
    </w:p>
    <w:p>
      <w:pPr>
        <w:ind w:left="3360"/>
        <w:spacing w:after="0"/>
        <w:tabs>
          <w:tab w:leader="none" w:pos="6500" w:val="left"/>
        </w:tabs>
        <w:rPr>
          <w:sz w:val="20"/>
          <w:szCs w:val="20"/>
          <w:color w:val="auto"/>
        </w:rPr>
      </w:pPr>
      <w:r>
        <w:rPr>
          <w:rFonts w:ascii="Arial" w:cs="Arial" w:eastAsia="Arial" w:hAnsi="Arial"/>
          <w:sz w:val="16"/>
          <w:szCs w:val="16"/>
          <w:b w:val="1"/>
          <w:bCs w:val="1"/>
          <w:color w:val="auto"/>
        </w:rPr>
        <w:t>Class</w:t>
      </w:r>
      <w:r>
        <w:rPr>
          <w:sz w:val="20"/>
          <w:szCs w:val="20"/>
          <w:color w:val="auto"/>
        </w:rPr>
        <w:tab/>
      </w:r>
      <w:r>
        <w:rPr>
          <w:rFonts w:ascii="Arial" w:cs="Arial" w:eastAsia="Arial" w:hAnsi="Arial"/>
          <w:sz w:val="16"/>
          <w:szCs w:val="16"/>
          <w:b w:val="1"/>
          <w:bCs w:val="1"/>
          <w:color w:val="auto"/>
        </w:rPr>
        <w:t>Outstanding as of November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946785</wp:posOffset>
            </wp:positionH>
            <wp:positionV relativeFrom="paragraph">
              <wp:posOffset>15240</wp:posOffset>
            </wp:positionV>
            <wp:extent cx="5248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48910" cy="825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p>
      <w:pPr>
        <w:spacing w:after="0" w:line="32" w:lineRule="exact"/>
        <w:rPr>
          <w:sz w:val="24"/>
          <w:szCs w:val="24"/>
          <w:color w:val="auto"/>
        </w:rPr>
      </w:pPr>
    </w:p>
    <w:p>
      <w:pPr>
        <w:ind w:left="2220"/>
        <w:spacing w:after="0"/>
        <w:tabs>
          <w:tab w:leader="none" w:pos="7260" w:val="left"/>
        </w:tabs>
        <w:rPr>
          <w:sz w:val="20"/>
          <w:szCs w:val="20"/>
          <w:color w:val="auto"/>
        </w:rPr>
      </w:pPr>
      <w:r>
        <w:rPr>
          <w:rFonts w:ascii="Arial" w:cs="Arial" w:eastAsia="Arial" w:hAnsi="Arial"/>
          <w:sz w:val="17"/>
          <w:szCs w:val="17"/>
          <w:b w:val="1"/>
          <w:bCs w:val="1"/>
          <w:color w:val="auto"/>
        </w:rPr>
        <w:t>Common Stock, $0.00001 par value</w:t>
      </w:r>
      <w:r>
        <w:rPr>
          <w:sz w:val="20"/>
          <w:szCs w:val="20"/>
          <w:color w:val="auto"/>
        </w:rPr>
        <w:tab/>
      </w:r>
      <w:r>
        <w:rPr>
          <w:rFonts w:ascii="Arial" w:cs="Arial" w:eastAsia="Arial" w:hAnsi="Arial"/>
          <w:sz w:val="15"/>
          <w:szCs w:val="15"/>
          <w:b w:val="1"/>
          <w:bCs w:val="1"/>
          <w:color w:val="auto"/>
        </w:rPr>
        <w:t>133,384,717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515620</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280" w:type="dxa"/>
            <w:vAlign w:val="bottom"/>
            <w:gridSpan w:val="21"/>
          </w:tcPr>
          <w:p>
            <w:pPr>
              <w:spacing w:after="0"/>
              <w:rPr>
                <w:sz w:val="20"/>
                <w:szCs w:val="20"/>
                <w:color w:val="auto"/>
              </w:rPr>
            </w:pPr>
            <w:r>
              <w:rPr>
                <w:rFonts w:ascii="Arial" w:cs="Arial" w:eastAsia="Arial" w:hAnsi="Arial"/>
                <w:sz w:val="17"/>
                <w:szCs w:val="17"/>
                <w:color w:val="0000FF"/>
              </w:rPr>
              <w:t>Table of Contents</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5"/>
        </w:trPr>
        <w:tc>
          <w:tcPr>
            <w:tcW w:w="1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340" w:type="dxa"/>
            <w:vAlign w:val="bottom"/>
            <w:gridSpan w:val="10"/>
          </w:tcPr>
          <w:p>
            <w:pPr>
              <w:jc w:val="center"/>
              <w:ind w:right="3980"/>
              <w:spacing w:after="0"/>
              <w:rPr>
                <w:sz w:val="20"/>
                <w:szCs w:val="20"/>
                <w:color w:val="auto"/>
              </w:rPr>
            </w:pPr>
            <w:r>
              <w:rPr>
                <w:rFonts w:ascii="Arial" w:cs="Arial" w:eastAsia="Arial" w:hAnsi="Arial"/>
                <w:sz w:val="17"/>
                <w:szCs w:val="17"/>
                <w:b w:val="1"/>
                <w:bCs w:val="1"/>
                <w:color w:val="auto"/>
              </w:rPr>
              <w:t>MAGNITE, INC.</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0" w:type="dxa"/>
            <w:vAlign w:val="bottom"/>
            <w:gridSpan w:val="11"/>
          </w:tcPr>
          <w:p>
            <w:pPr>
              <w:jc w:val="center"/>
              <w:ind w:right="2320"/>
              <w:spacing w:after="0"/>
              <w:rPr>
                <w:sz w:val="20"/>
                <w:szCs w:val="20"/>
                <w:color w:val="auto"/>
              </w:rPr>
            </w:pPr>
            <w:r>
              <w:rPr>
                <w:rFonts w:ascii="Arial" w:cs="Arial" w:eastAsia="Arial" w:hAnsi="Arial"/>
                <w:sz w:val="17"/>
                <w:szCs w:val="17"/>
                <w:b w:val="1"/>
                <w:bCs w:val="1"/>
                <w:color w:val="auto"/>
              </w:rPr>
              <w:t>QUARTERLY REPORT ON FORM 10-Q</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0" w:type="dxa"/>
            <w:vAlign w:val="bottom"/>
            <w:gridSpan w:val="11"/>
          </w:tcPr>
          <w:p>
            <w:pPr>
              <w:jc w:val="center"/>
              <w:ind w:right="2320"/>
              <w:spacing w:after="0"/>
              <w:rPr>
                <w:sz w:val="20"/>
                <w:szCs w:val="20"/>
                <w:color w:val="auto"/>
              </w:rPr>
            </w:pPr>
            <w:r>
              <w:rPr>
                <w:rFonts w:ascii="Arial" w:cs="Arial" w:eastAsia="Arial" w:hAnsi="Arial"/>
                <w:sz w:val="17"/>
                <w:szCs w:val="17"/>
                <w:b w:val="1"/>
                <w:bCs w:val="1"/>
                <w:color w:val="auto"/>
              </w:rPr>
              <w:t>TABLE OF CONTENTS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7"/>
          </w:tcPr>
          <w:p>
            <w:pPr>
              <w:ind w:left="100"/>
              <w:spacing w:after="0"/>
              <w:rPr>
                <w:sz w:val="20"/>
                <w:szCs w:val="20"/>
                <w:color w:val="auto"/>
              </w:rPr>
            </w:pPr>
            <w:r>
              <w:rPr>
                <w:rFonts w:ascii="Arial" w:cs="Arial" w:eastAsia="Arial" w:hAnsi="Arial"/>
                <w:sz w:val="17"/>
                <w:szCs w:val="17"/>
                <w:b w:val="1"/>
                <w:bCs w:val="1"/>
                <w:color w:val="auto"/>
              </w:rPr>
              <w:t>Page No.</w:t>
            </w:r>
          </w:p>
        </w:tc>
        <w:tc>
          <w:tcPr>
            <w:tcW w:w="0" w:type="dxa"/>
            <w:vAlign w:val="bottom"/>
          </w:tcPr>
          <w:p>
            <w:pPr>
              <w:spacing w:after="0"/>
              <w:rPr>
                <w:sz w:val="1"/>
                <w:szCs w:val="1"/>
                <w:color w:val="auto"/>
              </w:rPr>
            </w:pPr>
          </w:p>
        </w:tc>
      </w:tr>
      <w:tr>
        <w:trPr>
          <w:trHeight w:val="174"/>
        </w:trPr>
        <w:tc>
          <w:tcPr>
            <w:tcW w:w="1120" w:type="dxa"/>
            <w:vAlign w:val="bottom"/>
          </w:tcPr>
          <w:p>
            <w:pPr>
              <w:ind w:left="120"/>
              <w:spacing w:after="0" w:line="174" w:lineRule="exact"/>
              <w:rPr>
                <w:sz w:val="20"/>
                <w:szCs w:val="20"/>
                <w:color w:val="auto"/>
              </w:rPr>
            </w:pPr>
            <w:r>
              <w:rPr>
                <w:rFonts w:ascii="Arial" w:cs="Arial" w:eastAsia="Arial" w:hAnsi="Arial"/>
                <w:sz w:val="17"/>
                <w:szCs w:val="17"/>
                <w:color w:val="auto"/>
              </w:rPr>
              <w:t>Part I.</w:t>
            </w:r>
          </w:p>
        </w:tc>
        <w:tc>
          <w:tcPr>
            <w:tcW w:w="2160" w:type="dxa"/>
            <w:vAlign w:val="bottom"/>
            <w:gridSpan w:val="9"/>
          </w:tcPr>
          <w:p>
            <w:pPr>
              <w:spacing w:after="0" w:line="174" w:lineRule="exact"/>
              <w:rPr>
                <w:sz w:val="20"/>
                <w:szCs w:val="20"/>
                <w:color w:val="auto"/>
              </w:rPr>
            </w:pPr>
            <w:r>
              <w:rPr>
                <w:rFonts w:ascii="Arial" w:cs="Arial" w:eastAsia="Arial" w:hAnsi="Arial"/>
                <w:sz w:val="17"/>
                <w:szCs w:val="17"/>
                <w:color w:val="0000FF"/>
              </w:rPr>
              <w:t>FINANCIAL INFORMATION</w:t>
            </w:r>
          </w:p>
        </w:tc>
        <w:tc>
          <w:tcPr>
            <w:tcW w:w="7000" w:type="dxa"/>
            <w:vAlign w:val="bottom"/>
            <w:gridSpan w:val="11"/>
          </w:tcPr>
          <w:p>
            <w:pPr>
              <w:spacing w:after="0"/>
              <w:rPr>
                <w:sz w:val="15"/>
                <w:szCs w:val="15"/>
                <w:color w:val="auto"/>
              </w:rPr>
            </w:pPr>
          </w:p>
        </w:tc>
        <w:tc>
          <w:tcPr>
            <w:tcW w:w="520" w:type="dxa"/>
            <w:vAlign w:val="bottom"/>
            <w:tcBorders>
              <w:top w:val="single" w:sz="8" w:color="auto"/>
            </w:tcBorders>
            <w:gridSpan w:val="5"/>
          </w:tcPr>
          <w:p>
            <w:pPr>
              <w:jc w:val="center"/>
              <w:ind w:left="274"/>
              <w:spacing w:after="0" w:line="174" w:lineRule="exact"/>
              <w:rPr>
                <w:sz w:val="20"/>
                <w:szCs w:val="20"/>
                <w:color w:val="auto"/>
              </w:rPr>
            </w:pPr>
            <w:r>
              <w:rPr>
                <w:rFonts w:ascii="Arial" w:cs="Arial" w:eastAsia="Arial" w:hAnsi="Arial"/>
                <w:sz w:val="17"/>
                <w:szCs w:val="17"/>
                <w:color w:val="0000FF"/>
                <w:w w:val="84"/>
              </w:rPr>
              <w:t>3</w:t>
            </w: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1.</w:t>
            </w:r>
          </w:p>
        </w:tc>
        <w:tc>
          <w:tcPr>
            <w:tcW w:w="4080" w:type="dxa"/>
            <w:vAlign w:val="bottom"/>
            <w:gridSpan w:val="11"/>
          </w:tcPr>
          <w:p>
            <w:pPr>
              <w:spacing w:after="0"/>
              <w:rPr>
                <w:sz w:val="20"/>
                <w:szCs w:val="20"/>
                <w:color w:val="auto"/>
              </w:rPr>
            </w:pPr>
            <w:r>
              <w:rPr>
                <w:rFonts w:ascii="Arial" w:cs="Arial" w:eastAsia="Arial" w:hAnsi="Arial"/>
                <w:sz w:val="17"/>
                <w:szCs w:val="17"/>
                <w:color w:val="0000FF"/>
                <w:w w:val="90"/>
              </w:rPr>
              <w:t>Condensed Consolidated Financial Statements (Unaudited)</w:t>
            </w:r>
          </w:p>
        </w:tc>
        <w:tc>
          <w:tcPr>
            <w:tcW w:w="5080" w:type="dxa"/>
            <w:vAlign w:val="bottom"/>
            <w:gridSpan w:val="9"/>
          </w:tcPr>
          <w:p>
            <w:pPr>
              <w:spacing w:after="0"/>
              <w:rPr>
                <w:sz w:val="17"/>
                <w:szCs w:val="17"/>
                <w:color w:val="auto"/>
              </w:rPr>
            </w:pPr>
          </w:p>
        </w:tc>
        <w:tc>
          <w:tcPr>
            <w:tcW w:w="520" w:type="dxa"/>
            <w:vAlign w:val="bottom"/>
            <w:gridSpan w:val="5"/>
          </w:tcPr>
          <w:p>
            <w:pPr>
              <w:jc w:val="center"/>
              <w:ind w:left="274"/>
              <w:spacing w:after="0"/>
              <w:rPr>
                <w:sz w:val="20"/>
                <w:szCs w:val="20"/>
                <w:color w:val="auto"/>
              </w:rPr>
            </w:pPr>
            <w:r>
              <w:rPr>
                <w:rFonts w:ascii="Arial" w:cs="Arial" w:eastAsia="Arial" w:hAnsi="Arial"/>
                <w:sz w:val="17"/>
                <w:szCs w:val="17"/>
                <w:color w:val="0000FF"/>
                <w:w w:val="84"/>
              </w:rPr>
              <w:t>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9160" w:type="dxa"/>
            <w:vAlign w:val="bottom"/>
            <w:gridSpan w:val="20"/>
          </w:tcPr>
          <w:p>
            <w:pPr>
              <w:spacing w:after="0"/>
              <w:rPr>
                <w:sz w:val="20"/>
                <w:szCs w:val="20"/>
                <w:color w:val="auto"/>
              </w:rPr>
            </w:pPr>
            <w:r>
              <w:rPr>
                <w:rFonts w:ascii="Arial" w:cs="Arial" w:eastAsia="Arial" w:hAnsi="Arial"/>
                <w:sz w:val="17"/>
                <w:szCs w:val="17"/>
                <w:color w:val="0000FF"/>
              </w:rPr>
              <w:t>Condensed Consolidated Balance Sheets as of September 30, 2022 and December 31, 2021</w:t>
            </w:r>
          </w:p>
        </w:tc>
        <w:tc>
          <w:tcPr>
            <w:tcW w:w="520" w:type="dxa"/>
            <w:vAlign w:val="bottom"/>
            <w:gridSpan w:val="5"/>
          </w:tcPr>
          <w:p>
            <w:pPr>
              <w:jc w:val="center"/>
              <w:ind w:left="274"/>
              <w:spacing w:after="0"/>
              <w:rPr>
                <w:sz w:val="20"/>
                <w:szCs w:val="20"/>
                <w:color w:val="auto"/>
              </w:rPr>
            </w:pPr>
            <w:r>
              <w:rPr>
                <w:rFonts w:ascii="Arial" w:cs="Arial" w:eastAsia="Arial" w:hAnsi="Arial"/>
                <w:sz w:val="17"/>
                <w:szCs w:val="17"/>
                <w:color w:val="0000FF"/>
                <w:w w:val="84"/>
              </w:rPr>
              <w:t>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9160" w:type="dxa"/>
            <w:vAlign w:val="bottom"/>
            <w:gridSpan w:val="20"/>
          </w:tcPr>
          <w:p>
            <w:pPr>
              <w:spacing w:after="0"/>
              <w:rPr>
                <w:sz w:val="20"/>
                <w:szCs w:val="20"/>
                <w:color w:val="auto"/>
              </w:rPr>
            </w:pPr>
            <w:r>
              <w:rPr>
                <w:rFonts w:ascii="Arial" w:cs="Arial" w:eastAsia="Arial" w:hAnsi="Arial"/>
                <w:sz w:val="17"/>
                <w:szCs w:val="17"/>
                <w:color w:val="0000FF"/>
                <w:w w:val="92"/>
              </w:rPr>
              <w:t>Condensed Consolidated Statements of Operations for the Three and Nine Months Ended September 30, 2022 and September 30,</w:t>
            </w:r>
          </w:p>
        </w:tc>
        <w:tc>
          <w:tcPr>
            <w:tcW w:w="520" w:type="dxa"/>
            <w:vAlign w:val="bottom"/>
            <w:gridSpan w:val="5"/>
            <w:vMerge w:val="restart"/>
          </w:tcPr>
          <w:p>
            <w:pPr>
              <w:jc w:val="center"/>
              <w:ind w:left="274"/>
              <w:spacing w:after="0"/>
              <w:rPr>
                <w:sz w:val="20"/>
                <w:szCs w:val="20"/>
                <w:color w:val="auto"/>
              </w:rPr>
            </w:pPr>
            <w:r>
              <w:rPr>
                <w:rFonts w:ascii="Arial" w:cs="Arial" w:eastAsia="Arial" w:hAnsi="Arial"/>
                <w:sz w:val="17"/>
                <w:szCs w:val="17"/>
                <w:color w:val="0000FF"/>
                <w:w w:val="84"/>
              </w:rPr>
              <w:t>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40" w:type="dxa"/>
            <w:vAlign w:val="bottom"/>
            <w:tcBorders>
              <w:top w:val="single" w:sz="8" w:color="0000FF"/>
              <w:bottom w:val="single" w:sz="8" w:color="0000FF"/>
            </w:tcBorders>
            <w:gridSpan w:val="2"/>
          </w:tcPr>
          <w:p>
            <w:pPr>
              <w:spacing w:after="0" w:line="136" w:lineRule="exact"/>
              <w:rPr>
                <w:sz w:val="20"/>
                <w:szCs w:val="20"/>
                <w:color w:val="auto"/>
              </w:rPr>
            </w:pPr>
            <w:r>
              <w:rPr>
                <w:rFonts w:ascii="Arial" w:cs="Arial" w:eastAsia="Arial" w:hAnsi="Arial"/>
                <w:sz w:val="15"/>
                <w:szCs w:val="15"/>
                <w:color w:val="0000FF"/>
                <w:w w:val="95"/>
              </w:rPr>
              <w:t>2021</w:t>
            </w:r>
          </w:p>
        </w:tc>
        <w:tc>
          <w:tcPr>
            <w:tcW w:w="2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2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160" w:type="dxa"/>
            <w:vAlign w:val="bottom"/>
            <w:gridSpan w:val="20"/>
            <w:vMerge w:val="restart"/>
          </w:tcPr>
          <w:p>
            <w:pPr>
              <w:spacing w:after="0"/>
              <w:rPr>
                <w:sz w:val="20"/>
                <w:szCs w:val="20"/>
                <w:color w:val="auto"/>
              </w:rPr>
            </w:pPr>
            <w:r>
              <w:rPr>
                <w:rFonts w:ascii="Arial" w:cs="Arial" w:eastAsia="Arial" w:hAnsi="Arial"/>
                <w:sz w:val="17"/>
                <w:szCs w:val="17"/>
                <w:color w:val="0000FF"/>
                <w:w w:val="96"/>
              </w:rPr>
              <w:t>Condensed Consolidated Statements of Comprehensive Loss for the Three and Nine Months Ended September 30, 2022 and</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20" w:type="dxa"/>
            <w:vAlign w:val="bottom"/>
          </w:tcPr>
          <w:p>
            <w:pPr>
              <w:spacing w:after="0"/>
              <w:rPr>
                <w:sz w:val="16"/>
                <w:szCs w:val="16"/>
                <w:color w:val="auto"/>
              </w:rPr>
            </w:pPr>
          </w:p>
        </w:tc>
        <w:tc>
          <w:tcPr>
            <w:tcW w:w="9160" w:type="dxa"/>
            <w:vAlign w:val="bottom"/>
            <w:gridSpan w:val="20"/>
            <w:vMerge w:val="continue"/>
          </w:tcPr>
          <w:p>
            <w:pPr>
              <w:spacing w:after="0"/>
              <w:rPr>
                <w:sz w:val="16"/>
                <w:szCs w:val="16"/>
                <w:color w:val="auto"/>
              </w:rPr>
            </w:pPr>
          </w:p>
        </w:tc>
        <w:tc>
          <w:tcPr>
            <w:tcW w:w="520" w:type="dxa"/>
            <w:vAlign w:val="bottom"/>
            <w:gridSpan w:val="5"/>
            <w:vMerge w:val="restart"/>
          </w:tcPr>
          <w:p>
            <w:pPr>
              <w:jc w:val="center"/>
              <w:ind w:left="274"/>
              <w:spacing w:after="0"/>
              <w:rPr>
                <w:sz w:val="20"/>
                <w:szCs w:val="20"/>
                <w:color w:val="auto"/>
              </w:rPr>
            </w:pPr>
            <w:r>
              <w:rPr>
                <w:rFonts w:ascii="Arial" w:cs="Arial" w:eastAsia="Arial" w:hAnsi="Arial"/>
                <w:sz w:val="17"/>
                <w:szCs w:val="17"/>
                <w:color w:val="0000FF"/>
                <w:w w:val="84"/>
              </w:rPr>
              <w:t>6</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8580" w:type="dxa"/>
            <w:vAlign w:val="bottom"/>
            <w:tcBorders>
              <w:top w:val="single" w:sz="8" w:color="0000FF"/>
            </w:tcBorders>
            <w:gridSpan w:val="17"/>
          </w:tcPr>
          <w:p>
            <w:pPr>
              <w:spacing w:after="0" w:line="136" w:lineRule="exact"/>
              <w:rPr>
                <w:sz w:val="20"/>
                <w:szCs w:val="20"/>
                <w:color w:val="auto"/>
              </w:rPr>
            </w:pPr>
            <w:r>
              <w:rPr>
                <w:rFonts w:ascii="Arial" w:cs="Arial" w:eastAsia="Arial" w:hAnsi="Arial"/>
                <w:sz w:val="15"/>
                <w:szCs w:val="15"/>
                <w:color w:val="0000FF"/>
              </w:rPr>
              <w:t>September 30, 2021</w:t>
            </w:r>
          </w:p>
        </w:tc>
        <w:tc>
          <w:tcPr>
            <w:tcW w:w="60" w:type="dxa"/>
            <w:vAlign w:val="bottom"/>
          </w:tcPr>
          <w:p>
            <w:pPr>
              <w:spacing w:after="0"/>
              <w:rPr>
                <w:sz w:val="12"/>
                <w:szCs w:val="12"/>
                <w:color w:val="auto"/>
              </w:rPr>
            </w:pPr>
          </w:p>
        </w:tc>
        <w:tc>
          <w:tcPr>
            <w:tcW w:w="520" w:type="dxa"/>
            <w:vAlign w:val="bottom"/>
            <w:gridSpan w:val="2"/>
          </w:tcPr>
          <w:p>
            <w:pPr>
              <w:spacing w:after="0"/>
              <w:rPr>
                <w:sz w:val="12"/>
                <w:szCs w:val="12"/>
                <w:color w:val="auto"/>
              </w:rPr>
            </w:pPr>
          </w:p>
        </w:tc>
        <w:tc>
          <w:tcPr>
            <w:tcW w:w="52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20" w:type="dxa"/>
            <w:vAlign w:val="bottom"/>
          </w:tcPr>
          <w:p>
            <w:pPr>
              <w:spacing w:after="0"/>
              <w:rPr>
                <w:sz w:val="16"/>
                <w:szCs w:val="16"/>
                <w:color w:val="auto"/>
              </w:rPr>
            </w:pPr>
          </w:p>
        </w:tc>
        <w:tc>
          <w:tcPr>
            <w:tcW w:w="9160" w:type="dxa"/>
            <w:vAlign w:val="bottom"/>
            <w:gridSpan w:val="20"/>
          </w:tcPr>
          <w:p>
            <w:pPr>
              <w:spacing w:after="0" w:line="193" w:lineRule="exact"/>
              <w:rPr>
                <w:sz w:val="20"/>
                <w:szCs w:val="20"/>
                <w:color w:val="auto"/>
              </w:rPr>
            </w:pPr>
            <w:r>
              <w:rPr>
                <w:rFonts w:ascii="Arial" w:cs="Arial" w:eastAsia="Arial" w:hAnsi="Arial"/>
                <w:sz w:val="17"/>
                <w:szCs w:val="17"/>
                <w:color w:val="0000FF"/>
                <w:w w:val="97"/>
              </w:rPr>
              <w:t>Condensed Consolidated Statements of Stockholders' Equity for the Three and Nine Months Ended September 30, 2022 and</w:t>
            </w:r>
          </w:p>
        </w:tc>
        <w:tc>
          <w:tcPr>
            <w:tcW w:w="520" w:type="dxa"/>
            <w:vAlign w:val="bottom"/>
            <w:gridSpan w:val="5"/>
            <w:vMerge w:val="restart"/>
          </w:tcPr>
          <w:p>
            <w:pPr>
              <w:jc w:val="center"/>
              <w:ind w:left="274"/>
              <w:spacing w:after="0"/>
              <w:rPr>
                <w:sz w:val="20"/>
                <w:szCs w:val="20"/>
                <w:color w:val="auto"/>
              </w:rPr>
            </w:pPr>
            <w:r>
              <w:rPr>
                <w:rFonts w:ascii="Arial" w:cs="Arial" w:eastAsia="Arial" w:hAnsi="Arial"/>
                <w:sz w:val="17"/>
                <w:szCs w:val="17"/>
                <w:color w:val="0000FF"/>
                <w:w w:val="84"/>
              </w:rPr>
              <w:t>7</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700" w:type="dxa"/>
            <w:vAlign w:val="bottom"/>
            <w:tcBorders>
              <w:top w:val="single" w:sz="8" w:color="0000FF"/>
            </w:tcBorders>
            <w:gridSpan w:val="7"/>
          </w:tcPr>
          <w:p>
            <w:pPr>
              <w:spacing w:after="0" w:line="136" w:lineRule="exact"/>
              <w:rPr>
                <w:sz w:val="20"/>
                <w:szCs w:val="20"/>
                <w:color w:val="auto"/>
              </w:rPr>
            </w:pPr>
            <w:r>
              <w:rPr>
                <w:rFonts w:ascii="Arial" w:cs="Arial" w:eastAsia="Arial" w:hAnsi="Arial"/>
                <w:sz w:val="15"/>
                <w:szCs w:val="15"/>
                <w:color w:val="0000FF"/>
              </w:rPr>
              <w:t>September 30, 2021</w:t>
            </w:r>
          </w:p>
        </w:tc>
        <w:tc>
          <w:tcPr>
            <w:tcW w:w="6860" w:type="dxa"/>
            <w:vAlign w:val="bottom"/>
            <w:tcBorders>
              <w:top w:val="single" w:sz="8" w:color="0000FF"/>
            </w:tcBorders>
            <w:gridSpan w:val="9"/>
          </w:tcPr>
          <w:p>
            <w:pPr>
              <w:spacing w:after="0"/>
              <w:rPr>
                <w:sz w:val="12"/>
                <w:szCs w:val="12"/>
                <w:color w:val="auto"/>
              </w:rPr>
            </w:pPr>
          </w:p>
        </w:tc>
        <w:tc>
          <w:tcPr>
            <w:tcW w:w="80" w:type="dxa"/>
            <w:vAlign w:val="bottom"/>
            <w:gridSpan w:val="2"/>
          </w:tcPr>
          <w:p>
            <w:pPr>
              <w:spacing w:after="0"/>
              <w:rPr>
                <w:sz w:val="12"/>
                <w:szCs w:val="12"/>
                <w:color w:val="auto"/>
              </w:rPr>
            </w:pPr>
          </w:p>
        </w:tc>
        <w:tc>
          <w:tcPr>
            <w:tcW w:w="520" w:type="dxa"/>
            <w:vAlign w:val="bottom"/>
            <w:gridSpan w:val="2"/>
          </w:tcPr>
          <w:p>
            <w:pPr>
              <w:spacing w:after="0"/>
              <w:rPr>
                <w:sz w:val="12"/>
                <w:szCs w:val="12"/>
                <w:color w:val="auto"/>
              </w:rPr>
            </w:pPr>
          </w:p>
        </w:tc>
        <w:tc>
          <w:tcPr>
            <w:tcW w:w="52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120" w:type="dxa"/>
            <w:vAlign w:val="bottom"/>
          </w:tcPr>
          <w:p>
            <w:pPr>
              <w:spacing w:after="0"/>
              <w:rPr>
                <w:sz w:val="2"/>
                <w:szCs w:val="2"/>
                <w:color w:val="auto"/>
              </w:rPr>
            </w:pPr>
          </w:p>
        </w:tc>
        <w:tc>
          <w:tcPr>
            <w:tcW w:w="580" w:type="dxa"/>
            <w:vAlign w:val="bottom"/>
            <w:gridSpan w:val="3"/>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60" w:type="dxa"/>
            <w:vAlign w:val="bottom"/>
            <w:gridSpan w:val="4"/>
          </w:tcPr>
          <w:p>
            <w:pPr>
              <w:spacing w:after="0"/>
              <w:rPr>
                <w:sz w:val="2"/>
                <w:szCs w:val="2"/>
                <w:color w:val="auto"/>
              </w:rPr>
            </w:pPr>
          </w:p>
        </w:tc>
        <w:tc>
          <w:tcPr>
            <w:tcW w:w="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120" w:type="dxa"/>
            <w:vAlign w:val="bottom"/>
          </w:tcPr>
          <w:p>
            <w:pPr>
              <w:spacing w:after="0"/>
              <w:rPr>
                <w:sz w:val="17"/>
                <w:szCs w:val="17"/>
                <w:color w:val="auto"/>
              </w:rPr>
            </w:pPr>
          </w:p>
        </w:tc>
        <w:tc>
          <w:tcPr>
            <w:tcW w:w="8640" w:type="dxa"/>
            <w:vAlign w:val="bottom"/>
            <w:gridSpan w:val="18"/>
          </w:tcPr>
          <w:p>
            <w:pPr>
              <w:spacing w:after="0"/>
              <w:rPr>
                <w:sz w:val="20"/>
                <w:szCs w:val="20"/>
                <w:color w:val="auto"/>
              </w:rPr>
            </w:pPr>
            <w:r>
              <w:rPr>
                <w:rFonts w:ascii="Arial" w:cs="Arial" w:eastAsia="Arial" w:hAnsi="Arial"/>
                <w:sz w:val="17"/>
                <w:szCs w:val="17"/>
                <w:color w:val="0000FF"/>
                <w:w w:val="90"/>
              </w:rPr>
              <w:t>Condensed Consolidated Statements of Cash Flows for the Nine Months Ended September 30, 2022 and September 30, 2021</w:t>
            </w:r>
          </w:p>
        </w:tc>
        <w:tc>
          <w:tcPr>
            <w:tcW w:w="520" w:type="dxa"/>
            <w:vAlign w:val="bottom"/>
            <w:gridSpan w:val="2"/>
          </w:tcPr>
          <w:p>
            <w:pPr>
              <w:spacing w:after="0"/>
              <w:rPr>
                <w:sz w:val="17"/>
                <w:szCs w:val="17"/>
                <w:color w:val="auto"/>
              </w:rPr>
            </w:pPr>
          </w:p>
        </w:tc>
        <w:tc>
          <w:tcPr>
            <w:tcW w:w="520" w:type="dxa"/>
            <w:vAlign w:val="bottom"/>
            <w:gridSpan w:val="5"/>
          </w:tcPr>
          <w:p>
            <w:pPr>
              <w:jc w:val="center"/>
              <w:ind w:left="274"/>
              <w:spacing w:after="0"/>
              <w:rPr>
                <w:sz w:val="20"/>
                <w:szCs w:val="20"/>
                <w:color w:val="auto"/>
              </w:rPr>
            </w:pPr>
            <w:r>
              <w:rPr>
                <w:rFonts w:ascii="Arial" w:cs="Arial" w:eastAsia="Arial" w:hAnsi="Arial"/>
                <w:sz w:val="17"/>
                <w:szCs w:val="17"/>
                <w:color w:val="0000FF"/>
                <w:w w:val="84"/>
              </w:rPr>
              <w:t>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8640" w:type="dxa"/>
            <w:vAlign w:val="bottom"/>
            <w:gridSpan w:val="18"/>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520" w:type="dxa"/>
            <w:vAlign w:val="bottom"/>
            <w:gridSpan w:val="2"/>
          </w:tcPr>
          <w:p>
            <w:pPr>
              <w:spacing w:after="0"/>
              <w:rPr>
                <w:sz w:val="17"/>
                <w:szCs w:val="17"/>
                <w:color w:val="auto"/>
              </w:rPr>
            </w:pPr>
          </w:p>
        </w:tc>
        <w:tc>
          <w:tcPr>
            <w:tcW w:w="520" w:type="dxa"/>
            <w:vAlign w:val="bottom"/>
            <w:gridSpan w:val="5"/>
          </w:tcPr>
          <w:p>
            <w:pPr>
              <w:jc w:val="center"/>
              <w:ind w:left="274"/>
              <w:spacing w:after="0"/>
              <w:rPr>
                <w:sz w:val="20"/>
                <w:szCs w:val="20"/>
                <w:color w:val="auto"/>
              </w:rPr>
            </w:pPr>
            <w:r>
              <w:rPr>
                <w:rFonts w:ascii="Arial" w:cs="Arial" w:eastAsia="Arial" w:hAnsi="Arial"/>
                <w:sz w:val="17"/>
                <w:szCs w:val="17"/>
                <w:color w:val="0000FF"/>
                <w:w w:val="84"/>
              </w:rPr>
              <w:t>11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2.</w:t>
            </w:r>
          </w:p>
        </w:tc>
        <w:tc>
          <w:tcPr>
            <w:tcW w:w="9160" w:type="dxa"/>
            <w:vAlign w:val="bottom"/>
            <w:tcBorders>
              <w:bottom w:val="single" w:sz="8" w:color="0000FF"/>
            </w:tcBorders>
            <w:gridSpan w:val="20"/>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340" w:type="dxa"/>
            <w:vAlign w:val="bottom"/>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w w:val="94"/>
              </w:rPr>
              <w:t>33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3.</w:t>
            </w:r>
          </w:p>
        </w:tc>
        <w:tc>
          <w:tcPr>
            <w:tcW w:w="9160" w:type="dxa"/>
            <w:vAlign w:val="bottom"/>
            <w:tcBorders>
              <w:bottom w:val="single" w:sz="8" w:color="0000FF"/>
            </w:tcBorders>
            <w:gridSpan w:val="20"/>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340" w:type="dxa"/>
            <w:vAlign w:val="bottom"/>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w w:val="94"/>
              </w:rPr>
              <w:t>54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4.</w:t>
            </w:r>
          </w:p>
        </w:tc>
        <w:tc>
          <w:tcPr>
            <w:tcW w:w="170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89"/>
              </w:rPr>
              <w:t>Controls and Procedures</w:t>
            </w:r>
          </w:p>
        </w:tc>
        <w:tc>
          <w:tcPr>
            <w:tcW w:w="7460" w:type="dxa"/>
            <w:vAlign w:val="bottom"/>
            <w:gridSpan w:val="13"/>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w w:val="94"/>
              </w:rPr>
              <w:t>55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Part II.</w:t>
            </w:r>
          </w:p>
        </w:tc>
        <w:tc>
          <w:tcPr>
            <w:tcW w:w="9160" w:type="dxa"/>
            <w:vAlign w:val="bottom"/>
            <w:gridSpan w:val="20"/>
          </w:tcPr>
          <w:p>
            <w:pPr>
              <w:spacing w:after="0"/>
              <w:rPr>
                <w:sz w:val="20"/>
                <w:szCs w:val="20"/>
                <w:color w:val="auto"/>
              </w:rPr>
            </w:pPr>
            <w:r>
              <w:rPr>
                <w:rFonts w:ascii="Arial" w:cs="Arial" w:eastAsia="Arial" w:hAnsi="Arial"/>
                <w:sz w:val="17"/>
                <w:szCs w:val="17"/>
                <w:color w:val="0000FF"/>
              </w:rPr>
              <w:t>OTHER INFORMATION</w:t>
            </w:r>
          </w:p>
        </w:tc>
        <w:tc>
          <w:tcPr>
            <w:tcW w:w="520" w:type="dxa"/>
            <w:vAlign w:val="bottom"/>
            <w:gridSpan w:val="5"/>
          </w:tcPr>
          <w:p>
            <w:pPr>
              <w:jc w:val="center"/>
              <w:ind w:left="254"/>
              <w:spacing w:after="0"/>
              <w:rPr>
                <w:sz w:val="20"/>
                <w:szCs w:val="20"/>
                <w:color w:val="auto"/>
              </w:rPr>
            </w:pPr>
            <w:r>
              <w:rPr>
                <w:rFonts w:ascii="Arial" w:cs="Arial" w:eastAsia="Arial" w:hAnsi="Arial"/>
                <w:sz w:val="17"/>
                <w:szCs w:val="17"/>
                <w:color w:val="0000FF"/>
                <w:w w:val="94"/>
              </w:rPr>
              <w:t>55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1.</w:t>
            </w:r>
          </w:p>
        </w:tc>
        <w:tc>
          <w:tcPr>
            <w:tcW w:w="12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7"/>
                <w:szCs w:val="17"/>
                <w:color w:val="0000FF"/>
                <w:w w:val="89"/>
              </w:rPr>
              <w:t>Legal Proceedings</w:t>
            </w:r>
          </w:p>
        </w:tc>
        <w:tc>
          <w:tcPr>
            <w:tcW w:w="520" w:type="dxa"/>
            <w:vAlign w:val="bottom"/>
            <w:tcBorders>
              <w:top w:val="single" w:sz="8" w:color="0000FF"/>
            </w:tcBorders>
            <w:gridSpan w:val="3"/>
          </w:tcPr>
          <w:p>
            <w:pPr>
              <w:spacing w:after="0"/>
              <w:rPr>
                <w:sz w:val="17"/>
                <w:szCs w:val="17"/>
                <w:color w:val="auto"/>
              </w:rPr>
            </w:pPr>
          </w:p>
        </w:tc>
        <w:tc>
          <w:tcPr>
            <w:tcW w:w="7360" w:type="dxa"/>
            <w:vAlign w:val="bottom"/>
            <w:gridSpan w:val="12"/>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4"/>
          </w:tcPr>
          <w:p>
            <w:pPr>
              <w:jc w:val="center"/>
              <w:spacing w:after="0"/>
              <w:rPr>
                <w:sz w:val="20"/>
                <w:szCs w:val="20"/>
                <w:color w:val="auto"/>
              </w:rPr>
            </w:pPr>
            <w:r>
              <w:rPr>
                <w:rFonts w:ascii="Arial" w:cs="Arial" w:eastAsia="Arial" w:hAnsi="Arial"/>
                <w:sz w:val="17"/>
                <w:szCs w:val="17"/>
                <w:color w:val="0000FF"/>
                <w:w w:val="94"/>
              </w:rPr>
              <w:t>55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1A.</w:t>
            </w:r>
          </w:p>
        </w:tc>
        <w:tc>
          <w:tcPr>
            <w:tcW w:w="9160" w:type="dxa"/>
            <w:vAlign w:val="bottom"/>
            <w:gridSpan w:val="20"/>
          </w:tcPr>
          <w:p>
            <w:pPr>
              <w:spacing w:after="0"/>
              <w:rPr>
                <w:sz w:val="20"/>
                <w:szCs w:val="20"/>
                <w:color w:val="auto"/>
              </w:rPr>
            </w:pPr>
            <w:r>
              <w:rPr>
                <w:rFonts w:ascii="Arial" w:cs="Arial" w:eastAsia="Arial" w:hAnsi="Arial"/>
                <w:sz w:val="17"/>
                <w:szCs w:val="17"/>
                <w:color w:val="0000FF"/>
              </w:rPr>
              <w:t>Risk Factors</w:t>
            </w:r>
          </w:p>
        </w:tc>
        <w:tc>
          <w:tcPr>
            <w:tcW w:w="520" w:type="dxa"/>
            <w:vAlign w:val="bottom"/>
            <w:gridSpan w:val="5"/>
          </w:tcPr>
          <w:p>
            <w:pPr>
              <w:jc w:val="center"/>
              <w:ind w:left="254"/>
              <w:spacing w:after="0"/>
              <w:rPr>
                <w:sz w:val="20"/>
                <w:szCs w:val="20"/>
                <w:color w:val="auto"/>
              </w:rPr>
            </w:pPr>
            <w:r>
              <w:rPr>
                <w:rFonts w:ascii="Arial" w:cs="Arial" w:eastAsia="Arial" w:hAnsi="Arial"/>
                <w:sz w:val="17"/>
                <w:szCs w:val="17"/>
                <w:color w:val="0000FF"/>
                <w:w w:val="94"/>
              </w:rPr>
              <w:t>56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300" w:type="dxa"/>
            <w:vAlign w:val="bottom"/>
            <w:gridSpan w:val="8"/>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2.</w:t>
            </w:r>
          </w:p>
        </w:tc>
        <w:tc>
          <w:tcPr>
            <w:tcW w:w="9160" w:type="dxa"/>
            <w:vAlign w:val="bottom"/>
            <w:gridSpan w:val="20"/>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520" w:type="dxa"/>
            <w:vAlign w:val="bottom"/>
            <w:gridSpan w:val="5"/>
          </w:tcPr>
          <w:p>
            <w:pPr>
              <w:jc w:val="center"/>
              <w:ind w:left="254"/>
              <w:spacing w:after="0"/>
              <w:rPr>
                <w:sz w:val="20"/>
                <w:szCs w:val="20"/>
                <w:color w:val="auto"/>
              </w:rPr>
            </w:pPr>
            <w:r>
              <w:rPr>
                <w:rFonts w:ascii="Arial" w:cs="Arial" w:eastAsia="Arial" w:hAnsi="Arial"/>
                <w:sz w:val="17"/>
                <w:szCs w:val="17"/>
                <w:color w:val="0000FF"/>
                <w:w w:val="94"/>
              </w:rPr>
              <w:t>56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6.</w:t>
            </w:r>
          </w:p>
        </w:tc>
        <w:tc>
          <w:tcPr>
            <w:tcW w:w="5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7"/>
                <w:szCs w:val="17"/>
                <w:color w:val="0000FF"/>
                <w:w w:val="94"/>
              </w:rPr>
              <w:t>Exhibits</w:t>
            </w:r>
          </w:p>
        </w:tc>
        <w:tc>
          <w:tcPr>
            <w:tcW w:w="3580" w:type="dxa"/>
            <w:vAlign w:val="bottom"/>
            <w:tcBorders>
              <w:top w:val="single" w:sz="8" w:color="0000FF"/>
            </w:tcBorders>
            <w:gridSpan w:val="9"/>
          </w:tcPr>
          <w:p>
            <w:pPr>
              <w:spacing w:after="0"/>
              <w:rPr>
                <w:sz w:val="17"/>
                <w:szCs w:val="17"/>
                <w:color w:val="auto"/>
              </w:rPr>
            </w:pPr>
          </w:p>
        </w:tc>
        <w:tc>
          <w:tcPr>
            <w:tcW w:w="5000" w:type="dxa"/>
            <w:vAlign w:val="bottom"/>
            <w:gridSpan w:val="8"/>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4"/>
          </w:tcPr>
          <w:p>
            <w:pPr>
              <w:jc w:val="center"/>
              <w:spacing w:after="0"/>
              <w:rPr>
                <w:sz w:val="20"/>
                <w:szCs w:val="20"/>
                <w:color w:val="auto"/>
              </w:rPr>
            </w:pPr>
            <w:r>
              <w:rPr>
                <w:rFonts w:ascii="Arial" w:cs="Arial" w:eastAsia="Arial" w:hAnsi="Arial"/>
                <w:sz w:val="17"/>
                <w:szCs w:val="17"/>
                <w:color w:val="0000FF"/>
                <w:w w:val="94"/>
              </w:rPr>
              <w:t>58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0000FF"/>
              </w:rPr>
              <w:t>Signatures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5"/>
          </w:tcPr>
          <w:p>
            <w:pPr>
              <w:jc w:val="center"/>
              <w:ind w:left="254"/>
              <w:spacing w:after="0"/>
              <w:rPr>
                <w:sz w:val="20"/>
                <w:szCs w:val="20"/>
                <w:color w:val="auto"/>
              </w:rPr>
            </w:pPr>
            <w:r>
              <w:rPr>
                <w:rFonts w:ascii="Arial" w:cs="Arial" w:eastAsia="Arial" w:hAnsi="Arial"/>
                <w:sz w:val="17"/>
                <w:szCs w:val="17"/>
                <w:color w:val="0000FF"/>
                <w:w w:val="94"/>
              </w:rPr>
              <w:t>59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4"/>
        </w:trPr>
        <w:tc>
          <w:tcPr>
            <w:tcW w:w="1120" w:type="dxa"/>
            <w:vAlign w:val="bottom"/>
          </w:tcPr>
          <w:p>
            <w:pPr>
              <w:spacing w:after="0"/>
              <w:rPr>
                <w:sz w:val="24"/>
                <w:szCs w:val="24"/>
                <w:color w:val="auto"/>
              </w:rPr>
            </w:pPr>
          </w:p>
        </w:tc>
        <w:tc>
          <w:tcPr>
            <w:tcW w:w="6180" w:type="dxa"/>
            <w:vAlign w:val="bottom"/>
            <w:gridSpan w:val="14"/>
          </w:tcPr>
          <w:p>
            <w:pPr>
              <w:jc w:val="center"/>
              <w:ind w:left="2735"/>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right"/>
        <w:ind w:right="44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par values)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18" w:lineRule="exact"/>
        <w:rPr>
          <w:sz w:val="20"/>
          <w:szCs w:val="20"/>
          <w:color w:val="auto"/>
        </w:rPr>
      </w:pPr>
    </w:p>
    <w:p>
      <w:pPr>
        <w:jc w:val="right"/>
        <w:ind w:right="280"/>
        <w:spacing w:after="0"/>
        <w:tabs>
          <w:tab w:leader="none" w:pos="1100" w:val="left"/>
        </w:tabs>
        <w:rPr>
          <w:sz w:val="20"/>
          <w:szCs w:val="20"/>
          <w:color w:val="auto"/>
        </w:rPr>
      </w:pPr>
      <w:r>
        <w:rPr>
          <w:rFonts w:ascii="Arial" w:cs="Arial" w:eastAsia="Arial" w:hAnsi="Arial"/>
          <w:sz w:val="14"/>
          <w:szCs w:val="14"/>
          <w:b w:val="1"/>
          <w:bCs w:val="1"/>
          <w:color w:val="auto"/>
        </w:rPr>
        <w:t>September 30, 2022</w:t>
      </w:r>
      <w:r>
        <w:rPr>
          <w:sz w:val="20"/>
          <w:szCs w:val="20"/>
          <w:color w:val="auto"/>
        </w:rPr>
        <w:tab/>
      </w:r>
      <w:r>
        <w:rPr>
          <w:rFonts w:ascii="Arial" w:cs="Arial" w:eastAsia="Arial" w:hAnsi="Arial"/>
          <w:sz w:val="11"/>
          <w:szCs w:val="11"/>
          <w:b w:val="1"/>
          <w:bCs w:val="1"/>
          <w:color w:val="auto"/>
        </w:rPr>
        <w:t>December 31, 2021</w:t>
      </w:r>
    </w:p>
    <w:p>
      <w:pPr>
        <w:sectPr>
          <w:pgSz w:w="11900" w:h="16838" w:orient="portrait"/>
          <w:cols w:equalWidth="0" w:num="1">
            <w:col w:w="11240"/>
          </w:cols>
          <w:pgMar w:left="320" w:top="127" w:right="339" w:bottom="1440" w:gutter="0" w:footer="0" w:header="0"/>
        </w:sectPr>
      </w:pP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035" cy="139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64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5740" w:type="dxa"/>
            <w:vAlign w:val="bottom"/>
          </w:tcPr>
          <w:p>
            <w:pPr>
              <w:ind w:left="200"/>
              <w:spacing w:after="0"/>
              <w:rPr>
                <w:sz w:val="20"/>
                <w:szCs w:val="20"/>
                <w:color w:val="auto"/>
              </w:rPr>
            </w:pPr>
            <w:r>
              <w:rPr>
                <w:rFonts w:ascii="Arial" w:cs="Arial" w:eastAsia="Arial" w:hAnsi="Arial"/>
                <w:sz w:val="17"/>
                <w:szCs w:val="17"/>
                <w:color w:val="auto"/>
              </w:rPr>
              <w:t>Cash and cash equivalents</w:t>
            </w:r>
          </w:p>
        </w:tc>
        <w:tc>
          <w:tcPr>
            <w:tcW w:w="2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5740" w:type="dxa"/>
            <w:vAlign w:val="bottom"/>
          </w:tcPr>
          <w:p>
            <w:pPr>
              <w:ind w:left="200"/>
              <w:spacing w:after="0"/>
              <w:rPr>
                <w:sz w:val="20"/>
                <w:szCs w:val="20"/>
                <w:color w:val="auto"/>
              </w:rPr>
            </w:pPr>
            <w:r>
              <w:rPr>
                <w:rFonts w:ascii="Arial" w:cs="Arial" w:eastAsia="Arial" w:hAnsi="Arial"/>
                <w:sz w:val="17"/>
                <w:szCs w:val="17"/>
                <w:color w:val="auto"/>
              </w:rPr>
              <w:t>Accounts receivable, net</w:t>
            </w:r>
          </w:p>
        </w:tc>
        <w:tc>
          <w:tcPr>
            <w:tcW w:w="2100" w:type="dxa"/>
            <w:vAlign w:val="bottom"/>
          </w:tcPr>
          <w:p>
            <w:pPr>
              <w:spacing w:after="0"/>
              <w:rPr>
                <w:sz w:val="20"/>
                <w:szCs w:val="20"/>
                <w:color w:val="auto"/>
              </w:rPr>
            </w:pPr>
          </w:p>
        </w:tc>
      </w:tr>
      <w:tr>
        <w:trPr>
          <w:trHeight w:val="259"/>
        </w:trPr>
        <w:tc>
          <w:tcPr>
            <w:tcW w:w="5740" w:type="dxa"/>
            <w:vAlign w:val="bottom"/>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2100" w:type="dxa"/>
            <w:vAlign w:val="bottom"/>
          </w:tcPr>
          <w:p>
            <w:pPr>
              <w:spacing w:after="0"/>
              <w:rPr>
                <w:sz w:val="22"/>
                <w:szCs w:val="22"/>
                <w:color w:val="auto"/>
              </w:rPr>
            </w:pPr>
          </w:p>
        </w:tc>
      </w:tr>
      <w:tr>
        <w:trPr>
          <w:trHeight w:val="259"/>
        </w:trPr>
        <w:tc>
          <w:tcPr>
            <w:tcW w:w="5740" w:type="dxa"/>
            <w:vAlign w:val="bottom"/>
          </w:tcPr>
          <w:p>
            <w:pPr>
              <w:ind w:left="420"/>
              <w:spacing w:after="0"/>
              <w:rPr>
                <w:sz w:val="20"/>
                <w:szCs w:val="20"/>
                <w:color w:val="auto"/>
              </w:rPr>
            </w:pPr>
            <w:r>
              <w:rPr>
                <w:rFonts w:ascii="Arial" w:cs="Arial" w:eastAsia="Arial" w:hAnsi="Arial"/>
                <w:sz w:val="17"/>
                <w:szCs w:val="17"/>
                <w:color w:val="auto"/>
              </w:rPr>
              <w:t>TOTAL CURRENT ASSETS</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Arial" w:cs="Arial" w:eastAsia="Arial" w:hAnsi="Arial"/>
                <w:sz w:val="17"/>
                <w:szCs w:val="17"/>
                <w:color w:val="auto"/>
              </w:rPr>
              <w:t>Property and equipment, net</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Arial" w:cs="Arial" w:eastAsia="Arial" w:hAnsi="Arial"/>
                <w:sz w:val="17"/>
                <w:szCs w:val="17"/>
                <w:color w:val="auto"/>
              </w:rPr>
              <w:t>Right-of-use lease asset</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Arial" w:cs="Arial" w:eastAsia="Arial" w:hAnsi="Arial"/>
                <w:sz w:val="17"/>
                <w:szCs w:val="17"/>
                <w:color w:val="auto"/>
              </w:rPr>
              <w:t>Internal use software development costs, net</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Arial" w:cs="Arial" w:eastAsia="Arial" w:hAnsi="Arial"/>
                <w:sz w:val="17"/>
                <w:szCs w:val="17"/>
                <w:color w:val="auto"/>
              </w:rPr>
              <w:t>Intangible assets, net</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Arial" w:cs="Arial" w:eastAsia="Arial" w:hAnsi="Arial"/>
                <w:sz w:val="17"/>
                <w:szCs w:val="17"/>
                <w:color w:val="auto"/>
              </w:rPr>
              <w:t>Goodwill</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Arial" w:cs="Arial" w:eastAsia="Arial" w:hAnsi="Arial"/>
                <w:sz w:val="17"/>
                <w:szCs w:val="17"/>
                <w:color w:val="auto"/>
              </w:rPr>
              <w:t>Other assets, non-current</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Arial" w:cs="Arial" w:eastAsia="Arial" w:hAnsi="Arial"/>
                <w:sz w:val="17"/>
                <w:szCs w:val="17"/>
                <w:color w:val="auto"/>
              </w:rPr>
              <w:t>TOTAL ASSETS</w:t>
            </w:r>
          </w:p>
        </w:tc>
        <w:tc>
          <w:tcPr>
            <w:tcW w:w="2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6"/>
        </w:trPr>
        <w:tc>
          <w:tcPr>
            <w:tcW w:w="5740" w:type="dxa"/>
            <w:vAlign w:val="bottom"/>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100" w:type="dxa"/>
            <w:vAlign w:val="bottom"/>
          </w:tcPr>
          <w:p>
            <w:pPr>
              <w:spacing w:after="0"/>
              <w:rPr>
                <w:sz w:val="21"/>
                <w:szCs w:val="21"/>
                <w:color w:val="auto"/>
              </w:rPr>
            </w:pPr>
          </w:p>
        </w:tc>
      </w:tr>
      <w:tr>
        <w:trPr>
          <w:trHeight w:val="220"/>
        </w:trPr>
        <w:tc>
          <w:tcPr>
            <w:tcW w:w="5740" w:type="dxa"/>
            <w:vAlign w:val="bottom"/>
          </w:tcPr>
          <w:p>
            <w:pPr>
              <w:spacing w:after="0"/>
              <w:rPr>
                <w:sz w:val="20"/>
                <w:szCs w:val="20"/>
                <w:color w:val="auto"/>
              </w:rPr>
            </w:pPr>
            <w:r>
              <w:rPr>
                <w:rFonts w:ascii="Arial" w:cs="Arial" w:eastAsia="Arial" w:hAnsi="Arial"/>
                <w:sz w:val="17"/>
                <w:szCs w:val="17"/>
                <w:color w:val="auto"/>
              </w:rPr>
              <w:t>Current liabilities:</w:t>
            </w:r>
          </w:p>
        </w:tc>
        <w:tc>
          <w:tcPr>
            <w:tcW w:w="2100" w:type="dxa"/>
            <w:vAlign w:val="bottom"/>
          </w:tcPr>
          <w:p>
            <w:pPr>
              <w:spacing w:after="0"/>
              <w:rPr>
                <w:sz w:val="19"/>
                <w:szCs w:val="19"/>
                <w:color w:val="auto"/>
              </w:rPr>
            </w:pPr>
          </w:p>
        </w:tc>
      </w:tr>
      <w:tr>
        <w:trPr>
          <w:trHeight w:val="259"/>
        </w:trPr>
        <w:tc>
          <w:tcPr>
            <w:tcW w:w="5740" w:type="dxa"/>
            <w:vAlign w:val="bottom"/>
          </w:tcPr>
          <w:p>
            <w:pPr>
              <w:ind w:left="200"/>
              <w:spacing w:after="0"/>
              <w:rPr>
                <w:sz w:val="20"/>
                <w:szCs w:val="20"/>
                <w:color w:val="auto"/>
              </w:rPr>
            </w:pPr>
            <w:r>
              <w:rPr>
                <w:rFonts w:ascii="Arial" w:cs="Arial" w:eastAsia="Arial" w:hAnsi="Arial"/>
                <w:sz w:val="17"/>
                <w:szCs w:val="17"/>
                <w:color w:val="auto"/>
              </w:rPr>
              <w:t>Accounts payable and accrued expenses</w:t>
            </w:r>
          </w:p>
        </w:tc>
        <w:tc>
          <w:tcPr>
            <w:tcW w:w="2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5740" w:type="dxa"/>
            <w:vAlign w:val="bottom"/>
          </w:tcPr>
          <w:p>
            <w:pPr>
              <w:ind w:left="200"/>
              <w:spacing w:after="0"/>
              <w:rPr>
                <w:sz w:val="20"/>
                <w:szCs w:val="20"/>
                <w:color w:val="auto"/>
              </w:rPr>
            </w:pPr>
            <w:r>
              <w:rPr>
                <w:rFonts w:ascii="Arial" w:cs="Arial" w:eastAsia="Arial" w:hAnsi="Arial"/>
                <w:sz w:val="17"/>
                <w:szCs w:val="17"/>
                <w:color w:val="auto"/>
              </w:rPr>
              <w:t>Lease liabilities, current</w:t>
            </w:r>
          </w:p>
        </w:tc>
        <w:tc>
          <w:tcPr>
            <w:tcW w:w="2100" w:type="dxa"/>
            <w:vAlign w:val="bottom"/>
          </w:tcPr>
          <w:p>
            <w:pPr>
              <w:spacing w:after="0"/>
              <w:rPr>
                <w:sz w:val="20"/>
                <w:szCs w:val="20"/>
                <w:color w:val="auto"/>
              </w:rPr>
            </w:pPr>
          </w:p>
        </w:tc>
      </w:tr>
      <w:tr>
        <w:trPr>
          <w:trHeight w:val="259"/>
        </w:trPr>
        <w:tc>
          <w:tcPr>
            <w:tcW w:w="5740" w:type="dxa"/>
            <w:vAlign w:val="bottom"/>
          </w:tcPr>
          <w:p>
            <w:pPr>
              <w:ind w:left="200"/>
              <w:spacing w:after="0"/>
              <w:rPr>
                <w:sz w:val="20"/>
                <w:szCs w:val="20"/>
                <w:color w:val="auto"/>
              </w:rPr>
            </w:pPr>
            <w:r>
              <w:rPr>
                <w:rFonts w:ascii="Arial" w:cs="Arial" w:eastAsia="Arial" w:hAnsi="Arial"/>
                <w:sz w:val="17"/>
                <w:szCs w:val="17"/>
                <w:color w:val="auto"/>
              </w:rPr>
              <w:t>Debt, current</w:t>
            </w:r>
          </w:p>
        </w:tc>
        <w:tc>
          <w:tcPr>
            <w:tcW w:w="2100" w:type="dxa"/>
            <w:vAlign w:val="bottom"/>
          </w:tcPr>
          <w:p>
            <w:pPr>
              <w:spacing w:after="0"/>
              <w:rPr>
                <w:sz w:val="22"/>
                <w:szCs w:val="22"/>
                <w:color w:val="auto"/>
              </w:rPr>
            </w:pPr>
          </w:p>
        </w:tc>
      </w:tr>
      <w:tr>
        <w:trPr>
          <w:trHeight w:val="259"/>
        </w:trPr>
        <w:tc>
          <w:tcPr>
            <w:tcW w:w="5740" w:type="dxa"/>
            <w:vAlign w:val="bottom"/>
          </w:tcPr>
          <w:p>
            <w:pPr>
              <w:ind w:left="200"/>
              <w:spacing w:after="0"/>
              <w:rPr>
                <w:sz w:val="20"/>
                <w:szCs w:val="20"/>
                <w:color w:val="auto"/>
              </w:rPr>
            </w:pPr>
            <w:r>
              <w:rPr>
                <w:rFonts w:ascii="Arial" w:cs="Arial" w:eastAsia="Arial" w:hAnsi="Arial"/>
                <w:sz w:val="17"/>
                <w:szCs w:val="17"/>
                <w:color w:val="auto"/>
              </w:rPr>
              <w:t>Other current liabilities</w:t>
            </w:r>
          </w:p>
        </w:tc>
        <w:tc>
          <w:tcPr>
            <w:tcW w:w="2100" w:type="dxa"/>
            <w:vAlign w:val="bottom"/>
          </w:tcPr>
          <w:p>
            <w:pPr>
              <w:spacing w:after="0"/>
              <w:rPr>
                <w:sz w:val="22"/>
                <w:szCs w:val="22"/>
                <w:color w:val="auto"/>
              </w:rPr>
            </w:pPr>
          </w:p>
        </w:tc>
      </w:tr>
      <w:tr>
        <w:trPr>
          <w:trHeight w:val="259"/>
        </w:trPr>
        <w:tc>
          <w:tcPr>
            <w:tcW w:w="5740" w:type="dxa"/>
            <w:vAlign w:val="bottom"/>
          </w:tcPr>
          <w:p>
            <w:pPr>
              <w:ind w:left="420"/>
              <w:spacing w:after="0"/>
              <w:rPr>
                <w:sz w:val="20"/>
                <w:szCs w:val="20"/>
                <w:color w:val="auto"/>
              </w:rPr>
            </w:pPr>
            <w:r>
              <w:rPr>
                <w:rFonts w:ascii="Arial" w:cs="Arial" w:eastAsia="Arial" w:hAnsi="Arial"/>
                <w:sz w:val="17"/>
                <w:szCs w:val="17"/>
                <w:color w:val="auto"/>
              </w:rPr>
              <w:t>TOTAL CURRENT LIABILITIES</w:t>
            </w:r>
          </w:p>
        </w:tc>
        <w:tc>
          <w:tcPr>
            <w:tcW w:w="2100" w:type="dxa"/>
            <w:vAlign w:val="bottom"/>
          </w:tcPr>
          <w:p>
            <w:pPr>
              <w:spacing w:after="0"/>
              <w:rPr>
                <w:sz w:val="22"/>
                <w:szCs w:val="22"/>
                <w:color w:val="auto"/>
              </w:rPr>
            </w:pPr>
          </w:p>
        </w:tc>
      </w:tr>
      <w:tr>
        <w:trPr>
          <w:trHeight w:val="246"/>
        </w:trPr>
        <w:tc>
          <w:tcPr>
            <w:tcW w:w="5740" w:type="dxa"/>
            <w:vAlign w:val="bottom"/>
          </w:tcPr>
          <w:p>
            <w:pPr>
              <w:spacing w:after="0"/>
              <w:rPr>
                <w:sz w:val="20"/>
                <w:szCs w:val="20"/>
                <w:color w:val="auto"/>
              </w:rPr>
            </w:pPr>
            <w:r>
              <w:rPr>
                <w:rFonts w:ascii="Arial" w:cs="Arial" w:eastAsia="Arial" w:hAnsi="Arial"/>
                <w:sz w:val="17"/>
                <w:szCs w:val="17"/>
                <w:color w:val="auto"/>
              </w:rPr>
              <w:t>Debt, non-current, net of debt issuance costs</w:t>
            </w:r>
          </w:p>
        </w:tc>
        <w:tc>
          <w:tcPr>
            <w:tcW w:w="2100" w:type="dxa"/>
            <w:vAlign w:val="bottom"/>
          </w:tcPr>
          <w:p>
            <w:pPr>
              <w:spacing w:after="0"/>
              <w:rPr>
                <w:sz w:val="21"/>
                <w:szCs w:val="21"/>
                <w:color w:val="auto"/>
              </w:rPr>
            </w:pPr>
          </w:p>
        </w:tc>
      </w:tr>
      <w:tr>
        <w:trPr>
          <w:trHeight w:val="233"/>
        </w:trPr>
        <w:tc>
          <w:tcPr>
            <w:tcW w:w="5740" w:type="dxa"/>
            <w:vAlign w:val="bottom"/>
          </w:tcPr>
          <w:p>
            <w:pPr>
              <w:spacing w:after="0"/>
              <w:rPr>
                <w:sz w:val="20"/>
                <w:szCs w:val="20"/>
                <w:color w:val="auto"/>
              </w:rPr>
            </w:pPr>
            <w:r>
              <w:rPr>
                <w:rFonts w:ascii="Arial" w:cs="Arial" w:eastAsia="Arial" w:hAnsi="Arial"/>
                <w:sz w:val="17"/>
                <w:szCs w:val="17"/>
                <w:color w:val="auto"/>
              </w:rPr>
              <w:t>Deferred tax liability, net</w:t>
            </w:r>
          </w:p>
        </w:tc>
        <w:tc>
          <w:tcPr>
            <w:tcW w:w="2100" w:type="dxa"/>
            <w:vAlign w:val="bottom"/>
          </w:tcPr>
          <w:p>
            <w:pPr>
              <w:spacing w:after="0"/>
              <w:rPr>
                <w:sz w:val="20"/>
                <w:szCs w:val="20"/>
                <w:color w:val="auto"/>
              </w:rPr>
            </w:pPr>
          </w:p>
        </w:tc>
      </w:tr>
      <w:tr>
        <w:trPr>
          <w:trHeight w:val="259"/>
        </w:trPr>
        <w:tc>
          <w:tcPr>
            <w:tcW w:w="5740" w:type="dxa"/>
            <w:vAlign w:val="bottom"/>
          </w:tcPr>
          <w:p>
            <w:pPr>
              <w:spacing w:after="0"/>
              <w:rPr>
                <w:sz w:val="20"/>
                <w:szCs w:val="20"/>
                <w:color w:val="auto"/>
              </w:rPr>
            </w:pPr>
            <w:r>
              <w:rPr>
                <w:rFonts w:ascii="Arial" w:cs="Arial" w:eastAsia="Arial" w:hAnsi="Arial"/>
                <w:sz w:val="17"/>
                <w:szCs w:val="17"/>
                <w:color w:val="auto"/>
              </w:rPr>
              <w:t>Lease liabilities, non-current</w:t>
            </w:r>
          </w:p>
        </w:tc>
        <w:tc>
          <w:tcPr>
            <w:tcW w:w="2100" w:type="dxa"/>
            <w:vAlign w:val="bottom"/>
          </w:tcPr>
          <w:p>
            <w:pPr>
              <w:spacing w:after="0"/>
              <w:rPr>
                <w:sz w:val="22"/>
                <w:szCs w:val="22"/>
                <w:color w:val="auto"/>
              </w:rPr>
            </w:pPr>
          </w:p>
        </w:tc>
      </w:tr>
      <w:tr>
        <w:trPr>
          <w:trHeight w:val="259"/>
        </w:trPr>
        <w:tc>
          <w:tcPr>
            <w:tcW w:w="5740" w:type="dxa"/>
            <w:vAlign w:val="bottom"/>
          </w:tcPr>
          <w:p>
            <w:pPr>
              <w:spacing w:after="0"/>
              <w:rPr>
                <w:sz w:val="20"/>
                <w:szCs w:val="20"/>
                <w:color w:val="auto"/>
              </w:rPr>
            </w:pPr>
            <w:r>
              <w:rPr>
                <w:rFonts w:ascii="Arial" w:cs="Arial" w:eastAsia="Arial" w:hAnsi="Arial"/>
                <w:sz w:val="17"/>
                <w:szCs w:val="17"/>
                <w:color w:val="auto"/>
              </w:rPr>
              <w:t>Other liabilities, non-current</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Arial" w:cs="Arial" w:eastAsia="Arial" w:hAnsi="Arial"/>
                <w:sz w:val="17"/>
                <w:szCs w:val="17"/>
                <w:color w:val="auto"/>
              </w:rPr>
              <w:t>TOTAL LIABILITIES</w:t>
            </w:r>
          </w:p>
        </w:tc>
        <w:tc>
          <w:tcPr>
            <w:tcW w:w="2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-3359150</wp:posOffset>
            </wp:positionV>
            <wp:extent cx="7138035" cy="164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-3030220</wp:posOffset>
            </wp:positionV>
            <wp:extent cx="7138035" cy="164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-2701925</wp:posOffset>
            </wp:positionV>
            <wp:extent cx="7138035" cy="164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-2373630</wp:posOffset>
            </wp:positionV>
            <wp:extent cx="7138035" cy="164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-1741170</wp:posOffset>
            </wp:positionV>
            <wp:extent cx="7138035" cy="139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-1437005</wp:posOffset>
            </wp:positionV>
            <wp:extent cx="7138035" cy="164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-1108710</wp:posOffset>
            </wp:positionV>
            <wp:extent cx="7138035" cy="164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-779780</wp:posOffset>
            </wp:positionV>
            <wp:extent cx="7138035" cy="139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-476250</wp:posOffset>
            </wp:positionV>
            <wp:extent cx="7138035" cy="164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-147320</wp:posOffset>
            </wp:positionV>
            <wp:extent cx="7138035" cy="164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-2044700</wp:posOffset>
            </wp:positionV>
            <wp:extent cx="7138035" cy="164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Commitments and contingencies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STOCKHOLDERS' EQUITY</w:t>
      </w:r>
    </w:p>
    <w:p>
      <w:pPr>
        <w:spacing w:after="0" w:line="37" w:lineRule="exact"/>
        <w:rPr>
          <w:sz w:val="20"/>
          <w:szCs w:val="20"/>
          <w:color w:val="auto"/>
        </w:rPr>
      </w:pPr>
    </w:p>
    <w:p>
      <w:pPr>
        <w:ind w:left="220" w:right="240" w:hanging="154"/>
        <w:spacing w:after="0" w:line="303" w:lineRule="auto"/>
        <w:rPr>
          <w:sz w:val="20"/>
          <w:szCs w:val="20"/>
          <w:color w:val="auto"/>
        </w:rPr>
      </w:pPr>
      <w:r>
        <w:rPr>
          <w:rFonts w:ascii="Arial" w:cs="Arial" w:eastAsia="Arial" w:hAnsi="Arial"/>
          <w:sz w:val="16"/>
          <w:szCs w:val="16"/>
          <w:color w:val="auto"/>
        </w:rPr>
        <w:t>Preferred stock, $0.00001 par value, 10,000 shares authorized at September 30, 2022 and December 31, 2021; 0 shares issued and outstanding at September 30,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138035" cy="427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035" cy="427355"/>
                    </a:xfrm>
                    <a:prstGeom prst="rect">
                      <a:avLst/>
                    </a:prstGeom>
                    <a:noFill/>
                  </pic:spPr>
                </pic:pic>
              </a:graphicData>
            </a:graphic>
          </wp:anchor>
        </w:drawing>
      </w:r>
    </w:p>
    <w:p>
      <w:pPr>
        <w:ind w:left="220" w:right="320" w:hanging="154"/>
        <w:spacing w:after="0" w:line="311" w:lineRule="auto"/>
        <w:rPr>
          <w:sz w:val="20"/>
          <w:szCs w:val="20"/>
          <w:color w:val="auto"/>
        </w:rPr>
      </w:pPr>
      <w:r>
        <w:rPr>
          <w:rFonts w:ascii="Arial" w:cs="Arial" w:eastAsia="Arial" w:hAnsi="Arial"/>
          <w:sz w:val="15"/>
          <w:szCs w:val="15"/>
          <w:color w:val="auto"/>
        </w:rPr>
        <w:t>Common stock, $0.00001 par value; 500,000 shares authorized at September 30, 2022 and December 31, 2021; 133,349 and 132,553 shares issued at September 30, 2022 and December 31, 2021, respectively, and 133,349 and 132,204 shares outstanding at September 30, 2022 and December 31, 2021, respectively</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38035" cy="139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Accumulated other comprehensive loss</w:t>
      </w:r>
    </w:p>
    <w:p>
      <w:pPr>
        <w:spacing w:after="0" w:line="24" w:lineRule="exact"/>
        <w:rPr>
          <w:sz w:val="20"/>
          <w:szCs w:val="20"/>
          <w:color w:val="auto"/>
        </w:rPr>
      </w:pPr>
    </w:p>
    <w:p>
      <w:pPr>
        <w:ind w:left="220" w:right="920" w:hanging="154"/>
        <w:spacing w:after="0" w:line="238" w:lineRule="auto"/>
        <w:rPr>
          <w:sz w:val="20"/>
          <w:szCs w:val="20"/>
          <w:color w:val="auto"/>
        </w:rPr>
      </w:pPr>
      <w:r>
        <w:rPr>
          <w:rFonts w:ascii="Arial" w:cs="Arial" w:eastAsia="Arial" w:hAnsi="Arial"/>
          <w:sz w:val="17"/>
          <w:szCs w:val="17"/>
          <w:color w:val="auto"/>
        </w:rPr>
        <w:t>Treasury stock at cost, 0 and 349 shares outstanding at September 30,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035" cy="164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line="6"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253,552</w:t>
            </w: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230,401</w:t>
            </w:r>
          </w:p>
        </w:tc>
      </w:tr>
      <w:tr>
        <w:trPr>
          <w:trHeight w:val="25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804,350</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927,781</w:t>
            </w:r>
          </w:p>
        </w:tc>
      </w:tr>
      <w:tr>
        <w:trPr>
          <w:trHeight w:val="258"/>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21,363</w:t>
            </w: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19,934</w:t>
            </w:r>
          </w:p>
        </w:tc>
      </w:tr>
      <w:tr>
        <w:trPr>
          <w:trHeight w:val="239"/>
        </w:trPr>
        <w:tc>
          <w:tcPr>
            <w:tcW w:w="920" w:type="dxa"/>
            <w:vAlign w:val="bottom"/>
          </w:tcPr>
          <w:p>
            <w:pPr>
              <w:jc w:val="right"/>
              <w:ind w:right="134"/>
              <w:spacing w:after="0"/>
              <w:rPr>
                <w:sz w:val="20"/>
                <w:szCs w:val="20"/>
                <w:color w:val="auto"/>
              </w:rPr>
            </w:pPr>
            <w:r>
              <w:rPr>
                <w:rFonts w:ascii="Arial" w:cs="Arial" w:eastAsia="Arial" w:hAnsi="Arial"/>
                <w:sz w:val="17"/>
                <w:szCs w:val="17"/>
                <w:color w:val="auto"/>
                <w:w w:val="89"/>
              </w:rPr>
              <w:t>1,079,265</w:t>
            </w:r>
          </w:p>
        </w:tc>
        <w:tc>
          <w:tcPr>
            <w:tcW w:w="50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1,178,116</w:t>
            </w:r>
          </w:p>
        </w:tc>
      </w:tr>
      <w:tr>
        <w:trPr>
          <w:trHeight w:val="25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45,489</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34,067</w:t>
            </w:r>
          </w:p>
        </w:tc>
      </w:tr>
      <w:tr>
        <w:trPr>
          <w:trHeight w:val="25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74,409</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76,986</w:t>
            </w:r>
          </w:p>
        </w:tc>
      </w:tr>
      <w:tr>
        <w:trPr>
          <w:trHeight w:val="25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23,051</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20,093</w:t>
            </w:r>
          </w:p>
        </w:tc>
      </w:tr>
      <w:tr>
        <w:trPr>
          <w:trHeight w:val="25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322,547</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426,615</w:t>
            </w:r>
          </w:p>
        </w:tc>
      </w:tr>
      <w:tr>
        <w:trPr>
          <w:trHeight w:val="25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978,217</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969,873</w:t>
            </w:r>
          </w:p>
        </w:tc>
      </w:tr>
      <w:tr>
        <w:trPr>
          <w:trHeight w:val="258"/>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6,106</w:t>
            </w: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6,862</w:t>
            </w:r>
          </w:p>
        </w:tc>
      </w:tr>
      <w:tr>
        <w:trPr>
          <w:trHeight w:val="213"/>
        </w:trPr>
        <w:tc>
          <w:tcPr>
            <w:tcW w:w="920" w:type="dxa"/>
            <w:vAlign w:val="bottom"/>
          </w:tcPr>
          <w:p>
            <w:pPr>
              <w:jc w:val="right"/>
              <w:ind w:right="134"/>
              <w:spacing w:after="0"/>
              <w:rPr>
                <w:sz w:val="20"/>
                <w:szCs w:val="20"/>
                <w:color w:val="auto"/>
              </w:rPr>
            </w:pPr>
            <w:r>
              <w:rPr>
                <w:rFonts w:ascii="Arial" w:cs="Arial" w:eastAsia="Arial" w:hAnsi="Arial"/>
                <w:sz w:val="17"/>
                <w:szCs w:val="17"/>
                <w:color w:val="auto"/>
                <w:w w:val="89"/>
              </w:rPr>
              <w:t>2,529,084</w:t>
            </w:r>
          </w:p>
        </w:tc>
        <w:tc>
          <w:tcPr>
            <w:tcW w:w="5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2,712,612</w:t>
            </w:r>
          </w:p>
        </w:tc>
      </w:tr>
      <w:tr>
        <w:trPr>
          <w:trHeight w:val="20"/>
        </w:trPr>
        <w:tc>
          <w:tcPr>
            <w:tcW w:w="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65"/>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890,071</w:t>
            </w: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1,000,956</w:t>
            </w:r>
          </w:p>
        </w:tc>
      </w:tr>
      <w:tr>
        <w:trPr>
          <w:trHeight w:val="25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19,452</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19,142</w:t>
            </w:r>
          </w:p>
        </w:tc>
      </w:tr>
      <w:tr>
        <w:trPr>
          <w:trHeight w:val="25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3,600</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3,600</w:t>
            </w:r>
          </w:p>
        </w:tc>
      </w:tr>
      <w:tr>
        <w:trPr>
          <w:trHeight w:val="258"/>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5,885</w:t>
            </w: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5,697</w:t>
            </w:r>
          </w:p>
        </w:tc>
      </w:tr>
      <w:tr>
        <w:trPr>
          <w:trHeight w:val="23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919,008</w:t>
            </w:r>
          </w:p>
        </w:tc>
        <w:tc>
          <w:tcPr>
            <w:tcW w:w="50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1,029,395</w:t>
            </w:r>
          </w:p>
        </w:tc>
      </w:tr>
      <w:tr>
        <w:trPr>
          <w:trHeight w:val="220"/>
        </w:trPr>
        <w:tc>
          <w:tcPr>
            <w:tcW w:w="920" w:type="dxa"/>
            <w:vAlign w:val="bottom"/>
          </w:tcPr>
          <w:p>
            <w:pPr>
              <w:jc w:val="right"/>
              <w:ind w:right="74"/>
              <w:spacing w:after="0"/>
              <w:rPr>
                <w:sz w:val="20"/>
                <w:szCs w:val="20"/>
                <w:color w:val="auto"/>
              </w:rPr>
            </w:pPr>
            <w:r>
              <w:rPr>
                <w:rFonts w:ascii="Arial" w:cs="Arial" w:eastAsia="Arial" w:hAnsi="Arial"/>
                <w:sz w:val="17"/>
                <w:szCs w:val="17"/>
                <w:color w:val="auto"/>
              </w:rPr>
              <w:t>722,077</w:t>
            </w:r>
          </w:p>
        </w:tc>
        <w:tc>
          <w:tcPr>
            <w:tcW w:w="50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720,023</w:t>
            </w:r>
          </w:p>
        </w:tc>
      </w:tr>
      <w:tr>
        <w:trPr>
          <w:trHeight w:val="25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11,506</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13,303</w:t>
            </w:r>
          </w:p>
        </w:tc>
      </w:tr>
      <w:tr>
        <w:trPr>
          <w:trHeight w:val="25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64,288</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66,487</w:t>
            </w:r>
          </w:p>
        </w:tc>
      </w:tr>
      <w:tr>
        <w:trPr>
          <w:trHeight w:val="258"/>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1,703</w:t>
            </w: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2,647</w:t>
            </w:r>
          </w:p>
        </w:tc>
      </w:tr>
      <w:tr>
        <w:trPr>
          <w:trHeight w:val="239"/>
        </w:trPr>
        <w:tc>
          <w:tcPr>
            <w:tcW w:w="920" w:type="dxa"/>
            <w:vAlign w:val="bottom"/>
          </w:tcPr>
          <w:p>
            <w:pPr>
              <w:jc w:val="right"/>
              <w:ind w:right="134"/>
              <w:spacing w:after="0"/>
              <w:rPr>
                <w:sz w:val="20"/>
                <w:szCs w:val="20"/>
                <w:color w:val="auto"/>
              </w:rPr>
            </w:pPr>
            <w:r>
              <w:rPr>
                <w:rFonts w:ascii="Arial" w:cs="Arial" w:eastAsia="Arial" w:hAnsi="Arial"/>
                <w:sz w:val="17"/>
                <w:szCs w:val="17"/>
                <w:color w:val="auto"/>
                <w:w w:val="89"/>
              </w:rPr>
              <w:t>1,718,582</w:t>
            </w: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1,831,855</w:t>
            </w:r>
          </w:p>
        </w:tc>
      </w:tr>
      <w:tr>
        <w:trPr>
          <w:trHeight w:val="925"/>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4"/>
                <w:szCs w:val="24"/>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w:t>
            </w:r>
          </w:p>
        </w:tc>
      </w:tr>
      <w:tr>
        <w:trPr>
          <w:trHeight w:val="673"/>
        </w:trPr>
        <w:tc>
          <w:tcPr>
            <w:tcW w:w="920" w:type="dxa"/>
            <w:vAlign w:val="bottom"/>
          </w:tcPr>
          <w:p>
            <w:pPr>
              <w:jc w:val="right"/>
              <w:ind w:right="74"/>
              <w:spacing w:after="0"/>
              <w:rPr>
                <w:sz w:val="20"/>
                <w:szCs w:val="20"/>
                <w:color w:val="auto"/>
              </w:rPr>
            </w:pPr>
            <w:r>
              <w:rPr>
                <w:rFonts w:ascii="Arial" w:cs="Arial" w:eastAsia="Arial" w:hAnsi="Arial"/>
                <w:sz w:val="17"/>
                <w:szCs w:val="17"/>
                <w:color w:val="auto"/>
              </w:rPr>
              <w:t>2</w:t>
            </w:r>
          </w:p>
        </w:tc>
        <w:tc>
          <w:tcPr>
            <w:tcW w:w="500" w:type="dxa"/>
            <w:vAlign w:val="bottom"/>
          </w:tcPr>
          <w:p>
            <w:pPr>
              <w:spacing w:after="0"/>
              <w:rPr>
                <w:sz w:val="24"/>
                <w:szCs w:val="24"/>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2</w:t>
            </w:r>
          </w:p>
        </w:tc>
      </w:tr>
      <w:tr>
        <w:trPr>
          <w:trHeight w:val="259"/>
        </w:trPr>
        <w:tc>
          <w:tcPr>
            <w:tcW w:w="920" w:type="dxa"/>
            <w:vAlign w:val="bottom"/>
          </w:tcPr>
          <w:p>
            <w:pPr>
              <w:jc w:val="right"/>
              <w:ind w:right="74"/>
              <w:spacing w:after="0"/>
              <w:rPr>
                <w:sz w:val="20"/>
                <w:szCs w:val="20"/>
                <w:color w:val="auto"/>
              </w:rPr>
            </w:pPr>
            <w:r>
              <w:rPr>
                <w:rFonts w:ascii="Arial" w:cs="Arial" w:eastAsia="Arial" w:hAnsi="Arial"/>
                <w:sz w:val="17"/>
                <w:szCs w:val="17"/>
                <w:color w:val="auto"/>
                <w:w w:val="97"/>
              </w:rPr>
              <w:t>1,304,182</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1,282,589</w:t>
            </w:r>
          </w:p>
        </w:tc>
      </w:tr>
      <w:tr>
        <w:trPr>
          <w:trHeight w:val="220"/>
        </w:trPr>
        <w:tc>
          <w:tcPr>
            <w:tcW w:w="920" w:type="dxa"/>
            <w:vAlign w:val="bottom"/>
          </w:tcPr>
          <w:p>
            <w:pPr>
              <w:jc w:val="right"/>
              <w:ind w:right="34"/>
              <w:spacing w:after="0"/>
              <w:rPr>
                <w:sz w:val="20"/>
                <w:szCs w:val="20"/>
                <w:color w:val="auto"/>
              </w:rPr>
            </w:pPr>
            <w:r>
              <w:rPr>
                <w:rFonts w:ascii="Arial" w:cs="Arial" w:eastAsia="Arial" w:hAnsi="Arial"/>
                <w:sz w:val="17"/>
                <w:szCs w:val="17"/>
                <w:color w:val="auto"/>
              </w:rPr>
              <w:t>(5,293)</w:t>
            </w:r>
          </w:p>
        </w:tc>
        <w:tc>
          <w:tcPr>
            <w:tcW w:w="50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(1,376)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-1330325</wp:posOffset>
            </wp:positionV>
            <wp:extent cx="1076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76325" cy="8255"/>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-2291080</wp:posOffset>
            </wp:positionV>
            <wp:extent cx="1076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76325" cy="8255"/>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-3219450</wp:posOffset>
            </wp:positionV>
            <wp:extent cx="1076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76325" cy="8255"/>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-4542155</wp:posOffset>
            </wp:positionV>
            <wp:extent cx="1076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76325" cy="8255"/>
                    </a:xfrm>
                    <a:prstGeom prst="rect">
                      <a:avLst/>
                    </a:prstGeom>
                    <a:noFill/>
                  </pic:spPr>
                </pic:pic>
              </a:graphicData>
            </a:graphic>
          </wp:anchor>
        </w:drawing>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r>
        <w:rPr>
          <w:rFonts w:ascii="Arial" w:cs="Arial" w:eastAsia="Arial" w:hAnsi="Arial"/>
          <w:sz w:val="16"/>
          <w:szCs w:val="16"/>
          <w:color w:val="auto"/>
        </w:rPr>
        <w:t>(6,007)</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(488,389)</w:t>
      </w:r>
      <w:r>
        <w:rPr>
          <w:rFonts w:ascii="Arial" w:cs="Arial" w:eastAsia="Arial" w:hAnsi="Arial"/>
          <w:sz w:val="15"/>
          <w:szCs w:val="15"/>
          <w:color w:val="auto"/>
        </w:rPr>
        <w:t>(394,451)</w:t>
      </w:r>
    </w:p>
    <w:p>
      <w:pPr>
        <w:spacing w:after="0" w:line="24" w:lineRule="exact"/>
        <w:rPr>
          <w:sz w:val="20"/>
          <w:szCs w:val="20"/>
          <w:color w:val="auto"/>
        </w:rPr>
      </w:pPr>
    </w:p>
    <w:p>
      <w:pPr>
        <w:sectPr>
          <w:pgSz w:w="11900" w:h="16838" w:orient="portrait"/>
          <w:cols w:equalWidth="0" w:num="2">
            <w:col w:w="7900" w:space="720"/>
            <w:col w:w="262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776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TOTAL STOCKHOLDERS' EQUITY</w:t>
            </w:r>
          </w:p>
        </w:tc>
        <w:tc>
          <w:tcPr>
            <w:tcW w:w="4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810,502</w:t>
            </w:r>
          </w:p>
        </w:tc>
        <w:tc>
          <w:tcPr>
            <w:tcW w:w="100" w:type="dxa"/>
            <w:vAlign w:val="bottom"/>
            <w:tcBorders>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880,757</w:t>
            </w:r>
          </w:p>
        </w:tc>
      </w:tr>
      <w:tr>
        <w:trPr>
          <w:trHeight w:val="238"/>
        </w:trPr>
        <w:tc>
          <w:tcPr>
            <w:tcW w:w="7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TOTAL LIABILITIES AND STOCKHOLDERS' EQUITY</w:t>
            </w: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2,529,084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2,712,612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gridSpan w:val="5"/>
          </w:tcPr>
          <w:p>
            <w:pPr>
              <w:ind w:left="9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3300" w:type="dxa"/>
            <w:vAlign w:val="bottom"/>
            <w:gridSpan w:val="4"/>
          </w:tcPr>
          <w:p>
            <w:pPr>
              <w:jc w:val="right"/>
              <w:ind w:right="10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5"/>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3"/>
              </w:rPr>
              <w:t>September 30, 2021</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3"/>
              </w:rPr>
              <w:t>September 30, 2021</w:t>
            </w:r>
          </w:p>
        </w:tc>
        <w:tc>
          <w:tcPr>
            <w:tcW w:w="0" w:type="dxa"/>
            <w:vAlign w:val="bottom"/>
          </w:tcPr>
          <w:p>
            <w:pPr>
              <w:spacing w:after="0"/>
              <w:rPr>
                <w:sz w:val="1"/>
                <w:szCs w:val="1"/>
                <w:color w:val="auto"/>
              </w:rPr>
            </w:pPr>
          </w:p>
        </w:tc>
      </w:tr>
      <w:tr>
        <w:trPr>
          <w:trHeight w:val="220"/>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145,815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131,871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401,670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307,127</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Arial" w:cs="Arial" w:eastAsia="Arial" w:hAnsi="Arial"/>
                <w:sz w:val="17"/>
                <w:szCs w:val="17"/>
                <w:color w:val="auto"/>
              </w:rPr>
              <w:t>Expenses: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of revenue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134,823</w:t>
            </w:r>
          </w:p>
        </w:tc>
        <w:tc>
          <w:tcPr>
            <w:tcW w:w="0" w:type="dxa"/>
            <w:vAlign w:val="bottom"/>
          </w:tcPr>
          <w:p>
            <w:pPr>
              <w:spacing w:after="0"/>
              <w:rPr>
                <w:sz w:val="1"/>
                <w:szCs w:val="1"/>
                <w:color w:val="auto"/>
              </w:rPr>
            </w:pPr>
          </w:p>
        </w:tc>
      </w:tr>
      <w:tr>
        <w:trPr>
          <w:trHeight w:val="220"/>
        </w:trPr>
        <w:tc>
          <w:tcPr>
            <w:tcW w:w="4160" w:type="dxa"/>
            <w:vAlign w:val="bottom"/>
          </w:tcPr>
          <w:p>
            <w:pPr>
              <w:ind w:left="220"/>
              <w:spacing w:after="0"/>
              <w:rPr>
                <w:sz w:val="20"/>
                <w:szCs w:val="20"/>
                <w:color w:val="auto"/>
              </w:rPr>
            </w:pPr>
            <w:r>
              <w:rPr>
                <w:rFonts w:ascii="Arial" w:cs="Arial" w:eastAsia="Arial" w:hAnsi="Arial"/>
                <w:sz w:val="17"/>
                <w:szCs w:val="17"/>
                <w:color w:val="auto"/>
              </w:rPr>
              <w:t>Sales and marketing</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49,848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52,260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151,675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118,122</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Technology and development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53,436</w:t>
            </w:r>
          </w:p>
        </w:tc>
        <w:tc>
          <w:tcPr>
            <w:tcW w:w="0" w:type="dxa"/>
            <w:vAlign w:val="bottom"/>
          </w:tcPr>
          <w:p>
            <w:pPr>
              <w:spacing w:after="0"/>
              <w:rPr>
                <w:sz w:val="1"/>
                <w:szCs w:val="1"/>
                <w:color w:val="auto"/>
              </w:rPr>
            </w:pPr>
          </w:p>
        </w:tc>
      </w:tr>
      <w:tr>
        <w:trPr>
          <w:trHeight w:val="220"/>
        </w:trPr>
        <w:tc>
          <w:tcPr>
            <w:tcW w:w="416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20,235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16,535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59,405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47,673</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Merger, acquisition, and restructuring costs</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37,778</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expenses</w:t>
            </w: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166,970</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155,819</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485,912</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391,832</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(84,705)</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 net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12,595</w:t>
            </w:r>
          </w:p>
        </w:tc>
        <w:tc>
          <w:tcPr>
            <w:tcW w:w="0" w:type="dxa"/>
            <w:vAlign w:val="bottom"/>
          </w:tcPr>
          <w:p>
            <w:pPr>
              <w:spacing w:after="0"/>
              <w:rPr>
                <w:sz w:val="1"/>
                <w:szCs w:val="1"/>
                <w:color w:val="auto"/>
              </w:rPr>
            </w:pPr>
          </w:p>
        </w:tc>
      </w:tr>
      <w:tr>
        <w:trPr>
          <w:trHeight w:val="220"/>
        </w:trPr>
        <w:tc>
          <w:tcPr>
            <w:tcW w:w="4160" w:type="dxa"/>
            <w:vAlign w:val="bottom"/>
          </w:tcPr>
          <w:p>
            <w:pPr>
              <w:ind w:left="220"/>
              <w:spacing w:after="0"/>
              <w:rPr>
                <w:sz w:val="20"/>
                <w:szCs w:val="20"/>
                <w:color w:val="auto"/>
              </w:rPr>
            </w:pPr>
            <w:r>
              <w:rPr>
                <w:rFonts w:ascii="Arial" w:cs="Arial" w:eastAsia="Arial" w:hAnsi="Arial"/>
                <w:sz w:val="17"/>
                <w:szCs w:val="17"/>
                <w:color w:val="auto"/>
              </w:rPr>
              <w:t>Other income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(1,369)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(3,991)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(3,317)</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exchange gain, net</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(1,358)</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expense, net</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7,920</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(92,625)</w:t>
            </w:r>
          </w:p>
        </w:tc>
        <w:tc>
          <w:tcPr>
            <w:tcW w:w="0" w:type="dxa"/>
            <w:vAlign w:val="bottom"/>
          </w:tcPr>
          <w:p>
            <w:pPr>
              <w:spacing w:after="0"/>
              <w:rPr>
                <w:sz w:val="1"/>
                <w:szCs w:val="1"/>
                <w:color w:val="auto"/>
              </w:rPr>
            </w:pPr>
          </w:p>
        </w:tc>
      </w:tr>
      <w:tr>
        <w:trPr>
          <w:trHeight w:val="220"/>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Benefit for income taxes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(92,237)</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Arial" w:cs="Arial" w:eastAsia="Arial" w:hAnsi="Arial"/>
                <w:sz w:val="17"/>
                <w:szCs w:val="17"/>
                <w:color w:val="auto"/>
              </w:rPr>
              <w:t>Net loss per share:</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60" w:type="dxa"/>
            <w:vAlign w:val="bottom"/>
            <w:tcBorders>
              <w:bottom w:val="single" w:sz="8" w:color="CCEEFF"/>
            </w:tcBorders>
            <w:shd w:val="clear" w:color="auto" w:fill="CCEEFF"/>
          </w:tcPr>
          <w:p>
            <w:pPr>
              <w:ind w:left="340"/>
              <w:spacing w:after="0" w:line="194" w:lineRule="exact"/>
              <w:rPr>
                <w:sz w:val="20"/>
                <w:szCs w:val="20"/>
                <w:color w:val="auto"/>
              </w:rPr>
            </w:pPr>
            <w:r>
              <w:rPr>
                <w:rFonts w:ascii="Arial" w:cs="Arial" w:eastAsia="Arial" w:hAnsi="Arial"/>
                <w:sz w:val="17"/>
                <w:szCs w:val="17"/>
                <w:color w:val="auto"/>
              </w:rPr>
              <w:t>Basic and Diluted</w:t>
            </w:r>
          </w:p>
        </w:tc>
        <w:tc>
          <w:tcPr>
            <w:tcW w:w="1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(0.18)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(0.18)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(0.71)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line="167" w:lineRule="exact"/>
              <w:rPr>
                <w:sz w:val="20"/>
                <w:szCs w:val="20"/>
                <w:color w:val="auto"/>
              </w:rPr>
            </w:pPr>
            <w:r>
              <w:rPr>
                <w:rFonts w:ascii="Arial" w:cs="Arial" w:eastAsia="Arial" w:hAnsi="Arial"/>
                <w:sz w:val="17"/>
                <w:szCs w:val="17"/>
                <w:color w:val="auto"/>
                <w:w w:val="98"/>
              </w:rPr>
              <w:t>Weighted average shares used to compute net loss per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1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4160" w:type="dxa"/>
            <w:vAlign w:val="bottom"/>
          </w:tcPr>
          <w:p>
            <w:pPr>
              <w:ind w:left="20"/>
              <w:spacing w:after="0"/>
              <w:rPr>
                <w:sz w:val="20"/>
                <w:szCs w:val="20"/>
                <w:color w:val="auto"/>
              </w:rPr>
            </w:pPr>
            <w:r>
              <w:rPr>
                <w:rFonts w:ascii="Arial" w:cs="Arial" w:eastAsia="Arial" w:hAnsi="Arial"/>
                <w:sz w:val="17"/>
                <w:szCs w:val="17"/>
                <w:color w:val="auto"/>
              </w:rPr>
              <w:t>share:</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Basic and Diluted</w:t>
            </w: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133,144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131,501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132,611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124,325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60" w:type="dxa"/>
            <w:vAlign w:val="bottom"/>
            <w:gridSpan w:val="5"/>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3260" w:type="dxa"/>
            <w:vAlign w:val="bottom"/>
            <w:gridSpan w:val="4"/>
          </w:tcPr>
          <w:p>
            <w:pPr>
              <w:jc w:val="right"/>
              <w:ind w:right="1037"/>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0"/>
        </w:trPr>
        <w:tc>
          <w:tcPr>
            <w:tcW w:w="42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1"/>
              </w:rPr>
              <w:t>September 30, 2021</w:t>
            </w:r>
          </w:p>
        </w:tc>
      </w:tr>
      <w:tr>
        <w:trPr>
          <w:trHeight w:val="220"/>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(24,391)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(93,938)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w:t>
            </w:r>
          </w:p>
        </w:tc>
      </w:tr>
      <w:tr>
        <w:trPr>
          <w:trHeight w:val="220"/>
        </w:trPr>
        <w:tc>
          <w:tcPr>
            <w:tcW w:w="428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0"/>
        </w:trPr>
        <w:tc>
          <w:tcPr>
            <w:tcW w:w="42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Foreign currency translation adjustments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w:t>
            </w:r>
          </w:p>
        </w:tc>
      </w:tr>
      <w:tr>
        <w:trPr>
          <w:trHeight w:val="21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w:t>
            </w:r>
          </w:p>
        </w:tc>
      </w:tr>
      <w:tr>
        <w:trPr>
          <w:trHeight w:val="23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(97,855)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1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9"/>
        </w:trPr>
        <w:tc>
          <w:tcPr>
            <w:tcW w:w="3460" w:type="dxa"/>
            <w:vAlign w:val="bottom"/>
          </w:tcPr>
          <w:p>
            <w:pPr>
              <w:spacing w:after="0"/>
              <w:rPr>
                <w:sz w:val="12"/>
                <w:szCs w:val="12"/>
                <w:color w:val="auto"/>
              </w:rPr>
            </w:pPr>
          </w:p>
        </w:tc>
        <w:tc>
          <w:tcPr>
            <w:tcW w:w="184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3460" w:type="dxa"/>
            <w:vAlign w:val="bottom"/>
          </w:tcPr>
          <w:p>
            <w:pPr>
              <w:spacing w:after="0"/>
              <w:rPr>
                <w:sz w:val="7"/>
                <w:szCs w:val="7"/>
                <w:color w:val="auto"/>
              </w:rPr>
            </w:pPr>
          </w:p>
        </w:tc>
        <w:tc>
          <w:tcPr>
            <w:tcW w:w="184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vMerge w:val="restart"/>
          </w:tcPr>
          <w:p>
            <w:pPr>
              <w:jc w:val="center"/>
              <w:ind w:right="280"/>
              <w:spacing w:after="0" w:line="116" w:lineRule="exact"/>
              <w:rPr>
                <w:sz w:val="20"/>
                <w:szCs w:val="20"/>
                <w:color w:val="auto"/>
              </w:rPr>
            </w:pPr>
            <w:r>
              <w:rPr>
                <w:rFonts w:ascii="Arial" w:cs="Arial" w:eastAsia="Arial" w:hAnsi="Arial"/>
                <w:sz w:val="13"/>
                <w:szCs w:val="13"/>
                <w:b w:val="1"/>
                <w:bCs w:val="1"/>
                <w:color w:val="auto"/>
              </w:rPr>
              <w:t>Paid-In</w:t>
            </w:r>
          </w:p>
        </w:tc>
        <w:tc>
          <w:tcPr>
            <w:tcW w:w="1100" w:type="dxa"/>
            <w:vAlign w:val="bottom"/>
            <w:gridSpan w:val="3"/>
            <w:vMerge w:val="restart"/>
          </w:tcPr>
          <w:p>
            <w:pPr>
              <w:ind w:left="20"/>
              <w:spacing w:after="0" w:line="116" w:lineRule="exact"/>
              <w:rPr>
                <w:sz w:val="20"/>
                <w:szCs w:val="20"/>
                <w:color w:val="auto"/>
              </w:rPr>
            </w:pPr>
            <w:r>
              <w:rPr>
                <w:rFonts w:ascii="Arial" w:cs="Arial" w:eastAsia="Arial" w:hAnsi="Arial"/>
                <w:sz w:val="13"/>
                <w:szCs w:val="13"/>
                <w:b w:val="1"/>
                <w:bCs w:val="1"/>
                <w:color w:val="auto"/>
              </w:rPr>
              <w:t>Comprehensive</w:t>
            </w:r>
          </w:p>
        </w:tc>
        <w:tc>
          <w:tcPr>
            <w:tcW w:w="1060" w:type="dxa"/>
            <w:vAlign w:val="bottom"/>
            <w:gridSpan w:val="3"/>
            <w:vMerge w:val="restart"/>
          </w:tcPr>
          <w:p>
            <w:pPr>
              <w:jc w:val="center"/>
              <w:ind w:right="200"/>
              <w:spacing w:after="0" w:line="116" w:lineRule="exact"/>
              <w:rPr>
                <w:sz w:val="20"/>
                <w:szCs w:val="20"/>
                <w:color w:val="auto"/>
              </w:rPr>
            </w:pPr>
            <w:r>
              <w:rPr>
                <w:rFonts w:ascii="Arial" w:cs="Arial" w:eastAsia="Arial" w:hAnsi="Arial"/>
                <w:sz w:val="13"/>
                <w:szCs w:val="13"/>
                <w:b w:val="1"/>
                <w:bCs w:val="1"/>
                <w:color w:val="auto"/>
                <w:w w:val="95"/>
              </w:rPr>
              <w:t>Accumulated</w:t>
            </w:r>
          </w:p>
        </w:tc>
        <w:tc>
          <w:tcPr>
            <w:tcW w:w="1660" w:type="dxa"/>
            <w:vAlign w:val="bottom"/>
            <w:gridSpan w:val="5"/>
            <w:vMerge w:val="continue"/>
          </w:tcPr>
          <w:p>
            <w:pPr>
              <w:spacing w:after="0"/>
              <w:rPr>
                <w:sz w:val="7"/>
                <w:szCs w:val="7"/>
                <w:color w:val="auto"/>
              </w:rPr>
            </w:pPr>
          </w:p>
        </w:tc>
        <w:tc>
          <w:tcPr>
            <w:tcW w:w="940" w:type="dxa"/>
            <w:vAlign w:val="bottom"/>
            <w:gridSpan w:val="2"/>
            <w:vMerge w:val="restart"/>
          </w:tcPr>
          <w:p>
            <w:pPr>
              <w:jc w:val="center"/>
              <w:spacing w:after="0" w:line="116"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25"/>
        </w:trPr>
        <w:tc>
          <w:tcPr>
            <w:tcW w:w="34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46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Income (Loss)</w:t>
            </w:r>
          </w:p>
        </w:tc>
        <w:tc>
          <w:tcPr>
            <w:tcW w:w="180" w:type="dxa"/>
            <w:vAlign w:val="bottom"/>
          </w:tcPr>
          <w:p>
            <w:pPr>
              <w:spacing w:after="0"/>
              <w:rPr>
                <w:sz w:val="16"/>
                <w:szCs w:val="16"/>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Deficit</w:t>
            </w: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760" w:type="dxa"/>
            <w:vAlign w:val="bottom"/>
          </w:tcPr>
          <w:p>
            <w:pPr>
              <w:jc w:val="center"/>
              <w:ind w:right="103"/>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06"/>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114,029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777,084</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(394,516)</w:t>
            </w: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381,613</w:t>
            </w:r>
          </w:p>
        </w:tc>
        <w:tc>
          <w:tcPr>
            <w:tcW w:w="0" w:type="dxa"/>
            <w:vAlign w:val="bottom"/>
          </w:tcPr>
          <w:p>
            <w:pPr>
              <w:spacing w:after="0"/>
              <w:rPr>
                <w:sz w:val="1"/>
                <w:szCs w:val="1"/>
                <w:color w:val="auto"/>
              </w:rPr>
            </w:pPr>
          </w:p>
        </w:tc>
      </w:tr>
      <w:tr>
        <w:trPr>
          <w:trHeight w:val="204"/>
        </w:trPr>
        <w:tc>
          <w:tcPr>
            <w:tcW w:w="3460" w:type="dxa"/>
            <w:vAlign w:val="bottom"/>
          </w:tcPr>
          <w:p>
            <w:pPr>
              <w:ind w:left="140"/>
              <w:spacing w:after="0"/>
              <w:rPr>
                <w:sz w:val="20"/>
                <w:szCs w:val="20"/>
                <w:color w:val="auto"/>
              </w:rPr>
            </w:pPr>
            <w:r>
              <w:rPr>
                <w:rFonts w:ascii="Arial" w:cs="Arial" w:eastAsia="Arial" w:hAnsi="Arial"/>
                <w:sz w:val="16"/>
                <w:szCs w:val="16"/>
                <w:color w:val="auto"/>
              </w:rPr>
              <w:t>Exercise of common stock options</w:t>
            </w: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733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5,785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5,785</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Issuance of common stock related to RSU vesting</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46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7,108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7,108</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Capped call options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(38,960)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(38,960)</w:t>
            </w:r>
          </w:p>
        </w:tc>
        <w:tc>
          <w:tcPr>
            <w:tcW w:w="0" w:type="dxa"/>
            <w:vAlign w:val="bottom"/>
          </w:tcPr>
          <w:p>
            <w:pPr>
              <w:spacing w:after="0"/>
              <w:rPr>
                <w:sz w:val="1"/>
                <w:szCs w:val="1"/>
                <w:color w:val="auto"/>
              </w:rPr>
            </w:pPr>
          </w:p>
        </w:tc>
      </w:tr>
      <w:tr>
        <w:trPr>
          <w:trHeight w:val="204"/>
        </w:trPr>
        <w:tc>
          <w:tcPr>
            <w:tcW w:w="346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(12,877)</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(12,877)</w:t>
            </w:r>
          </w:p>
        </w:tc>
        <w:tc>
          <w:tcPr>
            <w:tcW w:w="0" w:type="dxa"/>
            <w:vAlign w:val="bottom"/>
          </w:tcPr>
          <w:p>
            <w:pPr>
              <w:spacing w:after="0"/>
              <w:rPr>
                <w:sz w:val="1"/>
                <w:szCs w:val="1"/>
                <w:color w:val="auto"/>
              </w:rPr>
            </w:pPr>
          </w:p>
        </w:tc>
      </w:tr>
      <w:tr>
        <w:trPr>
          <w:trHeight w:val="203"/>
        </w:trPr>
        <w:tc>
          <w:tcPr>
            <w:tcW w:w="3460" w:type="dxa"/>
            <w:vAlign w:val="bottom"/>
          </w:tcPr>
          <w:p>
            <w:pPr>
              <w:ind w:left="20"/>
              <w:spacing w:after="0"/>
              <w:rPr>
                <w:sz w:val="20"/>
                <w:szCs w:val="20"/>
                <w:color w:val="auto"/>
              </w:rPr>
            </w:pPr>
            <w:r>
              <w:rPr>
                <w:rFonts w:ascii="Arial" w:cs="Arial" w:eastAsia="Arial" w:hAnsi="Arial"/>
                <w:sz w:val="16"/>
                <w:szCs w:val="16"/>
                <w:color w:val="auto"/>
              </w:rPr>
              <w:t>Balance at March 31, 2021</w:t>
            </w:r>
          </w:p>
        </w:tc>
        <w:tc>
          <w:tcPr>
            <w:tcW w:w="780" w:type="dxa"/>
            <w:vAlign w:val="bottom"/>
          </w:tcPr>
          <w:p>
            <w:pPr>
              <w:jc w:val="right"/>
              <w:ind w:right="63"/>
              <w:spacing w:after="0"/>
              <w:rPr>
                <w:sz w:val="20"/>
                <w:szCs w:val="20"/>
                <w:color w:val="auto"/>
              </w:rPr>
            </w:pPr>
            <w:r>
              <w:rPr>
                <w:rFonts w:ascii="Arial" w:cs="Arial" w:eastAsia="Arial" w:hAnsi="Arial"/>
                <w:sz w:val="16"/>
                <w:szCs w:val="16"/>
                <w:color w:val="auto"/>
              </w:rPr>
              <w:t>116,113</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751,017</w:t>
            </w:r>
          </w:p>
        </w:tc>
        <w:tc>
          <w:tcPr>
            <w:tcW w:w="14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(1,270)</w:t>
            </w:r>
          </w:p>
        </w:tc>
        <w:tc>
          <w:tcPr>
            <w:tcW w:w="140" w:type="dxa"/>
            <w:vAlign w:val="bottom"/>
          </w:tcPr>
          <w:p>
            <w:pPr>
              <w:spacing w:after="0"/>
              <w:rPr>
                <w:sz w:val="17"/>
                <w:szCs w:val="17"/>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9"/>
              </w:rPr>
              <w:t>(407,393)</w:t>
            </w:r>
          </w:p>
        </w:tc>
        <w:tc>
          <w:tcPr>
            <w:tcW w:w="14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5"/>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342,356</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common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0" w:type="dxa"/>
            <w:vAlign w:val="bottom"/>
          </w:tcPr>
          <w:p>
            <w:pPr>
              <w:spacing w:after="0"/>
              <w:rPr>
                <w:sz w:val="1"/>
                <w:szCs w:val="1"/>
                <w:color w:val="auto"/>
              </w:rPr>
            </w:pPr>
          </w:p>
        </w:tc>
      </w:tr>
      <w:tr>
        <w:trPr>
          <w:trHeight w:val="160"/>
        </w:trPr>
        <w:tc>
          <w:tcPr>
            <w:tcW w:w="3460" w:type="dxa"/>
            <w:vAlign w:val="bottom"/>
          </w:tcPr>
          <w:p>
            <w:pPr>
              <w:ind w:left="140"/>
              <w:spacing w:after="0" w:line="160" w:lineRule="exact"/>
              <w:rPr>
                <w:sz w:val="20"/>
                <w:szCs w:val="20"/>
                <w:color w:val="auto"/>
              </w:rPr>
            </w:pPr>
            <w:r>
              <w:rPr>
                <w:rFonts w:ascii="Arial" w:cs="Arial" w:eastAsia="Arial" w:hAnsi="Arial"/>
                <w:sz w:val="16"/>
                <w:szCs w:val="16"/>
                <w:color w:val="auto"/>
                <w:w w:val="87"/>
              </w:rPr>
              <w:t>Issuance of common stock related to employee stock</w:t>
            </w:r>
          </w:p>
        </w:tc>
        <w:tc>
          <w:tcPr>
            <w:tcW w:w="780" w:type="dxa"/>
            <w:vAlign w:val="bottom"/>
            <w:vMerge w:val="restart"/>
          </w:tcPr>
          <w:p>
            <w:pPr>
              <w:jc w:val="right"/>
              <w:ind w:right="3"/>
              <w:spacing w:after="0"/>
              <w:rPr>
                <w:sz w:val="20"/>
                <w:szCs w:val="20"/>
                <w:color w:val="auto"/>
              </w:rPr>
            </w:pPr>
            <w:r>
              <w:rPr>
                <w:rFonts w:ascii="Arial" w:cs="Arial" w:eastAsia="Arial" w:hAnsi="Arial"/>
                <w:sz w:val="16"/>
                <w:szCs w:val="16"/>
                <w:color w:val="auto"/>
              </w:rPr>
              <w:t>121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820" w:type="dxa"/>
            <w:vAlign w:val="bottom"/>
            <w:vMerge w:val="restart"/>
          </w:tcPr>
          <w:p>
            <w:pPr>
              <w:jc w:val="right"/>
              <w:ind w:right="4"/>
              <w:spacing w:after="0"/>
              <w:rPr>
                <w:sz w:val="20"/>
                <w:szCs w:val="20"/>
                <w:color w:val="auto"/>
              </w:rPr>
            </w:pPr>
            <w:r>
              <w:rPr>
                <w:rFonts w:ascii="Arial" w:cs="Arial" w:eastAsia="Arial" w:hAnsi="Arial"/>
                <w:sz w:val="16"/>
                <w:szCs w:val="16"/>
                <w:color w:val="auto"/>
              </w:rPr>
              <w:t>1,154</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1,154</w:t>
            </w:r>
          </w:p>
        </w:tc>
        <w:tc>
          <w:tcPr>
            <w:tcW w:w="0" w:type="dxa"/>
            <w:vAlign w:val="bottom"/>
          </w:tcPr>
          <w:p>
            <w:pPr>
              <w:spacing w:after="0"/>
              <w:rPr>
                <w:sz w:val="1"/>
                <w:szCs w:val="1"/>
                <w:color w:val="auto"/>
              </w:rPr>
            </w:pPr>
          </w:p>
        </w:tc>
      </w:tr>
      <w:tr>
        <w:trPr>
          <w:trHeight w:val="199"/>
        </w:trPr>
        <w:tc>
          <w:tcPr>
            <w:tcW w:w="3460" w:type="dxa"/>
            <w:vAlign w:val="bottom"/>
          </w:tcPr>
          <w:p>
            <w:pPr>
              <w:ind w:left="140"/>
              <w:spacing w:after="0"/>
              <w:rPr>
                <w:sz w:val="20"/>
                <w:szCs w:val="20"/>
                <w:color w:val="auto"/>
              </w:rPr>
            </w:pPr>
            <w:r>
              <w:rPr>
                <w:rFonts w:ascii="Arial" w:cs="Arial" w:eastAsia="Arial" w:hAnsi="Arial"/>
                <w:sz w:val="16"/>
                <w:szCs w:val="16"/>
                <w:color w:val="auto"/>
              </w:rPr>
              <w:t>purchase plan</w:t>
            </w:r>
          </w:p>
        </w:tc>
        <w:tc>
          <w:tcPr>
            <w:tcW w:w="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Issuance of common stock related to RSU vesting</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3460" w:type="dxa"/>
            <w:vAlign w:val="bottom"/>
          </w:tcPr>
          <w:p>
            <w:pPr>
              <w:ind w:left="140"/>
              <w:spacing w:after="0" w:line="160" w:lineRule="exact"/>
              <w:rPr>
                <w:sz w:val="20"/>
                <w:szCs w:val="20"/>
                <w:color w:val="auto"/>
              </w:rPr>
            </w:pPr>
            <w:r>
              <w:rPr>
                <w:rFonts w:ascii="Arial" w:cs="Arial" w:eastAsia="Arial" w:hAnsi="Arial"/>
                <w:sz w:val="16"/>
                <w:szCs w:val="16"/>
                <w:color w:val="auto"/>
              </w:rPr>
              <w:t>Issuance of common stock associated with the</w:t>
            </w:r>
          </w:p>
        </w:tc>
        <w:tc>
          <w:tcPr>
            <w:tcW w:w="780" w:type="dxa"/>
            <w:vAlign w:val="bottom"/>
            <w:vMerge w:val="restart"/>
          </w:tcPr>
          <w:p>
            <w:pPr>
              <w:jc w:val="right"/>
              <w:ind w:right="3"/>
              <w:spacing w:after="0"/>
              <w:rPr>
                <w:sz w:val="20"/>
                <w:szCs w:val="20"/>
                <w:color w:val="auto"/>
              </w:rPr>
            </w:pPr>
            <w:r>
              <w:rPr>
                <w:rFonts w:ascii="Arial" w:cs="Arial" w:eastAsia="Arial" w:hAnsi="Arial"/>
                <w:sz w:val="16"/>
                <w:szCs w:val="16"/>
                <w:color w:val="auto"/>
              </w:rPr>
              <w:t>12,374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820" w:type="dxa"/>
            <w:vAlign w:val="bottom"/>
            <w:vMerge w:val="restart"/>
          </w:tcPr>
          <w:p>
            <w:pPr>
              <w:jc w:val="right"/>
              <w:ind w:right="4"/>
              <w:spacing w:after="0"/>
              <w:rPr>
                <w:sz w:val="20"/>
                <w:szCs w:val="20"/>
                <w:color w:val="auto"/>
              </w:rPr>
            </w:pPr>
            <w:r>
              <w:rPr>
                <w:rFonts w:ascii="Arial" w:cs="Arial" w:eastAsia="Arial" w:hAnsi="Arial"/>
                <w:sz w:val="16"/>
                <w:szCs w:val="16"/>
                <w:color w:val="auto"/>
              </w:rPr>
              <w:t>495,591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495,591</w:t>
            </w:r>
          </w:p>
        </w:tc>
        <w:tc>
          <w:tcPr>
            <w:tcW w:w="0" w:type="dxa"/>
            <w:vAlign w:val="bottom"/>
          </w:tcPr>
          <w:p>
            <w:pPr>
              <w:spacing w:after="0"/>
              <w:rPr>
                <w:sz w:val="1"/>
                <w:szCs w:val="1"/>
                <w:color w:val="auto"/>
              </w:rPr>
            </w:pPr>
          </w:p>
        </w:tc>
      </w:tr>
      <w:tr>
        <w:trPr>
          <w:trHeight w:val="199"/>
        </w:trPr>
        <w:tc>
          <w:tcPr>
            <w:tcW w:w="3460" w:type="dxa"/>
            <w:vAlign w:val="bottom"/>
          </w:tcPr>
          <w:p>
            <w:pPr>
              <w:ind w:left="140"/>
              <w:spacing w:after="0"/>
              <w:rPr>
                <w:sz w:val="20"/>
                <w:szCs w:val="20"/>
                <w:color w:val="auto"/>
              </w:rPr>
            </w:pPr>
            <w:r>
              <w:rPr>
                <w:rFonts w:ascii="Arial" w:cs="Arial" w:eastAsia="Arial" w:hAnsi="Arial"/>
                <w:sz w:val="16"/>
                <w:szCs w:val="16"/>
                <w:color w:val="auto"/>
              </w:rPr>
              <w:t>SpotX Acquisition</w:t>
            </w:r>
          </w:p>
        </w:tc>
        <w:tc>
          <w:tcPr>
            <w:tcW w:w="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9,928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9,928</w:t>
            </w:r>
          </w:p>
        </w:tc>
        <w:tc>
          <w:tcPr>
            <w:tcW w:w="0" w:type="dxa"/>
            <w:vAlign w:val="bottom"/>
          </w:tcPr>
          <w:p>
            <w:pPr>
              <w:spacing w:after="0"/>
              <w:rPr>
                <w:sz w:val="1"/>
                <w:szCs w:val="1"/>
                <w:color w:val="auto"/>
              </w:rPr>
            </w:pPr>
          </w:p>
        </w:tc>
      </w:tr>
      <w:tr>
        <w:trPr>
          <w:trHeight w:val="204"/>
        </w:trPr>
        <w:tc>
          <w:tcPr>
            <w:tcW w:w="346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369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36,808</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36,808</w:t>
            </w:r>
          </w:p>
        </w:tc>
        <w:tc>
          <w:tcPr>
            <w:tcW w:w="0" w:type="dxa"/>
            <w:vAlign w:val="bottom"/>
          </w:tcPr>
          <w:p>
            <w:pPr>
              <w:spacing w:after="0"/>
              <w:rPr>
                <w:sz w:val="1"/>
                <w:szCs w:val="1"/>
                <w:color w:val="auto"/>
              </w:rPr>
            </w:pPr>
          </w:p>
        </w:tc>
      </w:tr>
      <w:tr>
        <w:trPr>
          <w:trHeight w:val="203"/>
        </w:trPr>
        <w:tc>
          <w:tcPr>
            <w:tcW w:w="3460" w:type="dxa"/>
            <w:vAlign w:val="bottom"/>
          </w:tcPr>
          <w:p>
            <w:pPr>
              <w:ind w:left="20"/>
              <w:spacing w:after="0"/>
              <w:rPr>
                <w:sz w:val="20"/>
                <w:szCs w:val="20"/>
                <w:color w:val="auto"/>
              </w:rPr>
            </w:pPr>
            <w:r>
              <w:rPr>
                <w:rFonts w:ascii="Arial" w:cs="Arial" w:eastAsia="Arial" w:hAnsi="Arial"/>
                <w:sz w:val="16"/>
                <w:szCs w:val="16"/>
                <w:color w:val="auto"/>
              </w:rPr>
              <w:t>Balance at June 30, 2021</w:t>
            </w:r>
          </w:p>
        </w:tc>
        <w:tc>
          <w:tcPr>
            <w:tcW w:w="780" w:type="dxa"/>
            <w:vAlign w:val="bottom"/>
          </w:tcPr>
          <w:p>
            <w:pPr>
              <w:jc w:val="right"/>
              <w:ind w:right="63"/>
              <w:spacing w:after="0"/>
              <w:rPr>
                <w:sz w:val="20"/>
                <w:szCs w:val="20"/>
                <w:color w:val="auto"/>
              </w:rPr>
            </w:pPr>
            <w:r>
              <w:rPr>
                <w:rFonts w:ascii="Arial" w:cs="Arial" w:eastAsia="Arial" w:hAnsi="Arial"/>
                <w:sz w:val="16"/>
                <w:szCs w:val="16"/>
                <w:color w:val="auto"/>
              </w:rPr>
              <w:t>131,200</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1,259,170</w:t>
            </w:r>
          </w:p>
        </w:tc>
        <w:tc>
          <w:tcPr>
            <w:tcW w:w="14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(901)</w:t>
            </w:r>
          </w:p>
        </w:tc>
        <w:tc>
          <w:tcPr>
            <w:tcW w:w="140" w:type="dxa"/>
            <w:vAlign w:val="bottom"/>
          </w:tcPr>
          <w:p>
            <w:pPr>
              <w:spacing w:after="0"/>
              <w:rPr>
                <w:sz w:val="17"/>
                <w:szCs w:val="17"/>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9"/>
              </w:rPr>
              <w:t>(370,585)</w:t>
            </w:r>
          </w:p>
        </w:tc>
        <w:tc>
          <w:tcPr>
            <w:tcW w:w="14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5"/>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887,686</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common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1,482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204"/>
        </w:trPr>
        <w:tc>
          <w:tcPr>
            <w:tcW w:w="3460" w:type="dxa"/>
            <w:vAlign w:val="bottom"/>
          </w:tcPr>
          <w:p>
            <w:pPr>
              <w:ind w:left="140"/>
              <w:spacing w:after="0"/>
              <w:rPr>
                <w:sz w:val="20"/>
                <w:szCs w:val="20"/>
                <w:color w:val="auto"/>
              </w:rPr>
            </w:pPr>
            <w:r>
              <w:rPr>
                <w:rFonts w:ascii="Arial" w:cs="Arial" w:eastAsia="Arial" w:hAnsi="Arial"/>
                <w:sz w:val="16"/>
                <w:szCs w:val="16"/>
                <w:color w:val="auto"/>
                <w:w w:val="93"/>
              </w:rPr>
              <w:t>Issuance of common stock related to RSU vesting</w:t>
            </w: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314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12,441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12,441</w:t>
            </w:r>
          </w:p>
        </w:tc>
        <w:tc>
          <w:tcPr>
            <w:tcW w:w="0" w:type="dxa"/>
            <w:vAlign w:val="bottom"/>
          </w:tcPr>
          <w:p>
            <w:pPr>
              <w:spacing w:after="0"/>
              <w:rPr>
                <w:sz w:val="1"/>
                <w:szCs w:val="1"/>
                <w:color w:val="auto"/>
              </w:rPr>
            </w:pPr>
          </w:p>
        </w:tc>
      </w:tr>
      <w:tr>
        <w:trPr>
          <w:trHeight w:val="204"/>
        </w:trPr>
        <w:tc>
          <w:tcPr>
            <w:tcW w:w="346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(24,319)</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(24,319)</w:t>
            </w:r>
          </w:p>
        </w:tc>
        <w:tc>
          <w:tcPr>
            <w:tcW w:w="0" w:type="dxa"/>
            <w:vAlign w:val="bottom"/>
          </w:tcPr>
          <w:p>
            <w:pPr>
              <w:spacing w:after="0"/>
              <w:rPr>
                <w:sz w:val="1"/>
                <w:szCs w:val="1"/>
                <w:color w:val="auto"/>
              </w:rPr>
            </w:pPr>
          </w:p>
        </w:tc>
      </w:tr>
      <w:tr>
        <w:trPr>
          <w:trHeight w:val="203"/>
        </w:trPr>
        <w:tc>
          <w:tcPr>
            <w:tcW w:w="3460" w:type="dxa"/>
            <w:vAlign w:val="bottom"/>
          </w:tcPr>
          <w:p>
            <w:pPr>
              <w:ind w:left="60"/>
              <w:spacing w:after="0"/>
              <w:rPr>
                <w:sz w:val="20"/>
                <w:szCs w:val="20"/>
                <w:color w:val="auto"/>
              </w:rPr>
            </w:pPr>
            <w:r>
              <w:rPr>
                <w:rFonts w:ascii="Arial" w:cs="Arial" w:eastAsia="Arial" w:hAnsi="Arial"/>
                <w:sz w:val="16"/>
                <w:szCs w:val="16"/>
                <w:color w:val="auto"/>
              </w:rPr>
              <w:t>Balance at September 30, 2021</w:t>
            </w:r>
          </w:p>
        </w:tc>
        <w:tc>
          <w:tcPr>
            <w:tcW w:w="780" w:type="dxa"/>
            <w:vAlign w:val="bottom"/>
          </w:tcPr>
          <w:p>
            <w:pPr>
              <w:jc w:val="right"/>
              <w:ind w:right="63"/>
              <w:spacing w:after="0"/>
              <w:rPr>
                <w:sz w:val="20"/>
                <w:szCs w:val="20"/>
                <w:color w:val="auto"/>
              </w:rPr>
            </w:pPr>
            <w:r>
              <w:rPr>
                <w:rFonts w:ascii="Arial" w:cs="Arial" w:eastAsia="Arial" w:hAnsi="Arial"/>
                <w:sz w:val="16"/>
                <w:szCs w:val="16"/>
                <w:color w:val="auto"/>
              </w:rPr>
              <w:t>131,789</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1,273,093</w:t>
            </w:r>
          </w:p>
        </w:tc>
        <w:tc>
          <w:tcPr>
            <w:tcW w:w="14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(1,426)</w:t>
            </w:r>
          </w:p>
        </w:tc>
        <w:tc>
          <w:tcPr>
            <w:tcW w:w="140" w:type="dxa"/>
            <w:vAlign w:val="bottom"/>
          </w:tcPr>
          <w:p>
            <w:pPr>
              <w:spacing w:after="0"/>
              <w:rPr>
                <w:sz w:val="17"/>
                <w:szCs w:val="17"/>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9"/>
              </w:rPr>
              <w:t>(394,904)</w:t>
            </w:r>
          </w:p>
        </w:tc>
        <w:tc>
          <w:tcPr>
            <w:tcW w:w="14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5"/>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876,765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1720" w:type="dxa"/>
            <w:vAlign w:val="bottom"/>
            <w:gridSpan w:val="5"/>
          </w:tcPr>
          <w:p>
            <w:pPr>
              <w:ind w:left="340"/>
              <w:spacing w:after="0" w:line="155"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Additional</w:t>
            </w:r>
          </w:p>
        </w:tc>
        <w:tc>
          <w:tcPr>
            <w:tcW w:w="200" w:type="dxa"/>
            <w:vAlign w:val="bottom"/>
          </w:tcPr>
          <w:p>
            <w:pPr>
              <w:spacing w:after="0"/>
              <w:rPr>
                <w:sz w:val="13"/>
                <w:szCs w:val="13"/>
                <w:color w:val="auto"/>
              </w:rPr>
            </w:pPr>
          </w:p>
        </w:tc>
        <w:tc>
          <w:tcPr>
            <w:tcW w:w="8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5"/>
          </w:tcPr>
          <w:p>
            <w:pPr>
              <w:ind w:left="360"/>
              <w:spacing w:after="0" w:line="155" w:lineRule="exact"/>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3"/>
                <w:szCs w:val="13"/>
                <w:color w:val="auto"/>
              </w:rPr>
            </w:pPr>
          </w:p>
        </w:tc>
        <w:tc>
          <w:tcPr>
            <w:tcW w:w="740" w:type="dxa"/>
            <w:vAlign w:val="bottom"/>
          </w:tcPr>
          <w:p>
            <w:pPr>
              <w:jc w:val="center"/>
              <w:ind w:right="143"/>
              <w:spacing w:after="0" w:line="15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5"/>
        </w:trPr>
        <w:tc>
          <w:tcPr>
            <w:tcW w:w="36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jc w:val="center"/>
              <w:ind w:right="240"/>
              <w:spacing w:after="0" w:line="129" w:lineRule="exact"/>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vMerge w:val="restart"/>
          </w:tcPr>
          <w:p>
            <w:pPr>
              <w:ind w:left="20"/>
              <w:spacing w:after="0" w:line="129" w:lineRule="exact"/>
              <w:rPr>
                <w:sz w:val="20"/>
                <w:szCs w:val="20"/>
                <w:color w:val="auto"/>
              </w:rPr>
            </w:pPr>
            <w:r>
              <w:rPr>
                <w:rFonts w:ascii="Arial" w:cs="Arial" w:eastAsia="Arial" w:hAnsi="Arial"/>
                <w:sz w:val="14"/>
                <w:szCs w:val="14"/>
                <w:b w:val="1"/>
                <w:bCs w:val="1"/>
                <w:color w:val="auto"/>
                <w:w w:val="95"/>
              </w:rPr>
              <w:t>Comprehensive</w:t>
            </w:r>
          </w:p>
        </w:tc>
        <w:tc>
          <w:tcPr>
            <w:tcW w:w="1020" w:type="dxa"/>
            <w:vAlign w:val="bottom"/>
            <w:gridSpan w:val="3"/>
            <w:vMerge w:val="restart"/>
          </w:tcPr>
          <w:p>
            <w:pPr>
              <w:ind w:left="60"/>
              <w:spacing w:after="0" w:line="129" w:lineRule="exact"/>
              <w:rPr>
                <w:sz w:val="20"/>
                <w:szCs w:val="20"/>
                <w:color w:val="auto"/>
              </w:rPr>
            </w:pPr>
            <w:r>
              <w:rPr>
                <w:rFonts w:ascii="Arial" w:cs="Arial" w:eastAsia="Arial" w:hAnsi="Arial"/>
                <w:sz w:val="14"/>
                <w:szCs w:val="14"/>
                <w:b w:val="1"/>
                <w:bCs w:val="1"/>
                <w:color w:val="auto"/>
              </w:rPr>
              <w:t>Accumulated</w:t>
            </w: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jc w:val="center"/>
              <w:spacing w:after="0" w:line="12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45"/>
        </w:trPr>
        <w:tc>
          <w:tcPr>
            <w:tcW w:w="3680" w:type="dxa"/>
            <w:vAlign w:val="bottom"/>
          </w:tcPr>
          <w:p>
            <w:pPr>
              <w:spacing w:after="0"/>
              <w:rPr>
                <w:sz w:val="3"/>
                <w:szCs w:val="3"/>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3"/>
                <w:szCs w:val="3"/>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3"/>
                <w:szCs w:val="3"/>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6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Income (Loss)</w:t>
            </w:r>
          </w:p>
        </w:tc>
        <w:tc>
          <w:tcPr>
            <w:tcW w:w="18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center"/>
              <w:ind w:right="10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7"/>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132,553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1,282,589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(394,451)</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880,757</w:t>
            </w:r>
          </w:p>
        </w:tc>
        <w:tc>
          <w:tcPr>
            <w:tcW w:w="0" w:type="dxa"/>
            <w:vAlign w:val="bottom"/>
          </w:tcPr>
          <w:p>
            <w:pPr>
              <w:spacing w:after="0"/>
              <w:rPr>
                <w:sz w:val="1"/>
                <w:szCs w:val="1"/>
                <w:color w:val="auto"/>
              </w:rPr>
            </w:pPr>
          </w:p>
        </w:tc>
      </w:tr>
      <w:tr>
        <w:trPr>
          <w:trHeight w:val="204"/>
        </w:trPr>
        <w:tc>
          <w:tcPr>
            <w:tcW w:w="3680" w:type="dxa"/>
            <w:vAlign w:val="bottom"/>
          </w:tcPr>
          <w:p>
            <w:pPr>
              <w:ind w:left="140"/>
              <w:spacing w:after="0"/>
              <w:rPr>
                <w:sz w:val="20"/>
                <w:szCs w:val="20"/>
                <w:color w:val="auto"/>
              </w:rPr>
            </w:pPr>
            <w:r>
              <w:rPr>
                <w:rFonts w:ascii="Arial" w:cs="Arial" w:eastAsia="Arial" w:hAnsi="Arial"/>
                <w:sz w:val="16"/>
                <w:szCs w:val="16"/>
                <w:color w:val="auto"/>
              </w:rPr>
              <w:t>Exercise of common stock options</w:t>
            </w:r>
          </w:p>
        </w:tc>
        <w:tc>
          <w:tcPr>
            <w:tcW w:w="780" w:type="dxa"/>
            <w:vAlign w:val="bottom"/>
          </w:tcPr>
          <w:p>
            <w:pPr>
              <w:jc w:val="right"/>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Issuance of common stock related to RSU vesting</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680" w:type="dxa"/>
            <w:vAlign w:val="bottom"/>
          </w:tcPr>
          <w:p>
            <w:pPr>
              <w:ind w:left="140"/>
              <w:spacing w:after="0"/>
              <w:rPr>
                <w:sz w:val="20"/>
                <w:szCs w:val="20"/>
                <w:color w:val="auto"/>
              </w:rPr>
            </w:pPr>
            <w:r>
              <w:rPr>
                <w:rFonts w:ascii="Arial" w:cs="Arial" w:eastAsia="Arial" w:hAnsi="Arial"/>
                <w:sz w:val="16"/>
                <w:szCs w:val="16"/>
                <w:color w:val="auto"/>
              </w:rPr>
              <w:t>Shares withheld related to net share settlement</w:t>
            </w:r>
          </w:p>
        </w:tc>
        <w:tc>
          <w:tcPr>
            <w:tcW w:w="780" w:type="dxa"/>
            <w:vAlign w:val="bottom"/>
          </w:tcPr>
          <w:p>
            <w:pPr>
              <w:jc w:val="right"/>
              <w:spacing w:after="0"/>
              <w:rPr>
                <w:sz w:val="20"/>
                <w:szCs w:val="20"/>
                <w:color w:val="auto"/>
              </w:rPr>
            </w:pPr>
            <w:r>
              <w:rPr>
                <w:rFonts w:ascii="Arial" w:cs="Arial" w:eastAsia="Arial" w:hAnsi="Arial"/>
                <w:sz w:val="16"/>
                <w:szCs w:val="16"/>
                <w:color w:val="auto"/>
              </w:rPr>
              <w:t>(315)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(4,260)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(4,260)</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(12,138)</w:t>
            </w:r>
          </w:p>
        </w:tc>
        <w:tc>
          <w:tcPr>
            <w:tcW w:w="0" w:type="dxa"/>
            <w:vAlign w:val="bottom"/>
          </w:tcPr>
          <w:p>
            <w:pPr>
              <w:spacing w:after="0"/>
              <w:rPr>
                <w:sz w:val="1"/>
                <w:szCs w:val="1"/>
                <w:color w:val="auto"/>
              </w:rPr>
            </w:pPr>
          </w:p>
        </w:tc>
      </w:tr>
      <w:tr>
        <w:trPr>
          <w:trHeight w:val="204"/>
        </w:trPr>
        <w:tc>
          <w:tcPr>
            <w:tcW w:w="3680" w:type="dxa"/>
            <w:vAlign w:val="bottom"/>
          </w:tcPr>
          <w:p>
            <w:pPr>
              <w:ind w:left="140"/>
              <w:spacing w:after="0"/>
              <w:rPr>
                <w:sz w:val="20"/>
                <w:szCs w:val="20"/>
                <w:color w:val="auto"/>
              </w:rPr>
            </w:pPr>
            <w:r>
              <w:rPr>
                <w:rFonts w:ascii="Arial" w:cs="Arial" w:eastAsia="Arial" w:hAnsi="Arial"/>
                <w:sz w:val="16"/>
                <w:szCs w:val="16"/>
                <w:color w:val="auto"/>
              </w:rPr>
              <w:t>Retirement of common stock</w:t>
            </w:r>
          </w:p>
        </w:tc>
        <w:tc>
          <w:tcPr>
            <w:tcW w:w="780" w:type="dxa"/>
            <w:vAlign w:val="bottom"/>
          </w:tcPr>
          <w:p>
            <w:pPr>
              <w:jc w:val="right"/>
              <w:spacing w:after="0"/>
              <w:rPr>
                <w:sz w:val="20"/>
                <w:szCs w:val="20"/>
                <w:color w:val="auto"/>
              </w:rPr>
            </w:pPr>
            <w:r>
              <w:rPr>
                <w:rFonts w:ascii="Arial" w:cs="Arial" w:eastAsia="Arial" w:hAnsi="Arial"/>
                <w:sz w:val="16"/>
                <w:szCs w:val="16"/>
                <w:color w:val="auto"/>
              </w:rPr>
              <w:t>(1,280)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(18,145)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18,145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16,927</w:t>
            </w:r>
          </w:p>
        </w:tc>
        <w:tc>
          <w:tcPr>
            <w:tcW w:w="0" w:type="dxa"/>
            <w:vAlign w:val="bottom"/>
          </w:tcPr>
          <w:p>
            <w:pPr>
              <w:spacing w:after="0"/>
              <w:rPr>
                <w:sz w:val="1"/>
                <w:szCs w:val="1"/>
                <w:color w:val="auto"/>
              </w:rPr>
            </w:pPr>
          </w:p>
        </w:tc>
      </w:tr>
      <w:tr>
        <w:trPr>
          <w:trHeight w:val="204"/>
        </w:trPr>
        <w:tc>
          <w:tcPr>
            <w:tcW w:w="368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7"/>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(44,593)</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(44,593)</w:t>
            </w:r>
          </w:p>
        </w:tc>
        <w:tc>
          <w:tcPr>
            <w:tcW w:w="0" w:type="dxa"/>
            <w:vAlign w:val="bottom"/>
          </w:tcPr>
          <w:p>
            <w:pPr>
              <w:spacing w:after="0"/>
              <w:rPr>
                <w:sz w:val="1"/>
                <w:szCs w:val="1"/>
                <w:color w:val="auto"/>
              </w:rPr>
            </w:pPr>
          </w:p>
        </w:tc>
      </w:tr>
      <w:tr>
        <w:trPr>
          <w:trHeight w:val="203"/>
        </w:trPr>
        <w:tc>
          <w:tcPr>
            <w:tcW w:w="3680" w:type="dxa"/>
            <w:vAlign w:val="bottom"/>
          </w:tcPr>
          <w:p>
            <w:pPr>
              <w:ind w:left="20"/>
              <w:spacing w:after="0"/>
              <w:rPr>
                <w:sz w:val="20"/>
                <w:szCs w:val="20"/>
                <w:color w:val="auto"/>
              </w:rPr>
            </w:pPr>
            <w:r>
              <w:rPr>
                <w:rFonts w:ascii="Arial" w:cs="Arial" w:eastAsia="Arial" w:hAnsi="Arial"/>
                <w:sz w:val="16"/>
                <w:szCs w:val="16"/>
                <w:color w:val="auto"/>
              </w:rPr>
              <w:t>Balance at March 31, 2022</w:t>
            </w:r>
          </w:p>
        </w:tc>
        <w:tc>
          <w:tcPr>
            <w:tcW w:w="780" w:type="dxa"/>
            <w:vAlign w:val="bottom"/>
          </w:tcPr>
          <w:p>
            <w:pPr>
              <w:jc w:val="right"/>
              <w:spacing w:after="0"/>
              <w:rPr>
                <w:sz w:val="20"/>
                <w:szCs w:val="20"/>
                <w:color w:val="auto"/>
              </w:rPr>
            </w:pPr>
            <w:r>
              <w:rPr>
                <w:rFonts w:ascii="Arial" w:cs="Arial" w:eastAsia="Arial" w:hAnsi="Arial"/>
                <w:sz w:val="16"/>
                <w:szCs w:val="16"/>
                <w:color w:val="auto"/>
              </w:rPr>
              <w:t>132,052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1,278,218</w:t>
            </w:r>
          </w:p>
        </w:tc>
        <w:tc>
          <w:tcPr>
            <w:tcW w:w="8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(1,266)</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(439,044)</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837,910</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common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160"/>
        </w:trPr>
        <w:tc>
          <w:tcPr>
            <w:tcW w:w="3680" w:type="dxa"/>
            <w:vAlign w:val="bottom"/>
          </w:tcPr>
          <w:p>
            <w:pPr>
              <w:ind w:left="140"/>
              <w:spacing w:after="0" w:line="160" w:lineRule="exact"/>
              <w:rPr>
                <w:sz w:val="20"/>
                <w:szCs w:val="20"/>
                <w:color w:val="auto"/>
              </w:rPr>
            </w:pPr>
            <w:r>
              <w:rPr>
                <w:rFonts w:ascii="Arial" w:cs="Arial" w:eastAsia="Arial" w:hAnsi="Arial"/>
                <w:sz w:val="16"/>
                <w:szCs w:val="16"/>
                <w:color w:val="auto"/>
                <w:w w:val="93"/>
              </w:rPr>
              <w:t>Issuance of common stock related to employee stock</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238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2,141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2,141</w:t>
            </w:r>
          </w:p>
        </w:tc>
        <w:tc>
          <w:tcPr>
            <w:tcW w:w="0" w:type="dxa"/>
            <w:vAlign w:val="bottom"/>
          </w:tcPr>
          <w:p>
            <w:pPr>
              <w:spacing w:after="0"/>
              <w:rPr>
                <w:sz w:val="1"/>
                <w:szCs w:val="1"/>
                <w:color w:val="auto"/>
              </w:rPr>
            </w:pPr>
          </w:p>
        </w:tc>
      </w:tr>
      <w:tr>
        <w:trPr>
          <w:trHeight w:val="199"/>
        </w:trPr>
        <w:tc>
          <w:tcPr>
            <w:tcW w:w="3680" w:type="dxa"/>
            <w:vAlign w:val="bottom"/>
          </w:tcPr>
          <w:p>
            <w:pPr>
              <w:ind w:left="140"/>
              <w:spacing w:after="0"/>
              <w:rPr>
                <w:sz w:val="20"/>
                <w:szCs w:val="20"/>
                <w:color w:val="auto"/>
              </w:rPr>
            </w:pPr>
            <w:r>
              <w:rPr>
                <w:rFonts w:ascii="Arial" w:cs="Arial" w:eastAsia="Arial" w:hAnsi="Arial"/>
                <w:sz w:val="16"/>
                <w:szCs w:val="16"/>
                <w:color w:val="auto"/>
              </w:rPr>
              <w:t>purchase plan</w:t>
            </w: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Issuance of common stock related to RSU vesting</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680" w:type="dxa"/>
            <w:vAlign w:val="bottom"/>
          </w:tcPr>
          <w:p>
            <w:pPr>
              <w:ind w:left="140"/>
              <w:spacing w:after="0"/>
              <w:rPr>
                <w:sz w:val="20"/>
                <w:szCs w:val="20"/>
                <w:color w:val="auto"/>
              </w:rPr>
            </w:pPr>
            <w:r>
              <w:rPr>
                <w:rFonts w:ascii="Arial" w:cs="Arial" w:eastAsia="Arial" w:hAnsi="Arial"/>
                <w:sz w:val="16"/>
                <w:szCs w:val="16"/>
                <w:color w:val="auto"/>
              </w:rPr>
              <w:t>Shares withheld related to net share settlement</w:t>
            </w:r>
          </w:p>
        </w:tc>
        <w:tc>
          <w:tcPr>
            <w:tcW w:w="780" w:type="dxa"/>
            <w:vAlign w:val="bottom"/>
          </w:tcPr>
          <w:p>
            <w:pPr>
              <w:jc w:val="right"/>
              <w:spacing w:after="0"/>
              <w:rPr>
                <w:sz w:val="20"/>
                <w:szCs w:val="20"/>
                <w:color w:val="auto"/>
              </w:rPr>
            </w:pPr>
            <w:r>
              <w:rPr>
                <w:rFonts w:ascii="Arial" w:cs="Arial" w:eastAsia="Arial" w:hAnsi="Arial"/>
                <w:sz w:val="16"/>
                <w:szCs w:val="16"/>
                <w:color w:val="auto"/>
              </w:rPr>
              <w:t>(462)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(5,198)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(5,198)</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w:t>
            </w:r>
          </w:p>
        </w:tc>
        <w:tc>
          <w:tcPr>
            <w:tcW w:w="0" w:type="dxa"/>
            <w:vAlign w:val="bottom"/>
          </w:tcPr>
          <w:p>
            <w:pPr>
              <w:spacing w:after="0"/>
              <w:rPr>
                <w:sz w:val="1"/>
                <w:szCs w:val="1"/>
                <w:color w:val="auto"/>
              </w:rPr>
            </w:pPr>
          </w:p>
        </w:tc>
      </w:tr>
      <w:tr>
        <w:trPr>
          <w:trHeight w:val="204"/>
        </w:trPr>
        <w:tc>
          <w:tcPr>
            <w:tcW w:w="3680" w:type="dxa"/>
            <w:vAlign w:val="bottom"/>
          </w:tcPr>
          <w:p>
            <w:pPr>
              <w:ind w:left="140"/>
              <w:spacing w:after="0"/>
              <w:rPr>
                <w:sz w:val="20"/>
                <w:szCs w:val="20"/>
                <w:color w:val="auto"/>
              </w:rPr>
            </w:pPr>
            <w:r>
              <w:rPr>
                <w:rFonts w:ascii="Arial" w:cs="Arial" w:eastAsia="Arial" w:hAnsi="Arial"/>
                <w:sz w:val="16"/>
                <w:szCs w:val="16"/>
                <w:color w:val="auto"/>
              </w:rPr>
              <w:t>Retirement of common stock</w:t>
            </w:r>
          </w:p>
        </w:tc>
        <w:tc>
          <w:tcPr>
            <w:tcW w:w="780" w:type="dxa"/>
            <w:vAlign w:val="bottom"/>
          </w:tcPr>
          <w:p>
            <w:pPr>
              <w:jc w:val="right"/>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3,525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16,559</w:t>
            </w:r>
          </w:p>
        </w:tc>
        <w:tc>
          <w:tcPr>
            <w:tcW w:w="0" w:type="dxa"/>
            <w:vAlign w:val="bottom"/>
          </w:tcPr>
          <w:p>
            <w:pPr>
              <w:spacing w:after="0"/>
              <w:rPr>
                <w:sz w:val="1"/>
                <w:szCs w:val="1"/>
                <w:color w:val="auto"/>
              </w:rPr>
            </w:pPr>
          </w:p>
        </w:tc>
      </w:tr>
      <w:tr>
        <w:trPr>
          <w:trHeight w:val="204"/>
        </w:trPr>
        <w:tc>
          <w:tcPr>
            <w:tcW w:w="368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(2,055)</w:t>
            </w:r>
          </w:p>
        </w:tc>
        <w:tc>
          <w:tcPr>
            <w:tcW w:w="0" w:type="dxa"/>
            <w:vAlign w:val="bottom"/>
          </w:tcPr>
          <w:p>
            <w:pPr>
              <w:spacing w:after="0"/>
              <w:rPr>
                <w:sz w:val="1"/>
                <w:szCs w:val="1"/>
                <w:color w:val="auto"/>
              </w:rPr>
            </w:pPr>
          </w:p>
        </w:tc>
      </w:tr>
      <w:tr>
        <w:trPr>
          <w:trHeight w:val="207"/>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(24,954)</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(24,954)</w:t>
            </w:r>
          </w:p>
        </w:tc>
        <w:tc>
          <w:tcPr>
            <w:tcW w:w="0" w:type="dxa"/>
            <w:vAlign w:val="bottom"/>
          </w:tcPr>
          <w:p>
            <w:pPr>
              <w:spacing w:after="0"/>
              <w:rPr>
                <w:sz w:val="1"/>
                <w:szCs w:val="1"/>
                <w:color w:val="auto"/>
              </w:rPr>
            </w:pPr>
          </w:p>
        </w:tc>
      </w:tr>
      <w:tr>
        <w:trPr>
          <w:trHeight w:val="203"/>
        </w:trPr>
        <w:tc>
          <w:tcPr>
            <w:tcW w:w="3680" w:type="dxa"/>
            <w:vAlign w:val="bottom"/>
          </w:tcPr>
          <w:p>
            <w:pPr>
              <w:ind w:left="20"/>
              <w:spacing w:after="0"/>
              <w:rPr>
                <w:sz w:val="20"/>
                <w:szCs w:val="20"/>
                <w:color w:val="auto"/>
              </w:rPr>
            </w:pPr>
            <w:r>
              <w:rPr>
                <w:rFonts w:ascii="Arial" w:cs="Arial" w:eastAsia="Arial" w:hAnsi="Arial"/>
                <w:sz w:val="16"/>
                <w:szCs w:val="16"/>
                <w:color w:val="auto"/>
              </w:rPr>
              <w:t>Balance at June 30, 2022</w:t>
            </w:r>
          </w:p>
        </w:tc>
        <w:tc>
          <w:tcPr>
            <w:tcW w:w="780" w:type="dxa"/>
            <w:vAlign w:val="bottom"/>
          </w:tcPr>
          <w:p>
            <w:pPr>
              <w:jc w:val="right"/>
              <w:spacing w:after="0"/>
              <w:rPr>
                <w:sz w:val="20"/>
                <w:szCs w:val="20"/>
                <w:color w:val="auto"/>
              </w:rPr>
            </w:pPr>
            <w:r>
              <w:rPr>
                <w:rFonts w:ascii="Arial" w:cs="Arial" w:eastAsia="Arial" w:hAnsi="Arial"/>
                <w:sz w:val="16"/>
                <w:szCs w:val="16"/>
                <w:color w:val="auto"/>
              </w:rPr>
              <w:t>132,845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1,288,696</w:t>
            </w:r>
          </w:p>
        </w:tc>
        <w:tc>
          <w:tcPr>
            <w:tcW w:w="8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(3,321)</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(463,998)</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821,379</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common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4"/>
        </w:trPr>
        <w:tc>
          <w:tcPr>
            <w:tcW w:w="3680" w:type="dxa"/>
            <w:vAlign w:val="bottom"/>
          </w:tcPr>
          <w:p>
            <w:pPr>
              <w:ind w:left="140"/>
              <w:spacing w:after="0"/>
              <w:rPr>
                <w:sz w:val="20"/>
                <w:szCs w:val="20"/>
                <w:color w:val="auto"/>
              </w:rPr>
            </w:pPr>
            <w:r>
              <w:rPr>
                <w:rFonts w:ascii="Arial" w:cs="Arial" w:eastAsia="Arial" w:hAnsi="Arial"/>
                <w:sz w:val="16"/>
                <w:szCs w:val="16"/>
                <w:color w:val="auto"/>
                <w:w w:val="99"/>
              </w:rPr>
              <w:t>Issuance of common stock related to RSU vesting</w:t>
            </w:r>
          </w:p>
        </w:tc>
        <w:tc>
          <w:tcPr>
            <w:tcW w:w="780" w:type="dxa"/>
            <w:vAlign w:val="bottom"/>
          </w:tcPr>
          <w:p>
            <w:pPr>
              <w:jc w:val="right"/>
              <w:spacing w:after="0"/>
              <w:rPr>
                <w:sz w:val="20"/>
                <w:szCs w:val="20"/>
                <w:color w:val="auto"/>
              </w:rPr>
            </w:pPr>
            <w:r>
              <w:rPr>
                <w:rFonts w:ascii="Arial" w:cs="Arial" w:eastAsia="Arial" w:hAnsi="Arial"/>
                <w:sz w:val="16"/>
                <w:szCs w:val="16"/>
                <w:color w:val="auto"/>
              </w:rPr>
              <w:t>722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withheld related to net share settlement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w:t>
            </w:r>
          </w:p>
        </w:tc>
        <w:tc>
          <w:tcPr>
            <w:tcW w:w="0" w:type="dxa"/>
            <w:vAlign w:val="bottom"/>
          </w:tcPr>
          <w:p>
            <w:pPr>
              <w:spacing w:after="0"/>
              <w:rPr>
                <w:sz w:val="1"/>
                <w:szCs w:val="1"/>
                <w:color w:val="auto"/>
              </w:rPr>
            </w:pPr>
          </w:p>
        </w:tc>
      </w:tr>
      <w:tr>
        <w:trPr>
          <w:trHeight w:val="204"/>
        </w:trPr>
        <w:tc>
          <w:tcPr>
            <w:tcW w:w="368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17,724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17,724</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w:t>
            </w:r>
          </w:p>
        </w:tc>
        <w:tc>
          <w:tcPr>
            <w:tcW w:w="0" w:type="dxa"/>
            <w:vAlign w:val="bottom"/>
          </w:tcPr>
          <w:p>
            <w:pPr>
              <w:spacing w:after="0"/>
              <w:rPr>
                <w:sz w:val="1"/>
                <w:szCs w:val="1"/>
                <w:color w:val="auto"/>
              </w:rPr>
            </w:pPr>
          </w:p>
        </w:tc>
      </w:tr>
      <w:tr>
        <w:trPr>
          <w:trHeight w:val="204"/>
        </w:trPr>
        <w:tc>
          <w:tcPr>
            <w:tcW w:w="3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(24,391)</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(24,391)</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September 30, 2022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1,304,182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(488,389)</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810,502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00"/>
          </w:cols>
          <w:pgMar w:left="320" w:top="127" w:right="47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gridSpan w:val="4"/>
          </w:tcPr>
          <w:p>
            <w:pPr>
              <w:jc w:val="right"/>
              <w:ind w:right="1043"/>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0"/>
        </w:trPr>
        <w:tc>
          <w:tcPr>
            <w:tcW w:w="7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w w:val="93"/>
              </w:rPr>
              <w:t>September 30, 2021</w:t>
            </w:r>
          </w:p>
        </w:tc>
      </w:tr>
      <w:tr>
        <w:trPr>
          <w:trHeight w:val="191"/>
        </w:trPr>
        <w:tc>
          <w:tcPr>
            <w:tcW w:w="782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97,084</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50,193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28,521</w:t>
            </w: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intangible assets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(Gain) loss on disposal of property and equipment</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Provision for doubtful accounts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Amortization of debt discount and issuance costs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3,223</w:t>
            </w: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Non-cash lease expense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(91,540)</w:t>
            </w: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foreign currency gains,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Changes in operating assets and liabilities, net of effect of business acquisitions: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7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(92,131)</w:t>
            </w:r>
          </w:p>
        </w:tc>
      </w:tr>
      <w:tr>
        <w:trPr>
          <w:trHeight w:val="204"/>
        </w:trPr>
        <w:tc>
          <w:tcPr>
            <w:tcW w:w="7820" w:type="dxa"/>
            <w:vAlign w:val="bottom"/>
          </w:tcPr>
          <w:p>
            <w:pPr>
              <w:ind w:left="4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10"/>
        </w:trPr>
        <w:tc>
          <w:tcPr>
            <w:tcW w:w="7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113,795</w:t>
            </w:r>
          </w:p>
        </w:tc>
      </w:tr>
      <w:tr>
        <w:trPr>
          <w:trHeight w:val="204"/>
        </w:trPr>
        <w:tc>
          <w:tcPr>
            <w:tcW w:w="7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r>
      <w:tr>
        <w:trPr>
          <w:trHeight w:val="203"/>
        </w:trPr>
        <w:tc>
          <w:tcPr>
            <w:tcW w:w="78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103,845</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58,000</w:t>
            </w:r>
          </w:p>
        </w:tc>
      </w:tr>
      <w:tr>
        <w:trPr>
          <w:trHeight w:val="184"/>
        </w:trPr>
        <w:tc>
          <w:tcPr>
            <w:tcW w:w="7820" w:type="dxa"/>
            <w:vAlign w:val="bottom"/>
          </w:tcPr>
          <w:p>
            <w:pPr>
              <w:ind w:left="20"/>
              <w:spacing w:after="0" w:line="181" w:lineRule="exact"/>
              <w:rPr>
                <w:sz w:val="20"/>
                <w:szCs w:val="20"/>
                <w:color w:val="auto"/>
              </w:rPr>
            </w:pPr>
            <w:r>
              <w:rPr>
                <w:rFonts w:ascii="Arial" w:cs="Arial" w:eastAsia="Arial" w:hAnsi="Arial"/>
                <w:sz w:val="16"/>
                <w:szCs w:val="16"/>
                <w:color w:val="auto"/>
              </w:rPr>
              <w:t>INVESTING ACTIVITIES:</w:t>
            </w: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and equipment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(13,985)</w:t>
            </w:r>
          </w:p>
        </w:tc>
      </w:tr>
      <w:tr>
        <w:trPr>
          <w:trHeight w:val="204"/>
        </w:trPr>
        <w:tc>
          <w:tcPr>
            <w:tcW w:w="7820" w:type="dxa"/>
            <w:vAlign w:val="bottom"/>
          </w:tcPr>
          <w:p>
            <w:pPr>
              <w:ind w:left="140"/>
              <w:spacing w:after="0"/>
              <w:rPr>
                <w:sz w:val="20"/>
                <w:szCs w:val="20"/>
                <w:color w:val="auto"/>
              </w:rPr>
            </w:pPr>
            <w:r>
              <w:rPr>
                <w:rFonts w:ascii="Arial" w:cs="Arial" w:eastAsia="Arial" w:hAnsi="Arial"/>
                <w:sz w:val="16"/>
                <w:szCs w:val="16"/>
                <w:color w:val="auto"/>
              </w:rPr>
              <w:t>Capitalized internal use software development costs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(11,177)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(8,525)</w:t>
            </w: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Mergers and acquisitions, net of cash acquired</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(20,755)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(653,060)</w:t>
            </w:r>
          </w:p>
        </w:tc>
      </w:tr>
      <w:tr>
        <w:trPr>
          <w:trHeight w:val="197"/>
        </w:trPr>
        <w:tc>
          <w:tcPr>
            <w:tcW w:w="782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(49,936)</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(675,570)</w:t>
            </w:r>
          </w:p>
        </w:tc>
      </w:tr>
      <w:tr>
        <w:trPr>
          <w:trHeight w:val="19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04"/>
        </w:trPr>
        <w:tc>
          <w:tcPr>
            <w:tcW w:w="7820" w:type="dxa"/>
            <w:vAlign w:val="bottom"/>
          </w:tcPr>
          <w:p>
            <w:pPr>
              <w:ind w:left="140"/>
              <w:spacing w:after="0"/>
              <w:rPr>
                <w:sz w:val="20"/>
                <w:szCs w:val="20"/>
                <w:color w:val="auto"/>
              </w:rPr>
            </w:pPr>
            <w:r>
              <w:rPr>
                <w:rFonts w:ascii="Arial" w:cs="Arial" w:eastAsia="Arial" w:hAnsi="Arial"/>
                <w:sz w:val="16"/>
                <w:szCs w:val="16"/>
                <w:color w:val="auto"/>
              </w:rPr>
              <w:t>Proceeds from Convertible Senior Notes offering</w:t>
            </w:r>
          </w:p>
        </w:tc>
        <w:tc>
          <w:tcPr>
            <w:tcW w:w="18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400,000</w:t>
            </w: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debt, net of debt discount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349,200</w:t>
            </w:r>
          </w:p>
        </w:tc>
      </w:tr>
      <w:tr>
        <w:trPr>
          <w:trHeight w:val="204"/>
        </w:trPr>
        <w:tc>
          <w:tcPr>
            <w:tcW w:w="7820" w:type="dxa"/>
            <w:vAlign w:val="bottom"/>
          </w:tcPr>
          <w:p>
            <w:pPr>
              <w:ind w:left="140"/>
              <w:spacing w:after="0"/>
              <w:rPr>
                <w:sz w:val="20"/>
                <w:szCs w:val="20"/>
                <w:color w:val="auto"/>
              </w:rPr>
            </w:pPr>
            <w:r>
              <w:rPr>
                <w:rFonts w:ascii="Arial" w:cs="Arial" w:eastAsia="Arial" w:hAnsi="Arial"/>
                <w:sz w:val="16"/>
                <w:szCs w:val="16"/>
                <w:color w:val="auto"/>
              </w:rPr>
              <w:t>Payment for capped call options</w:t>
            </w:r>
          </w:p>
        </w:tc>
        <w:tc>
          <w:tcPr>
            <w:tcW w:w="18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(38,960)</w:t>
            </w: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 for debt issuance costs</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(30,378)</w:t>
            </w:r>
          </w:p>
        </w:tc>
      </w:tr>
      <w:tr>
        <w:trPr>
          <w:trHeight w:val="204"/>
        </w:trPr>
        <w:tc>
          <w:tcPr>
            <w:tcW w:w="7820" w:type="dxa"/>
            <w:vAlign w:val="bottom"/>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8,747</w:t>
            </w: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w:t>
            </w:r>
          </w:p>
        </w:tc>
      </w:tr>
      <w:tr>
        <w:trPr>
          <w:trHeight w:val="204"/>
        </w:trPr>
        <w:tc>
          <w:tcPr>
            <w:tcW w:w="7820" w:type="dxa"/>
            <w:vAlign w:val="bottom"/>
          </w:tcPr>
          <w:p>
            <w:pPr>
              <w:ind w:left="140"/>
              <w:spacing w:after="0"/>
              <w:rPr>
                <w:sz w:val="20"/>
                <w:szCs w:val="20"/>
                <w:color w:val="auto"/>
              </w:rPr>
            </w:pPr>
            <w:r>
              <w:rPr>
                <w:rFonts w:ascii="Arial" w:cs="Arial" w:eastAsia="Arial" w:hAnsi="Arial"/>
                <w:sz w:val="16"/>
                <w:szCs w:val="16"/>
                <w:color w:val="auto"/>
              </w:rPr>
              <w:t>Repayment of debt</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(900)</w:t>
            </w: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financing lease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7820" w:type="dxa"/>
            <w:vAlign w:val="bottom"/>
          </w:tcPr>
          <w:p>
            <w:pPr>
              <w:ind w:left="140"/>
              <w:spacing w:after="0"/>
              <w:rPr>
                <w:sz w:val="20"/>
                <w:szCs w:val="20"/>
                <w:color w:val="auto"/>
              </w:rPr>
            </w:pPr>
            <w:r>
              <w:rPr>
                <w:rFonts w:ascii="Arial" w:cs="Arial" w:eastAsia="Arial" w:hAnsi="Arial"/>
                <w:sz w:val="16"/>
                <w:szCs w:val="16"/>
                <w:color w:val="auto"/>
              </w:rPr>
              <w:t>Purchase of treasury stock</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(15,663)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paid related to net share settlement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Payment of indemnification claims holdback</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8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(used in) provided by financing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(28,321)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688,863</w:t>
            </w:r>
          </w:p>
        </w:tc>
      </w:tr>
      <w:tr>
        <w:trPr>
          <w:trHeight w:val="19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(2,484)</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r>
      <w:tr>
        <w:trPr>
          <w:trHeight w:val="20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CASH, CASH EQUIVALENTS AND RESTRICTED CASH</w:t>
            </w: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23,104</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70,702</w:t>
            </w:r>
          </w:p>
        </w:tc>
      </w:tr>
      <w:tr>
        <w:trPr>
          <w:trHeight w:val="19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230,693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117,731</w:t>
            </w:r>
          </w:p>
        </w:tc>
      </w:tr>
      <w:tr>
        <w:trPr>
          <w:trHeight w:val="22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253,797</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188,433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69" w:lineRule="exact"/>
        <w:rPr>
          <w:sz w:val="20"/>
          <w:szCs w:val="20"/>
          <w:color w:val="auto"/>
        </w:rPr>
      </w:pPr>
    </w:p>
    <w:p>
      <w:pPr>
        <w:ind w:left="9020"/>
        <w:spacing w:after="0"/>
        <w:rPr>
          <w:sz w:val="20"/>
          <w:szCs w:val="20"/>
          <w:color w:val="auto"/>
        </w:rPr>
      </w:pPr>
      <w:r>
        <w:rPr>
          <w:rFonts w:ascii="Arial" w:cs="Arial" w:eastAsia="Arial" w:hAnsi="Arial"/>
          <w:sz w:val="16"/>
          <w:szCs w:val="16"/>
          <w:b w:val="1"/>
          <w:bCs w:val="1"/>
          <w:color w:val="auto"/>
        </w:rPr>
        <w:t>Nine Months Ended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4"/>
                <w:szCs w:val="14"/>
                <w:b w:val="1"/>
                <w:bCs w:val="1"/>
                <w:color w:val="auto"/>
                <w:w w:val="90"/>
              </w:rPr>
              <w:t>September 30, 2021</w:t>
            </w:r>
          </w:p>
        </w:tc>
      </w:tr>
      <w:tr>
        <w:trPr>
          <w:trHeight w:val="140"/>
        </w:trPr>
        <w:tc>
          <w:tcPr>
            <w:tcW w:w="8120" w:type="dxa"/>
            <w:vAlign w:val="bottom"/>
          </w:tcPr>
          <w:p>
            <w:pPr>
              <w:ind w:left="20"/>
              <w:spacing w:after="0" w:line="140" w:lineRule="exact"/>
              <w:rPr>
                <w:sz w:val="20"/>
                <w:szCs w:val="20"/>
                <w:color w:val="auto"/>
              </w:rPr>
            </w:pPr>
            <w:r>
              <w:rPr>
                <w:rFonts w:ascii="Arial" w:cs="Arial" w:eastAsia="Arial" w:hAnsi="Arial"/>
                <w:sz w:val="16"/>
                <w:szCs w:val="16"/>
                <w:color w:val="auto"/>
                <w:w w:val="99"/>
              </w:rPr>
              <w:t>RECONCILIATION OF CASH, CASH EQUIVALENTS AND RESTRICTED CASH TO CONSOLIDATED BALANCE</w:t>
            </w: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r>
      <w:tr>
        <w:trPr>
          <w:trHeight w:val="199"/>
        </w:trPr>
        <w:tc>
          <w:tcPr>
            <w:tcW w:w="8120" w:type="dxa"/>
            <w:vAlign w:val="bottom"/>
          </w:tcPr>
          <w:p>
            <w:pPr>
              <w:ind w:left="20"/>
              <w:spacing w:after="0"/>
              <w:rPr>
                <w:sz w:val="20"/>
                <w:szCs w:val="20"/>
                <w:color w:val="auto"/>
              </w:rPr>
            </w:pPr>
            <w:r>
              <w:rPr>
                <w:rFonts w:ascii="Arial" w:cs="Arial" w:eastAsia="Arial" w:hAnsi="Arial"/>
                <w:sz w:val="16"/>
                <w:szCs w:val="16"/>
                <w:color w:val="auto"/>
              </w:rPr>
              <w:t>SHEETS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188,182</w:t>
            </w:r>
          </w:p>
        </w:tc>
      </w:tr>
      <w:tr>
        <w:trPr>
          <w:trHeight w:val="204"/>
        </w:trPr>
        <w:tc>
          <w:tcPr>
            <w:tcW w:w="8120" w:type="dxa"/>
            <w:vAlign w:val="bottom"/>
          </w:tcPr>
          <w:p>
            <w:pPr>
              <w:ind w:left="20"/>
              <w:spacing w:after="0"/>
              <w:rPr>
                <w:sz w:val="20"/>
                <w:szCs w:val="20"/>
                <w:color w:val="auto"/>
              </w:rPr>
            </w:pPr>
            <w:r>
              <w:rPr>
                <w:rFonts w:ascii="Arial" w:cs="Arial" w:eastAsia="Arial" w:hAnsi="Arial"/>
                <w:sz w:val="16"/>
                <w:szCs w:val="16"/>
                <w:color w:val="auto"/>
              </w:rPr>
              <w:t>Restricted cash included in prepaid expenses and other current assets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included in other assets, non-current</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03"/>
        </w:trPr>
        <w:tc>
          <w:tcPr>
            <w:tcW w:w="8120" w:type="dxa"/>
            <w:vAlign w:val="bottom"/>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253,797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188,433</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2"/>
        </w:trPr>
        <w:tc>
          <w:tcPr>
            <w:tcW w:w="8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4"/>
        </w:trPr>
        <w:tc>
          <w:tcPr>
            <w:tcW w:w="8120" w:type="dxa"/>
            <w:vAlign w:val="bottom"/>
          </w:tcPr>
          <w:p>
            <w:pPr>
              <w:ind w:left="20"/>
              <w:spacing w:after="0"/>
              <w:rPr>
                <w:sz w:val="20"/>
                <w:szCs w:val="20"/>
                <w:color w:val="auto"/>
              </w:rPr>
            </w:pPr>
            <w:r>
              <w:rPr>
                <w:rFonts w:ascii="Arial" w:cs="Arial" w:eastAsia="Arial" w:hAnsi="Arial"/>
                <w:sz w:val="16"/>
                <w:szCs w:val="16"/>
                <w:color w:val="auto"/>
              </w:rPr>
              <w:t>SUPPLEMENTAL DISCLOSURES OF OTHER CASH FLOW INFORMATION:</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r>
      <w:tr>
        <w:trPr>
          <w:trHeight w:val="204"/>
        </w:trPr>
        <w:tc>
          <w:tcPr>
            <w:tcW w:w="812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18,624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7,671</w:t>
            </w: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assets financed by 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w:t>
            </w:r>
          </w:p>
        </w:tc>
      </w:tr>
      <w:tr>
        <w:trPr>
          <w:trHeight w:val="204"/>
        </w:trPr>
        <w:tc>
          <w:tcPr>
            <w:tcW w:w="8120" w:type="dxa"/>
            <w:vAlign w:val="bottom"/>
          </w:tcPr>
          <w:p>
            <w:pPr>
              <w:ind w:left="20"/>
              <w:spacing w:after="0"/>
              <w:rPr>
                <w:sz w:val="20"/>
                <w:szCs w:val="20"/>
                <w:color w:val="auto"/>
              </w:rPr>
            </w:pPr>
            <w:r>
              <w:rPr>
                <w:rFonts w:ascii="Arial" w:cs="Arial" w:eastAsia="Arial" w:hAnsi="Arial"/>
                <w:sz w:val="16"/>
                <w:szCs w:val="16"/>
                <w:color w:val="auto"/>
              </w:rPr>
              <w:t>Capitalized stock-based compensation</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956</w:t>
            </w: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obtained in exchange for operating 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22,651</w:t>
            </w:r>
          </w:p>
        </w:tc>
      </w:tr>
      <w:tr>
        <w:trPr>
          <w:trHeight w:val="204"/>
        </w:trPr>
        <w:tc>
          <w:tcPr>
            <w:tcW w:w="8120" w:type="dxa"/>
            <w:vAlign w:val="bottom"/>
          </w:tcPr>
          <w:p>
            <w:pPr>
              <w:ind w:left="20"/>
              <w:spacing w:after="0"/>
              <w:rPr>
                <w:sz w:val="20"/>
                <w:szCs w:val="20"/>
                <w:color w:val="auto"/>
              </w:rPr>
            </w:pPr>
            <w:r>
              <w:rPr>
                <w:rFonts w:ascii="Arial" w:cs="Arial" w:eastAsia="Arial" w:hAnsi="Arial"/>
                <w:sz w:val="16"/>
                <w:szCs w:val="16"/>
                <w:color w:val="auto"/>
              </w:rPr>
              <w:t>Purchase consideration - indemnification claims holdback</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2,293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1,409</w:t>
            </w: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and options issued for mergers and acquisitions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495,591</w:t>
            </w:r>
          </w:p>
        </w:tc>
      </w:tr>
      <w:tr>
        <w:trPr>
          <w:trHeight w:val="201"/>
        </w:trPr>
        <w:tc>
          <w:tcPr>
            <w:tcW w:w="8120" w:type="dxa"/>
            <w:vAlign w:val="bottom"/>
          </w:tcPr>
          <w:p>
            <w:pPr>
              <w:ind w:left="20"/>
              <w:spacing w:after="0"/>
              <w:rPr>
                <w:sz w:val="20"/>
                <w:szCs w:val="20"/>
                <w:color w:val="auto"/>
              </w:rPr>
            </w:pPr>
            <w:r>
              <w:rPr>
                <w:rFonts w:ascii="Arial" w:cs="Arial" w:eastAsia="Arial" w:hAnsi="Arial"/>
                <w:sz w:val="16"/>
                <w:szCs w:val="16"/>
                <w:color w:val="auto"/>
              </w:rPr>
              <w:t>Debt discount, non-cash</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10,800</w:t>
            </w: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1—Organization and Summary of Significant Accounting Policies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Company Overview</w:t>
      </w:r>
    </w:p>
    <w:p>
      <w:pPr>
        <w:spacing w:after="0" w:line="89" w:lineRule="exact"/>
        <w:rPr>
          <w:sz w:val="20"/>
          <w:szCs w:val="20"/>
          <w:color w:val="auto"/>
        </w:rPr>
      </w:pPr>
    </w:p>
    <w:p>
      <w:pPr>
        <w:ind w:firstLine="621"/>
        <w:spacing w:after="0" w:line="279" w:lineRule="auto"/>
        <w:rPr>
          <w:sz w:val="20"/>
          <w:szCs w:val="20"/>
          <w:color w:val="auto"/>
        </w:rPr>
      </w:pPr>
      <w:r>
        <w:rPr>
          <w:rFonts w:ascii="Arial" w:cs="Arial" w:eastAsia="Arial" w:hAnsi="Arial"/>
          <w:sz w:val="16"/>
          <w:szCs w:val="16"/>
          <w:color w:val="auto"/>
        </w:rPr>
        <w:t>Magnite, Inc. ("Magnite" or the "Company"), formerly known as The Rubicon Project, Inc., was formed in Delaware and began operations on April 20, 2007. On April 1, 2020, Magnite completed a stock-for-stock merger with Telaria, Inc. ("Telaria" and such merger the "Telaria Merger"), a leading sell-side advertising platform and provider of connected television ("CTV") technology. On April 30, 2021, the Company completed its acquisition of SpotX, Inc. ("SpotX" and such acquisition the "SpotX Acquisition"), a leading CTV and video advertising platform. On July 1, 2021, the Company completed its acquisition of SpringServe, LLC ("SpringServe" and such acquisition the "SpringServe Acquisition"), a leading ad serving platform for CTV. Magnite has its principal offices in New York City, Los Angeles, Denver, London, and Sydney, and additional offices in Europe, Asia, North America, and South America.</w:t>
      </w:r>
    </w:p>
    <w:p>
      <w:pPr>
        <w:spacing w:after="0" w:line="49" w:lineRule="exact"/>
        <w:rPr>
          <w:sz w:val="20"/>
          <w:szCs w:val="20"/>
          <w:color w:val="auto"/>
        </w:rPr>
      </w:pPr>
    </w:p>
    <w:p>
      <w:pPr>
        <w:ind w:right="20" w:firstLine="621"/>
        <w:spacing w:after="0" w:line="279" w:lineRule="auto"/>
        <w:rPr>
          <w:sz w:val="20"/>
          <w:szCs w:val="20"/>
          <w:color w:val="auto"/>
        </w:rPr>
      </w:pPr>
      <w:r>
        <w:rPr>
          <w:rFonts w:ascii="Arial" w:cs="Arial" w:eastAsia="Arial" w:hAnsi="Arial"/>
          <w:sz w:val="16"/>
          <w:szCs w:val="16"/>
          <w:color w:val="auto"/>
        </w:rPr>
        <w:t>The Company provides a technology solution to automate the purchase and sale of digital advertising inventory for buyers and sellers globally, across all channels, formats and auction types. The Company’s platform features applications and services for sellers of digital advertising inventory, or publishers, that own or operate websites, applications,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sellers and buyers of digital advertising inventory.</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Basis of Presentation and Summary of Significant Accounting Policies</w:t>
      </w:r>
    </w:p>
    <w:p>
      <w:pPr>
        <w:spacing w:after="0" w:line="89" w:lineRule="exact"/>
        <w:rPr>
          <w:sz w:val="20"/>
          <w:szCs w:val="20"/>
          <w:color w:val="auto"/>
        </w:rPr>
      </w:pPr>
    </w:p>
    <w:p>
      <w:pPr>
        <w:ind w:right="380" w:firstLine="621"/>
        <w:spacing w:after="0" w:line="27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and nine months ended September 30, 2022 are not necessarily indicative of the results that may be expected for any future interim period, the year ending December 31, 2022, or for any future year.</w:t>
      </w:r>
    </w:p>
    <w:p>
      <w:pPr>
        <w:spacing w:after="0" w:line="49" w:lineRule="exact"/>
        <w:rPr>
          <w:sz w:val="20"/>
          <w:szCs w:val="20"/>
          <w:color w:val="auto"/>
        </w:rPr>
      </w:pPr>
    </w:p>
    <w:p>
      <w:pPr>
        <w:ind w:right="40" w:firstLine="621"/>
        <w:spacing w:after="0" w:line="320" w:lineRule="auto"/>
        <w:rPr>
          <w:sz w:val="20"/>
          <w:szCs w:val="20"/>
          <w:color w:val="auto"/>
        </w:rPr>
      </w:pPr>
      <w:r>
        <w:rPr>
          <w:rFonts w:ascii="Arial" w:cs="Arial" w:eastAsia="Arial" w:hAnsi="Arial"/>
          <w:sz w:val="15"/>
          <w:szCs w:val="15"/>
          <w:color w:val="auto"/>
        </w:rPr>
        <w:t>The condensed consolidated balance sheet at December 31, 2021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2021 included in its 2021 Annual Report on Form 10-K.</w:t>
      </w:r>
    </w:p>
    <w:p>
      <w:pPr>
        <w:spacing w:after="0" w:line="22" w:lineRule="exact"/>
        <w:rPr>
          <w:sz w:val="20"/>
          <w:szCs w:val="20"/>
          <w:color w:val="auto"/>
        </w:rPr>
      </w:pPr>
    </w:p>
    <w:p>
      <w:pPr>
        <w:ind w:right="240" w:firstLine="621"/>
        <w:spacing w:after="0" w:line="283" w:lineRule="auto"/>
        <w:rPr>
          <w:sz w:val="20"/>
          <w:szCs w:val="20"/>
          <w:color w:val="auto"/>
        </w:rPr>
      </w:pPr>
      <w:r>
        <w:rPr>
          <w:rFonts w:ascii="Arial" w:cs="Arial" w:eastAsia="Arial" w:hAnsi="Arial"/>
          <w:sz w:val="17"/>
          <w:szCs w:val="17"/>
          <w:color w:val="auto"/>
        </w:rPr>
        <w:t>There have been no significant changes in the Company's accounting policies from those disclosed in its audited consolidated financial statements and notes thereto for the year ended December 31, 2021 included in its Annual Report on Form 10-K.</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5" w:lineRule="exact"/>
        <w:rPr>
          <w:sz w:val="20"/>
          <w:szCs w:val="20"/>
          <w:color w:val="auto"/>
        </w:rPr>
      </w:pPr>
    </w:p>
    <w:p>
      <w:pPr>
        <w:ind w:right="60" w:firstLine="621"/>
        <w:spacing w:after="0" w:line="294" w:lineRule="auto"/>
        <w:rPr>
          <w:sz w:val="20"/>
          <w:szCs w:val="20"/>
          <w:color w:val="auto"/>
        </w:rPr>
      </w:pPr>
      <w:r>
        <w:rPr>
          <w:rFonts w:ascii="Arial" w:cs="Arial" w:eastAsia="Arial" w:hAnsi="Arial"/>
          <w:sz w:val="15"/>
          <w:szCs w:val="15"/>
          <w:color w:val="auto"/>
        </w:rPr>
        <w:t xml:space="preserve">The preparation of condensed consolidated financial statements in conformity with GAAP requires management to make estimates and assumptions that affect the reported and disclosed financial statements and accompanying footnotes. Due to the economic uncertainty as a result of the COVID-19 pandemic, geopolitical events, including the conflict in Ukraine, and economic and macroeconomic factors like labor shortages, supply chain disruptions, inflation, and recessionary concerns impacting the markets and communities in which the Company's clients operate, it has become more difficult to apply certain assumptions and judgments into these estimates. </w:t>
      </w:r>
      <w:r>
        <w:rPr>
          <w:rFonts w:ascii="Arial" w:cs="Arial" w:eastAsia="Arial" w:hAnsi="Arial"/>
          <w:sz w:val="15"/>
          <w:szCs w:val="15"/>
          <w:color w:val="212529"/>
        </w:rPr>
        <w:t>The extent of the impact of these factors on the Company's operational and financial performance will depend on future</w:t>
      </w:r>
      <w:r>
        <w:rPr>
          <w:rFonts w:ascii="Arial" w:cs="Arial" w:eastAsia="Arial" w:hAnsi="Arial"/>
          <w:sz w:val="15"/>
          <w:szCs w:val="15"/>
          <w:color w:val="auto"/>
        </w:rPr>
        <w:t xml:space="preserve"> </w:t>
      </w:r>
      <w:r>
        <w:rPr>
          <w:rFonts w:ascii="Arial" w:cs="Arial" w:eastAsia="Arial" w:hAnsi="Arial"/>
          <w:sz w:val="15"/>
          <w:szCs w:val="15"/>
          <w:color w:val="212529"/>
        </w:rPr>
        <w:t>developments, which are highly uncertain and cannot be predicted, including but not limited to the duration and how quickly and to what extent normal economic and operating conditions can resume. During the nine months ended September 30, 2022, this uncertainty continued to result in a higher level of judgment related to its estimates and assumptions. As of the date of issuance of the condensed consolidated financial statements for the three and nine months ended September 30, 2022, the Company is not aware of any specific event or circumstance that would require the Company to update its estimates, judgments, or revise the carrying value of its assets or liabilities. These estimates may change, as new events occur and additional information is obtained, and are recognized in the consolidated financial statements as soon as they become known. Actual results could differ materially from these estimates.</w:t>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102" w:lineRule="exact"/>
        <w:rPr>
          <w:sz w:val="20"/>
          <w:szCs w:val="20"/>
          <w:color w:val="auto"/>
        </w:rPr>
      </w:pPr>
    </w:p>
    <w:p>
      <w:pPr>
        <w:ind w:right="320" w:firstLine="621"/>
        <w:spacing w:after="0" w:line="283" w:lineRule="auto"/>
        <w:rPr>
          <w:sz w:val="20"/>
          <w:szCs w:val="20"/>
          <w:color w:val="auto"/>
        </w:rPr>
      </w:pPr>
      <w:r>
        <w:rPr>
          <w:rFonts w:ascii="Arial" w:cs="Arial" w:eastAsia="Arial" w:hAnsi="Arial"/>
          <w:sz w:val="17"/>
          <w:szCs w:val="17"/>
          <w:color w:val="auto"/>
        </w:rPr>
        <w:t>In July 2021, the FASB issued Update No. 2021-05, Leases (Topic 842)—</w:t>
      </w:r>
      <w:r>
        <w:rPr>
          <w:rFonts w:ascii="Arial" w:cs="Arial" w:eastAsia="Arial" w:hAnsi="Arial"/>
          <w:sz w:val="17"/>
          <w:szCs w:val="17"/>
          <w:i w:val="1"/>
          <w:iCs w:val="1"/>
          <w:color w:val="auto"/>
        </w:rPr>
        <w:t>Lessors – Certain Leases with Variable Lease Payments</w:t>
      </w:r>
      <w:r>
        <w:rPr>
          <w:rFonts w:ascii="Arial" w:cs="Arial" w:eastAsia="Arial" w:hAnsi="Arial"/>
          <w:sz w:val="17"/>
          <w:szCs w:val="17"/>
          <w:color w:val="auto"/>
        </w:rPr>
        <w:t xml:space="preserve"> ("ASU 2021-05"). ASU 2021-05 requires a lessor to classify a lease with variable lease payments that do not depend 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color w:val="auto"/>
        </w:rPr>
        <w:t>an index or rate as an operating lease if specified criteria are met. The Company adopted ASU 2021-05 on January 1, 2022 on a prospective basis, which did not have a material impact on the Company’s condensed consolidated financial statements and related disclosures.</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102" w:lineRule="exact"/>
        <w:rPr>
          <w:sz w:val="20"/>
          <w:szCs w:val="20"/>
          <w:color w:val="auto"/>
        </w:rPr>
      </w:pPr>
    </w:p>
    <w:p>
      <w:pPr>
        <w:ind w:right="40" w:firstLine="621"/>
        <w:spacing w:after="0" w:line="276" w:lineRule="auto"/>
        <w:rPr>
          <w:sz w:val="20"/>
          <w:szCs w:val="20"/>
          <w:color w:val="auto"/>
        </w:rPr>
      </w:pPr>
      <w:r>
        <w:rPr>
          <w:rFonts w:ascii="Arial" w:cs="Arial" w:eastAsia="Arial" w:hAnsi="Arial"/>
          <w:sz w:val="16"/>
          <w:szCs w:val="16"/>
          <w:color w:val="auto"/>
        </w:rPr>
        <w:t xml:space="preserve">In October 2021, the FASB issued ASU 2021-08, Business Combinations (Topic 805) – </w:t>
      </w:r>
      <w:r>
        <w:rPr>
          <w:rFonts w:ascii="Arial" w:cs="Arial" w:eastAsia="Arial" w:hAnsi="Arial"/>
          <w:sz w:val="16"/>
          <w:szCs w:val="16"/>
          <w:i w:val="1"/>
          <w:iCs w:val="1"/>
          <w:color w:val="auto"/>
        </w:rPr>
        <w:t>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("ASU 2021-08"). ASU 2021-08 requires the recognition and measurement of contract assets and contract liabilities acquired in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business combination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Considerations to determine the amount of contract assets and contract liabilities to record at the acquisition date include the terms of the acquired contract, such as timing of payment, identification of each performance obligation in the contract and allocation of the contract transaction price to each identified performance obligation on a relative standalone selling price basis as of contract inception. ASU 2021-08 is effective for the Company beginning in the first quarter of 2023. ASU 2021-08 should be applied prospectively for acquisitions occurring on or after the effective date of the amendments. Early adoption of the proposed amendments would be permitted, including adoption in an interim period. The Company is currently assessing the impact this standard will have on the Company’s consolidated financial statements.</w:t>
      </w:r>
    </w:p>
    <w:p>
      <w:pPr>
        <w:spacing w:after="0" w:line="54" w:lineRule="exact"/>
        <w:rPr>
          <w:sz w:val="20"/>
          <w:szCs w:val="20"/>
          <w:color w:val="auto"/>
        </w:rPr>
      </w:pPr>
    </w:p>
    <w:p>
      <w:pPr>
        <w:ind w:right="180" w:firstLine="621"/>
        <w:spacing w:after="0" w:line="283" w:lineRule="auto"/>
        <w:rPr>
          <w:sz w:val="20"/>
          <w:szCs w:val="20"/>
          <w:color w:val="auto"/>
        </w:rPr>
      </w:pPr>
      <w:r>
        <w:rPr>
          <w:rFonts w:ascii="Arial" w:cs="Arial" w:eastAsia="Arial" w:hAnsi="Arial"/>
          <w:sz w:val="17"/>
          <w:szCs w:val="17"/>
          <w:color w:val="auto"/>
        </w:rPr>
        <w:t>The Company does not believe there are any other recently issued and effective or not yet effective pronouncements that would have or are expected to have any significant effect on the Company’s financial position, cash flows or results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2—Net Loss Per Share</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basic and diluted net loss per share: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2760" w:type="dxa"/>
            <w:vAlign w:val="bottom"/>
            <w:gridSpan w:val="4"/>
          </w:tcPr>
          <w:p>
            <w:pPr>
              <w:jc w:val="right"/>
              <w:ind w:right="677"/>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7"/>
              </w:rPr>
              <w:t>September 30, 2021</w:t>
            </w:r>
          </w:p>
        </w:tc>
        <w:tc>
          <w:tcPr>
            <w:tcW w:w="1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5"/>
              </w:rPr>
              <w:t>September 30, 2021</w:t>
            </w: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5"/>
          </w:tcPr>
          <w:p>
            <w:pPr>
              <w:ind w:left="240"/>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Loss Per Share: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(24,391)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(24,319)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(93,938)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133,144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131,501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132,611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124,325</w:t>
            </w:r>
          </w:p>
        </w:tc>
        <w:tc>
          <w:tcPr>
            <w:tcW w:w="0" w:type="dxa"/>
            <w:vAlign w:val="bottom"/>
          </w:tcPr>
          <w:p>
            <w:pPr>
              <w:spacing w:after="0"/>
              <w:rPr>
                <w:sz w:val="1"/>
                <w:szCs w:val="1"/>
                <w:color w:val="auto"/>
              </w:rPr>
            </w:pPr>
          </w:p>
        </w:tc>
      </w:tr>
      <w:tr>
        <w:trPr>
          <w:trHeight w:val="149"/>
        </w:trPr>
        <w:tc>
          <w:tcPr>
            <w:tcW w:w="5400" w:type="dxa"/>
            <w:vAlign w:val="bottom"/>
          </w:tcPr>
          <w:p>
            <w:pPr>
              <w:ind w:left="20"/>
              <w:spacing w:after="0" w:line="149" w:lineRule="exact"/>
              <w:rPr>
                <w:sz w:val="20"/>
                <w:szCs w:val="20"/>
                <w:color w:val="auto"/>
              </w:rPr>
            </w:pPr>
            <w:r>
              <w:rPr>
                <w:rFonts w:ascii="Arial" w:cs="Arial" w:eastAsia="Arial" w:hAnsi="Arial"/>
                <w:sz w:val="17"/>
                <w:szCs w:val="17"/>
                <w:color w:val="auto"/>
                <w:w w:val="92"/>
              </w:rPr>
              <w:t>Weighted-average common shares outstanding used to compute net loss per</w:t>
            </w:r>
          </w:p>
        </w:tc>
        <w:tc>
          <w:tcPr>
            <w:tcW w:w="10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133,144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131,501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132,611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124,325</w:t>
            </w:r>
          </w:p>
        </w:tc>
        <w:tc>
          <w:tcPr>
            <w:tcW w:w="0" w:type="dxa"/>
            <w:vAlign w:val="bottom"/>
          </w:tcPr>
          <w:p>
            <w:pPr>
              <w:spacing w:after="0"/>
              <w:rPr>
                <w:sz w:val="1"/>
                <w:szCs w:val="1"/>
                <w:color w:val="auto"/>
              </w:rPr>
            </w:pPr>
          </w:p>
        </w:tc>
      </w:tr>
      <w:tr>
        <w:trPr>
          <w:trHeight w:val="206"/>
        </w:trPr>
        <w:tc>
          <w:tcPr>
            <w:tcW w:w="5400" w:type="dxa"/>
            <w:vAlign w:val="bottom"/>
          </w:tcPr>
          <w:p>
            <w:pPr>
              <w:ind w:left="20"/>
              <w:spacing w:after="0"/>
              <w:rPr>
                <w:sz w:val="20"/>
                <w:szCs w:val="20"/>
                <w:color w:val="auto"/>
              </w:rPr>
            </w:pPr>
            <w:r>
              <w:rPr>
                <w:rFonts w:ascii="Arial" w:cs="Arial" w:eastAsia="Arial" w:hAnsi="Arial"/>
                <w:sz w:val="17"/>
                <w:szCs w:val="17"/>
                <w:color w:val="auto"/>
              </w:rPr>
              <w:t>share</w:t>
            </w: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and diluted loss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300" w:firstLine="621"/>
        <w:spacing w:after="0" w:line="283" w:lineRule="auto"/>
        <w:rPr>
          <w:sz w:val="20"/>
          <w:szCs w:val="20"/>
          <w:color w:val="auto"/>
        </w:rPr>
      </w:pPr>
      <w:r>
        <w:rPr>
          <w:rFonts w:ascii="Arial" w:cs="Arial" w:eastAsia="Arial" w:hAnsi="Arial"/>
          <w:sz w:val="17"/>
          <w:szCs w:val="17"/>
          <w:color w:val="auto"/>
        </w:rPr>
        <w:t>The following weighted-average shares have been excluded from the calculation of diluted net loss per share attributable to common stockholders for each period presented because they are anti-dilutive: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00" w:type="dxa"/>
            <w:vAlign w:val="bottom"/>
          </w:tcPr>
          <w:p>
            <w:pPr>
              <w:spacing w:after="0"/>
              <w:rPr>
                <w:sz w:val="17"/>
                <w:szCs w:val="17"/>
                <w:color w:val="auto"/>
              </w:rPr>
            </w:pPr>
          </w:p>
        </w:tc>
        <w:tc>
          <w:tcPr>
            <w:tcW w:w="2980" w:type="dxa"/>
            <w:vAlign w:val="bottom"/>
            <w:gridSpan w:val="4"/>
          </w:tcPr>
          <w:p>
            <w:pPr>
              <w:ind w:left="720"/>
              <w:spacing w:after="0"/>
              <w:rPr>
                <w:sz w:val="20"/>
                <w:szCs w:val="20"/>
                <w:color w:val="auto"/>
              </w:rPr>
            </w:pPr>
            <w:r>
              <w:rPr>
                <w:rFonts w:ascii="Arial" w:cs="Arial" w:eastAsia="Arial" w:hAnsi="Arial"/>
                <w:sz w:val="16"/>
                <w:szCs w:val="16"/>
                <w:b w:val="1"/>
                <w:bCs w:val="1"/>
                <w:color w:val="auto"/>
              </w:rPr>
              <w:t>Three Months Ended</w:t>
            </w:r>
          </w:p>
        </w:tc>
        <w:tc>
          <w:tcPr>
            <w:tcW w:w="2860" w:type="dxa"/>
            <w:vAlign w:val="bottom"/>
            <w:gridSpan w:val="3"/>
          </w:tcPr>
          <w:p>
            <w:pPr>
              <w:jc w:val="right"/>
              <w:ind w:right="676"/>
              <w:spacing w:after="0"/>
              <w:rPr>
                <w:sz w:val="20"/>
                <w:szCs w:val="20"/>
                <w:color w:val="auto"/>
              </w:rPr>
            </w:pPr>
            <w:r>
              <w:rPr>
                <w:rFonts w:ascii="Arial" w:cs="Arial" w:eastAsia="Arial" w:hAnsi="Arial"/>
                <w:sz w:val="16"/>
                <w:szCs w:val="16"/>
                <w:b w:val="1"/>
                <w:bCs w:val="1"/>
                <w:color w:val="auto"/>
              </w:rPr>
              <w:t>Nine Months Ended</w:t>
            </w:r>
          </w:p>
        </w:tc>
      </w:tr>
      <w:tr>
        <w:trPr>
          <w:trHeight w:val="183"/>
        </w:trPr>
        <w:tc>
          <w:tcPr>
            <w:tcW w:w="5400" w:type="dxa"/>
            <w:vAlign w:val="bottom"/>
          </w:tcPr>
          <w:p>
            <w:pPr>
              <w:spacing w:after="0"/>
              <w:rPr>
                <w:sz w:val="15"/>
                <w:szCs w:val="15"/>
                <w:color w:val="auto"/>
              </w:rPr>
            </w:pPr>
          </w:p>
        </w:tc>
        <w:tc>
          <w:tcPr>
            <w:tcW w:w="148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September 30, 2022</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6"/>
              </w:rPr>
              <w:t>September 30, 2021</w:t>
            </w:r>
          </w:p>
        </w:tc>
        <w:tc>
          <w:tcPr>
            <w:tcW w:w="120" w:type="dxa"/>
            <w:vAlign w:val="bottom"/>
          </w:tcPr>
          <w:p>
            <w:pPr>
              <w:spacing w:after="0"/>
              <w:rPr>
                <w:sz w:val="15"/>
                <w:szCs w:val="15"/>
                <w:color w:val="auto"/>
              </w:rPr>
            </w:pPr>
          </w:p>
        </w:tc>
        <w:tc>
          <w:tcPr>
            <w:tcW w:w="14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4"/>
              </w:rPr>
              <w:t>September 30, 2021</w:t>
            </w:r>
          </w:p>
        </w:tc>
      </w:tr>
      <w:tr>
        <w:trPr>
          <w:trHeight w:val="186"/>
        </w:trPr>
        <w:tc>
          <w:tcPr>
            <w:tcW w:w="5400" w:type="dxa"/>
            <w:vAlign w:val="bottom"/>
          </w:tcPr>
          <w:p>
            <w:pPr>
              <w:spacing w:after="0"/>
              <w:rPr>
                <w:sz w:val="16"/>
                <w:szCs w:val="16"/>
                <w:color w:val="auto"/>
              </w:rPr>
            </w:pPr>
          </w:p>
        </w:tc>
        <w:tc>
          <w:tcPr>
            <w:tcW w:w="2860" w:type="dxa"/>
            <w:vAlign w:val="bottom"/>
            <w:gridSpan w:val="3"/>
          </w:tcPr>
          <w:p>
            <w:pPr>
              <w:jc w:val="right"/>
              <w:ind w:right="916"/>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2860" w:type="dxa"/>
            <w:vAlign w:val="bottom"/>
            <w:gridSpan w:val="3"/>
          </w:tcPr>
          <w:p>
            <w:pPr>
              <w:jc w:val="right"/>
              <w:ind w:right="936"/>
              <w:spacing w:after="0"/>
              <w:rPr>
                <w:sz w:val="20"/>
                <w:szCs w:val="20"/>
                <w:color w:val="auto"/>
              </w:rPr>
            </w:pPr>
            <w:r>
              <w:rPr>
                <w:rFonts w:ascii="Arial" w:cs="Arial" w:eastAsia="Arial" w:hAnsi="Arial"/>
                <w:sz w:val="14"/>
                <w:szCs w:val="14"/>
                <w:b w:val="1"/>
                <w:bCs w:val="1"/>
                <w:color w:val="auto"/>
              </w:rPr>
              <w:t>(in thousands)</w:t>
            </w:r>
          </w:p>
        </w:tc>
      </w:tr>
      <w:tr>
        <w:trPr>
          <w:trHeight w:val="227"/>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4,712</w:t>
            </w: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Unvested restricted stock units</w:t>
            </w:r>
          </w:p>
        </w:tc>
        <w:tc>
          <w:tcPr>
            <w:tcW w:w="1380" w:type="dxa"/>
            <w:vAlign w:val="bottom"/>
          </w:tcPr>
          <w:p>
            <w:pPr>
              <w:jc w:val="right"/>
              <w:spacing w:after="0"/>
              <w:rPr>
                <w:sz w:val="20"/>
                <w:szCs w:val="20"/>
                <w:color w:val="auto"/>
              </w:rPr>
            </w:pPr>
            <w:r>
              <w:rPr>
                <w:rFonts w:ascii="Arial" w:cs="Arial" w:eastAsia="Arial" w:hAnsi="Arial"/>
                <w:sz w:val="17"/>
                <w:szCs w:val="17"/>
                <w:color w:val="auto"/>
              </w:rPr>
              <w:t>903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4,253</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5,876</w:t>
            </w: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performance stock units</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ESPP shares</w:t>
            </w:r>
          </w:p>
        </w:tc>
        <w:tc>
          <w:tcPr>
            <w:tcW w:w="138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Senior Notes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6,262</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6,262</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6,262</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4,499</w:t>
            </w:r>
          </w:p>
        </w:tc>
      </w:tr>
      <w:tr>
        <w:trPr>
          <w:trHeight w:val="213"/>
        </w:trPr>
        <w:tc>
          <w:tcPr>
            <w:tcW w:w="5400" w:type="dxa"/>
            <w:vAlign w:val="bottom"/>
          </w:tcPr>
          <w:p>
            <w:pPr>
              <w:ind w:left="20"/>
              <w:spacing w:after="0"/>
              <w:rPr>
                <w:sz w:val="20"/>
                <w:szCs w:val="20"/>
                <w:color w:val="auto"/>
              </w:rPr>
            </w:pPr>
            <w:r>
              <w:rPr>
                <w:rFonts w:ascii="Arial" w:cs="Arial" w:eastAsia="Arial" w:hAnsi="Arial"/>
                <w:sz w:val="17"/>
                <w:szCs w:val="17"/>
                <w:color w:val="auto"/>
              </w:rPr>
              <w:t>Total shares excluded from net loss per share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8,548</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14,837</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9,983</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15,332</w:t>
            </w:r>
          </w:p>
        </w:tc>
      </w:tr>
      <w:tr>
        <w:trPr>
          <w:trHeight w:val="20"/>
        </w:trPr>
        <w:tc>
          <w:tcPr>
            <w:tcW w:w="5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ind w:right="40" w:firstLine="621"/>
        <w:spacing w:after="0" w:line="281" w:lineRule="auto"/>
        <w:rPr>
          <w:sz w:val="20"/>
          <w:szCs w:val="20"/>
          <w:color w:val="auto"/>
        </w:rPr>
      </w:pPr>
      <w:r>
        <w:rPr>
          <w:rFonts w:ascii="Arial" w:cs="Arial" w:eastAsia="Arial" w:hAnsi="Arial"/>
          <w:sz w:val="16"/>
          <w:szCs w:val="16"/>
          <w:color w:val="auto"/>
        </w:rPr>
        <w:t>For the three and nine months ended September 30, 2022 and September 30, 2021, the Company excluded outstanding performance stock units (as described in Note 9) from the calculation of diluted net loss per share because they were anti-dilutive. As of September 30, 2022, the performance stock units granted during April 2020, April 2021, August 2021, and February 2022 had expected achievement levels of 53%, 0%, 0%, and 0%, respectively. As of September 30, 2021, the performance stock units granted during April 2020, April 2021, and August 2021 had expected achievement levels of 150%, 0%, and 0% respectively. Refer to Note 9—"Stock-Based Compensation" for additional information related to performance stock units.</w:t>
      </w:r>
    </w:p>
    <w:p>
      <w:pPr>
        <w:spacing w:after="0" w:line="48" w:lineRule="exact"/>
        <w:rPr>
          <w:sz w:val="20"/>
          <w:szCs w:val="20"/>
          <w:color w:val="auto"/>
        </w:rPr>
      </w:pPr>
    </w:p>
    <w:p>
      <w:pPr>
        <w:ind w:firstLine="621"/>
        <w:spacing w:after="0" w:line="261" w:lineRule="auto"/>
        <w:rPr>
          <w:sz w:val="20"/>
          <w:szCs w:val="20"/>
          <w:color w:val="auto"/>
        </w:rPr>
      </w:pPr>
      <w:r>
        <w:rPr>
          <w:rFonts w:ascii="Arial" w:cs="Arial" w:eastAsia="Arial" w:hAnsi="Arial"/>
          <w:sz w:val="17"/>
          <w:szCs w:val="17"/>
          <w:color w:val="auto"/>
        </w:rPr>
        <w:t xml:space="preserve">For the three and nine months ended September 30, 2022 and September 30, 2021, shares that would be issuable assuming conversion of all of the Convertible Senior Notes (as defined in Note 13) were excluded from the calculation of diluted loss per share because they were anti-dilutive. Diluted earnings per share for the Convertible Senior Notes is calculated under the if-converted method in accordance with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The Convertible Senior Notes have an initial conversion rate of 15.6539 shares of common stock per $1,000 principal amount of the Convertible Senior Notes, which will be subject to anti-</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dilution adjustments in certain circumstances. As of September 30, 2022 and 2021, the number of shares that would be issuable assuming conversion of all of the Convertible Senior Notes is approximately 6,261,560. Refer to Note 13—"Debt" for additional information related to accounting for Convertible Senior Notes issued and associated Capped Call Transactions.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3—Revenue</w:t>
      </w:r>
    </w:p>
    <w:p>
      <w:pPr>
        <w:spacing w:after="0" w:line="186"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For the majority of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 The Company does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our revenue recognized on a net basis and on a gross basis for the three and nine months ended September 30, 2022 and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2021: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5"/>
                <w:szCs w:val="15"/>
                <w:color w:val="auto"/>
              </w:rPr>
            </w:pPr>
          </w:p>
        </w:tc>
      </w:tr>
      <w:tr>
        <w:trPr>
          <w:trHeight w:val="25"/>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gridSpan w:val="4"/>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gridSpan w:val="4"/>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gridSpan w:val="4"/>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gridSpan w:val="3"/>
          </w:tcPr>
          <w:p>
            <w:pPr>
              <w:spacing w:after="0"/>
              <w:rPr>
                <w:sz w:val="2"/>
                <w:szCs w:val="2"/>
                <w:color w:val="auto"/>
              </w:rPr>
            </w:pPr>
          </w:p>
        </w:tc>
      </w:tr>
      <w:tr>
        <w:trPr>
          <w:trHeight w:val="180"/>
        </w:trPr>
        <w:tc>
          <w:tcPr>
            <w:tcW w:w="32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Borders>
              <w:top w:val="single" w:sz="8" w:color="auto"/>
              <w:bottom w:val="single" w:sz="8" w:color="auto"/>
            </w:tcBorders>
          </w:tcPr>
          <w:p>
            <w:pPr>
              <w:spacing w:after="0"/>
              <w:rPr>
                <w:sz w:val="15"/>
                <w:szCs w:val="15"/>
                <w:color w:val="auto"/>
              </w:rPr>
            </w:pPr>
          </w:p>
        </w:tc>
        <w:tc>
          <w:tcPr>
            <w:tcW w:w="1740" w:type="dxa"/>
            <w:vAlign w:val="bottom"/>
            <w:tcBorders>
              <w:top w:val="single" w:sz="8" w:color="auto"/>
              <w:bottom w:val="single" w:sz="8" w:color="auto"/>
            </w:tcBorders>
            <w:gridSpan w:val="3"/>
          </w:tcPr>
          <w:p>
            <w:pPr>
              <w:jc w:val="right"/>
              <w:ind w:right="298"/>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Borders>
              <w:top w:val="single" w:sz="8" w:color="auto"/>
              <w:bottom w:val="single" w:sz="8" w:color="auto"/>
            </w:tcBorders>
          </w:tcPr>
          <w:p>
            <w:pPr>
              <w:spacing w:after="0"/>
              <w:rPr>
                <w:sz w:val="15"/>
                <w:szCs w:val="15"/>
                <w:color w:val="auto"/>
              </w:rPr>
            </w:pPr>
          </w:p>
        </w:tc>
        <w:tc>
          <w:tcPr>
            <w:tcW w:w="1740" w:type="dxa"/>
            <w:vAlign w:val="bottom"/>
            <w:tcBorders>
              <w:top w:val="single" w:sz="8" w:color="auto"/>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September 30, 2021</w:t>
            </w:r>
          </w:p>
        </w:tc>
      </w:tr>
      <w:tr>
        <w:trPr>
          <w:trHeight w:val="186"/>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5"/>
          </w:tcPr>
          <w:p>
            <w:pPr>
              <w:spacing w:after="0"/>
              <w:rPr>
                <w:sz w:val="20"/>
                <w:szCs w:val="20"/>
                <w:color w:val="auto"/>
              </w:rPr>
            </w:pPr>
            <w:r>
              <w:rPr>
                <w:rFonts w:ascii="Arial" w:cs="Arial" w:eastAsia="Arial" w:hAnsi="Arial"/>
                <w:sz w:val="14"/>
                <w:szCs w:val="14"/>
                <w:b w:val="1"/>
                <w:bCs w:val="1"/>
                <w:color w:val="auto"/>
                <w:w w:val="84"/>
              </w:rPr>
              <w:t>(in thousands, except percentages)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7"/>
        </w:trPr>
        <w:tc>
          <w:tcPr>
            <w:tcW w:w="3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0"/>
        </w:trPr>
        <w:tc>
          <w:tcPr>
            <w:tcW w:w="3280" w:type="dxa"/>
            <w:vAlign w:val="bottom"/>
          </w:tcPr>
          <w:p>
            <w:pPr>
              <w:ind w:left="340"/>
              <w:spacing w:after="0"/>
              <w:rPr>
                <w:sz w:val="20"/>
                <w:szCs w:val="20"/>
                <w:color w:val="auto"/>
              </w:rPr>
            </w:pPr>
            <w:r>
              <w:rPr>
                <w:rFonts w:ascii="Arial" w:cs="Arial" w:eastAsia="Arial" w:hAnsi="Arial"/>
                <w:sz w:val="17"/>
                <w:szCs w:val="17"/>
                <w:color w:val="auto"/>
              </w:rPr>
              <w:t>Net basis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116,999</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80 %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105,866</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80 %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330,015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82 %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258,236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84 %</w:t>
            </w:r>
          </w:p>
        </w:tc>
      </w:tr>
      <w:tr>
        <w:trPr>
          <w:trHeight w:val="220"/>
        </w:trPr>
        <w:tc>
          <w:tcPr>
            <w:tcW w:w="3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Gross basis</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28,816</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26,005</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71,655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48,891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16</w:t>
            </w:r>
          </w:p>
        </w:tc>
      </w:tr>
      <w:tr>
        <w:trPr>
          <w:trHeight w:val="213"/>
        </w:trPr>
        <w:tc>
          <w:tcPr>
            <w:tcW w:w="3280" w:type="dxa"/>
            <w:vAlign w:val="bottom"/>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145,815</w:t>
            </w: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131,871</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401,670</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307,127</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our revenue by channel for the three and nine months ended September 30, 2022 and 2021: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5"/>
                <w:szCs w:val="15"/>
                <w:color w:val="auto"/>
              </w:rPr>
            </w:pPr>
          </w:p>
        </w:tc>
      </w:tr>
      <w:tr>
        <w:trPr>
          <w:trHeight w:val="25"/>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gridSpan w:val="4"/>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gridSpan w:val="4"/>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gridSpan w:val="5"/>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gridSpan w:val="3"/>
          </w:tcPr>
          <w:p>
            <w:pPr>
              <w:spacing w:after="0"/>
              <w:rPr>
                <w:sz w:val="2"/>
                <w:szCs w:val="2"/>
                <w:color w:val="auto"/>
              </w:rPr>
            </w:pPr>
          </w:p>
        </w:tc>
      </w:tr>
      <w:tr>
        <w:trPr>
          <w:trHeight w:val="180"/>
        </w:trPr>
        <w:tc>
          <w:tcPr>
            <w:tcW w:w="32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840" w:type="dxa"/>
            <w:vAlign w:val="bottom"/>
            <w:tcBorders>
              <w:top w:val="single" w:sz="8" w:color="auto"/>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Borders>
              <w:top w:val="single" w:sz="8" w:color="auto"/>
              <w:bottom w:val="single" w:sz="8" w:color="auto"/>
            </w:tcBorders>
          </w:tcPr>
          <w:p>
            <w:pPr>
              <w:spacing w:after="0"/>
              <w:rPr>
                <w:sz w:val="15"/>
                <w:szCs w:val="15"/>
                <w:color w:val="auto"/>
              </w:rPr>
            </w:pPr>
          </w:p>
        </w:tc>
        <w:tc>
          <w:tcPr>
            <w:tcW w:w="1740" w:type="dxa"/>
            <w:vAlign w:val="bottom"/>
            <w:tcBorders>
              <w:top w:val="single" w:sz="8" w:color="auto"/>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Borders>
              <w:top w:val="single" w:sz="8" w:color="auto"/>
              <w:bottom w:val="single" w:sz="8" w:color="auto"/>
            </w:tcBorders>
          </w:tcPr>
          <w:p>
            <w:pPr>
              <w:spacing w:after="0"/>
              <w:rPr>
                <w:sz w:val="15"/>
                <w:szCs w:val="15"/>
                <w:color w:val="auto"/>
              </w:rPr>
            </w:pPr>
          </w:p>
        </w:tc>
        <w:tc>
          <w:tcPr>
            <w:tcW w:w="1740" w:type="dxa"/>
            <w:vAlign w:val="bottom"/>
            <w:tcBorders>
              <w:top w:val="single" w:sz="8" w:color="auto"/>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September 30, 2021</w:t>
            </w:r>
          </w:p>
        </w:tc>
      </w:tr>
      <w:tr>
        <w:trPr>
          <w:trHeight w:val="186"/>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6"/>
          </w:tcPr>
          <w:p>
            <w:pPr>
              <w:spacing w:after="0"/>
              <w:rPr>
                <w:sz w:val="20"/>
                <w:szCs w:val="20"/>
                <w:color w:val="auto"/>
              </w:rPr>
            </w:pPr>
            <w:r>
              <w:rPr>
                <w:rFonts w:ascii="Arial" w:cs="Arial" w:eastAsia="Arial" w:hAnsi="Arial"/>
                <w:sz w:val="14"/>
                <w:szCs w:val="14"/>
                <w:b w:val="1"/>
                <w:bCs w:val="1"/>
                <w:color w:val="auto"/>
                <w:w w:val="93"/>
              </w:rPr>
              <w:t>(in thousands, except percentages)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7"/>
        </w:trPr>
        <w:tc>
          <w:tcPr>
            <w:tcW w:w="3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Channel:</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0"/>
        </w:trPr>
        <w:tc>
          <w:tcPr>
            <w:tcW w:w="3280" w:type="dxa"/>
            <w:vAlign w:val="bottom"/>
          </w:tcPr>
          <w:p>
            <w:pPr>
              <w:ind w:left="340"/>
              <w:spacing w:after="0"/>
              <w:rPr>
                <w:sz w:val="20"/>
                <w:szCs w:val="20"/>
                <w:color w:val="auto"/>
              </w:rPr>
            </w:pPr>
            <w:r>
              <w:rPr>
                <w:rFonts w:ascii="Arial" w:cs="Arial" w:eastAsia="Arial" w:hAnsi="Arial"/>
                <w:sz w:val="17"/>
                <w:szCs w:val="17"/>
                <w:color w:val="auto"/>
              </w:rPr>
              <w:t>CTV</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71,604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57,885</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187,619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47 %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115,040</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38 %</w:t>
            </w:r>
          </w:p>
        </w:tc>
      </w:tr>
      <w:tr>
        <w:trPr>
          <w:trHeight w:val="220"/>
        </w:trPr>
        <w:tc>
          <w:tcPr>
            <w:tcW w:w="3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Desktop</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28,217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30,573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80,166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26</w:t>
            </w:r>
          </w:p>
        </w:tc>
      </w:tr>
      <w:tr>
        <w:trPr>
          <w:trHeight w:val="220"/>
        </w:trPr>
        <w:tc>
          <w:tcPr>
            <w:tcW w:w="32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Mobile</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45,994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43,413</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130,111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111,921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36</w:t>
            </w:r>
          </w:p>
        </w:tc>
      </w:tr>
      <w:tr>
        <w:trPr>
          <w:trHeight w:val="23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145,815</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131,871</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401,670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307,127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right="20" w:firstLine="169"/>
        <w:spacing w:after="0" w:line="283" w:lineRule="auto"/>
        <w:rPr>
          <w:sz w:val="20"/>
          <w:szCs w:val="20"/>
          <w:color w:val="auto"/>
        </w:rPr>
      </w:pPr>
      <w:r>
        <w:rPr>
          <w:rFonts w:ascii="Arial" w:cs="Arial" w:eastAsia="Arial" w:hAnsi="Arial"/>
          <w:sz w:val="17"/>
          <w:szCs w:val="17"/>
          <w:color w:val="auto"/>
        </w:rPr>
        <w:t>The following table presents the Company's revenue disaggregated by geographic location, based on the location of the Company's sellers for the three and nine months ended September 30, 2022 and 2021:</w:t>
      </w:r>
    </w:p>
    <w:p>
      <w:pPr>
        <w:spacing w:after="0" w:line="72" w:lineRule="exact"/>
        <w:rPr>
          <w:sz w:val="20"/>
          <w:szCs w:val="20"/>
          <w:color w:val="auto"/>
        </w:rPr>
      </w:pPr>
    </w:p>
    <w:p>
      <w:pPr>
        <w:ind w:left="6200"/>
        <w:spacing w:after="0"/>
        <w:tabs>
          <w:tab w:leader="none" w:pos="920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1"/>
          <w:szCs w:val="11"/>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27305</wp:posOffset>
            </wp:positionV>
            <wp:extent cx="37128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1284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46" w:lineRule="exact"/>
        <w:rPr>
          <w:sz w:val="20"/>
          <w:szCs w:val="20"/>
          <w:color w:val="auto"/>
        </w:rPr>
      </w:pPr>
    </w:p>
    <w:p>
      <w:pPr>
        <w:ind w:left="5520"/>
        <w:spacing w:after="0"/>
        <w:tabs>
          <w:tab w:leader="none" w:pos="6980" w:val="left"/>
        </w:tabs>
        <w:rPr>
          <w:sz w:val="20"/>
          <w:szCs w:val="20"/>
          <w:color w:val="auto"/>
        </w:rPr>
      </w:pPr>
      <w:r>
        <w:rPr>
          <w:rFonts w:ascii="Arial" w:cs="Arial" w:eastAsia="Arial" w:hAnsi="Arial"/>
          <w:sz w:val="14"/>
          <w:szCs w:val="14"/>
          <w:b w:val="1"/>
          <w:bCs w:val="1"/>
          <w:color w:val="auto"/>
        </w:rPr>
        <w:t>September 30, 2022</w:t>
      </w:r>
      <w:r>
        <w:rPr>
          <w:sz w:val="20"/>
          <w:szCs w:val="20"/>
          <w:color w:val="auto"/>
        </w:rPr>
        <w:tab/>
      </w:r>
      <w:r>
        <w:rPr>
          <w:rFonts w:ascii="Arial" w:cs="Arial" w:eastAsia="Arial" w:hAnsi="Arial"/>
          <w:sz w:val="11"/>
          <w:szCs w:val="11"/>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27305</wp:posOffset>
            </wp:positionV>
            <wp:extent cx="18237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26"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b w:val="1"/>
          <w:bCs w:val="1"/>
          <w:color w:val="auto"/>
        </w:rPr>
        <w:t>September 30, 2022</w:t>
      </w:r>
      <w:r>
        <w:rPr>
          <w:sz w:val="20"/>
          <w:szCs w:val="20"/>
          <w:color w:val="auto"/>
        </w:rPr>
        <w:tab/>
      </w:r>
      <w:r>
        <w:rPr>
          <w:rFonts w:ascii="Arial" w:cs="Arial" w:eastAsia="Arial" w:hAnsi="Arial"/>
          <w:sz w:val="11"/>
          <w:szCs w:val="11"/>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27305</wp:posOffset>
            </wp:positionV>
            <wp:extent cx="18237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(in thousands)</w:t>
      </w:r>
    </w:p>
    <w:p>
      <w:pPr>
        <w:spacing w:after="0" w:line="43" w:lineRule="exact"/>
        <w:rPr>
          <w:sz w:val="20"/>
          <w:szCs w:val="20"/>
          <w:color w:val="auto"/>
        </w:rPr>
      </w:pPr>
    </w:p>
    <w:p>
      <w:pPr>
        <w:sectPr>
          <w:pgSz w:w="11900" w:h="16838" w:orient="portrait"/>
          <w:cols w:equalWidth="0" w:num="2">
            <w:col w:w="8160" w:space="320"/>
            <w:col w:w="276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310,870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237,844</w:t>
            </w:r>
          </w:p>
        </w:tc>
      </w:tr>
      <w:tr>
        <w:trPr>
          <w:trHeight w:val="22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International</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31,964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27,238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90,800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69,283</w:t>
            </w:r>
          </w:p>
        </w:tc>
      </w:tr>
      <w:tr>
        <w:trPr>
          <w:trHeight w:val="23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145,815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131,871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401,670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307,127</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ind w:right="20" w:firstLine="621"/>
        <w:spacing w:after="0" w:line="260" w:lineRule="auto"/>
        <w:rPr>
          <w:sz w:val="20"/>
          <w:szCs w:val="20"/>
          <w:color w:val="auto"/>
        </w:rPr>
      </w:pPr>
      <w:r>
        <w:rPr>
          <w:rFonts w:ascii="Arial" w:cs="Arial" w:eastAsia="Arial" w:hAnsi="Arial"/>
          <w:sz w:val="17"/>
          <w:szCs w:val="17"/>
          <w:color w:val="auto"/>
        </w:rPr>
        <w:t>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w:t>
      </w:r>
    </w:p>
    <w:p>
      <w:pPr>
        <w:spacing w:after="0" w:line="75" w:lineRule="exact"/>
        <w:rPr>
          <w:sz w:val="20"/>
          <w:szCs w:val="20"/>
          <w:color w:val="auto"/>
        </w:rPr>
      </w:pPr>
    </w:p>
    <w:p>
      <w:pPr>
        <w:ind w:right="160" w:firstLine="621"/>
        <w:spacing w:after="0" w:line="268" w:lineRule="auto"/>
        <w:rPr>
          <w:sz w:val="20"/>
          <w:szCs w:val="20"/>
          <w:color w:val="auto"/>
        </w:rPr>
      </w:pPr>
      <w:r>
        <w:rPr>
          <w:rFonts w:ascii="Arial" w:cs="Arial" w:eastAsia="Arial" w:hAnsi="Arial"/>
          <w:sz w:val="17"/>
          <w:szCs w:val="17"/>
          <w:color w:val="auto"/>
        </w:rPr>
        <w:t>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customer basis, taking into consideration the aging schedule of receivables, its historical collection experience, current information regarding the client, subsequent collection history, and other relevant data, in establishing the allowance for doubtful accounts. Accounts receivable is presented net of an allowance for doubtful accounts of $0.8 million at September 30, 2022, and $3.5 million at December 31, 2021. Accounts receivable are written off against the allowance for doubtful accounts when the Company determines amounts are no longer collectible.</w:t>
      </w:r>
    </w:p>
    <w:p>
      <w:pPr>
        <w:spacing w:after="0" w:line="71" w:lineRule="exact"/>
        <w:rPr>
          <w:sz w:val="20"/>
          <w:szCs w:val="20"/>
          <w:color w:val="auto"/>
        </w:rPr>
      </w:pPr>
    </w:p>
    <w:p>
      <w:pPr>
        <w:ind w:right="40" w:firstLine="621"/>
        <w:spacing w:after="0" w:line="293" w:lineRule="auto"/>
        <w:rPr>
          <w:sz w:val="20"/>
          <w:szCs w:val="20"/>
          <w:color w:val="auto"/>
        </w:rPr>
      </w:pPr>
      <w:r>
        <w:rPr>
          <w:rFonts w:ascii="Arial" w:cs="Arial" w:eastAsia="Arial" w:hAnsi="Arial"/>
          <w:sz w:val="16"/>
          <w:szCs w:val="16"/>
          <w:color w:val="auto"/>
        </w:rPr>
        <w:t>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$0.3 million and $2.1 million as of September 30, 2022 and December 31, 2021, respectively.</w:t>
      </w:r>
    </w:p>
    <w:p>
      <w:pPr>
        <w:spacing w:after="0" w:line="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following is a summary of activity in the allowance for doubtful accounts for the three and nine months ended September 30, 2022 and 2021: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gridSpan w:val="3"/>
          </w:tcPr>
          <w:p>
            <w:pPr>
              <w:jc w:val="center"/>
              <w:ind w:left="98"/>
              <w:spacing w:after="0"/>
              <w:rPr>
                <w:sz w:val="20"/>
                <w:szCs w:val="20"/>
                <w:color w:val="auto"/>
              </w:rPr>
            </w:pPr>
            <w:r>
              <w:rPr>
                <w:rFonts w:ascii="Arial" w:cs="Arial" w:eastAsia="Arial" w:hAnsi="Arial"/>
                <w:sz w:val="14"/>
                <w:szCs w:val="14"/>
                <w:b w:val="1"/>
                <w:bCs w:val="1"/>
                <w:color w:val="auto"/>
                <w:w w:val="90"/>
              </w:rPr>
              <w:t>Three Months Ended</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gridSpan w:val="3"/>
          </w:tcPr>
          <w:p>
            <w:pPr>
              <w:jc w:val="center"/>
              <w:ind w:left="98"/>
              <w:spacing w:after="0"/>
              <w:rPr>
                <w:sz w:val="20"/>
                <w:szCs w:val="20"/>
                <w:color w:val="auto"/>
              </w:rPr>
            </w:pPr>
            <w:r>
              <w:rPr>
                <w:rFonts w:ascii="Arial" w:cs="Arial" w:eastAsia="Arial" w:hAnsi="Arial"/>
                <w:sz w:val="14"/>
                <w:szCs w:val="14"/>
                <w:b w:val="1"/>
                <w:bCs w:val="1"/>
                <w:color w:val="auto"/>
                <w:w w:val="90"/>
              </w:rPr>
              <w:t>Nine Months Ended</w:t>
            </w:r>
          </w:p>
        </w:tc>
        <w:tc>
          <w:tcPr>
            <w:tcW w:w="560" w:type="dxa"/>
            <w:vAlign w:val="bottom"/>
          </w:tcPr>
          <w:p>
            <w:pPr>
              <w:spacing w:after="0"/>
              <w:rPr>
                <w:sz w:val="15"/>
                <w:szCs w:val="15"/>
                <w:color w:val="auto"/>
              </w:rPr>
            </w:pPr>
          </w:p>
        </w:tc>
      </w:tr>
      <w:tr>
        <w:trPr>
          <w:trHeight w:val="25"/>
        </w:trPr>
        <w:tc>
          <w:tcPr>
            <w:tcW w:w="616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280" w:type="dxa"/>
            <w:vAlign w:val="bottom"/>
            <w:gridSpan w:val="3"/>
          </w:tcPr>
          <w:p>
            <w:pPr>
              <w:spacing w:after="0"/>
              <w:rPr>
                <w:sz w:val="2"/>
                <w:szCs w:val="2"/>
                <w:color w:val="auto"/>
              </w:rPr>
            </w:pPr>
          </w:p>
        </w:tc>
        <w:tc>
          <w:tcPr>
            <w:tcW w:w="1300" w:type="dxa"/>
            <w:vAlign w:val="bottom"/>
            <w:gridSpan w:val="3"/>
          </w:tcPr>
          <w:p>
            <w:pPr>
              <w:spacing w:after="0"/>
              <w:rPr>
                <w:sz w:val="2"/>
                <w:szCs w:val="2"/>
                <w:color w:val="auto"/>
              </w:rPr>
            </w:pPr>
          </w:p>
        </w:tc>
        <w:tc>
          <w:tcPr>
            <w:tcW w:w="1200" w:type="dxa"/>
            <w:vAlign w:val="bottom"/>
            <w:gridSpan w:val="2"/>
          </w:tcPr>
          <w:p>
            <w:pPr>
              <w:spacing w:after="0"/>
              <w:rPr>
                <w:sz w:val="2"/>
                <w:szCs w:val="2"/>
                <w:color w:val="auto"/>
              </w:rPr>
            </w:pPr>
          </w:p>
        </w:tc>
      </w:tr>
      <w:tr>
        <w:trPr>
          <w:trHeight w:val="180"/>
        </w:trPr>
        <w:tc>
          <w:tcPr>
            <w:tcW w:w="6160" w:type="dxa"/>
            <w:vAlign w:val="bottom"/>
          </w:tcPr>
          <w:p>
            <w:pPr>
              <w:spacing w:after="0"/>
              <w:rPr>
                <w:sz w:val="15"/>
                <w:szCs w:val="15"/>
                <w:color w:val="auto"/>
              </w:rPr>
            </w:pPr>
          </w:p>
        </w:tc>
        <w:tc>
          <w:tcPr>
            <w:tcW w:w="130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September 30, 2022</w:t>
            </w:r>
          </w:p>
        </w:tc>
        <w:tc>
          <w:tcPr>
            <w:tcW w:w="12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September 30, 2021</w:t>
            </w:r>
          </w:p>
        </w:tc>
        <w:tc>
          <w:tcPr>
            <w:tcW w:w="80" w:type="dxa"/>
            <w:vAlign w:val="bottom"/>
            <w:tcBorders>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4"/>
              </w:rPr>
              <w:t>September 30, 2022</w:t>
            </w:r>
          </w:p>
        </w:tc>
        <w:tc>
          <w:tcPr>
            <w:tcW w:w="12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September 30, 2021</w:t>
            </w:r>
          </w:p>
        </w:tc>
      </w:tr>
      <w:tr>
        <w:trPr>
          <w:trHeight w:val="186"/>
        </w:trPr>
        <w:tc>
          <w:tcPr>
            <w:tcW w:w="6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3"/>
          </w:tcPr>
          <w:p>
            <w:pPr>
              <w:jc w:val="center"/>
              <w:ind w:left="78"/>
              <w:spacing w:after="0"/>
              <w:rPr>
                <w:sz w:val="20"/>
                <w:szCs w:val="20"/>
                <w:color w:val="auto"/>
              </w:rPr>
            </w:pPr>
            <w:r>
              <w:rPr>
                <w:rFonts w:ascii="Arial" w:cs="Arial" w:eastAsia="Arial" w:hAnsi="Arial"/>
                <w:sz w:val="14"/>
                <w:szCs w:val="14"/>
                <w:b w:val="1"/>
                <w:bCs w:val="1"/>
                <w:color w:val="auto"/>
                <w:w w:val="87"/>
              </w:rPr>
              <w:t>(in thousands)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gridSpan w:val="3"/>
          </w:tcPr>
          <w:p>
            <w:pPr>
              <w:jc w:val="center"/>
              <w:ind w:left="118"/>
              <w:spacing w:after="0"/>
              <w:rPr>
                <w:sz w:val="20"/>
                <w:szCs w:val="20"/>
                <w:color w:val="auto"/>
              </w:rPr>
            </w:pPr>
            <w:r>
              <w:rPr>
                <w:rFonts w:ascii="Arial" w:cs="Arial" w:eastAsia="Arial" w:hAnsi="Arial"/>
                <w:sz w:val="14"/>
                <w:szCs w:val="14"/>
                <w:b w:val="1"/>
                <w:bCs w:val="1"/>
                <w:color w:val="auto"/>
                <w:w w:val="87"/>
              </w:rPr>
              <w:t>(in thousands)</w:t>
            </w:r>
          </w:p>
        </w:tc>
        <w:tc>
          <w:tcPr>
            <w:tcW w:w="560" w:type="dxa"/>
            <w:vAlign w:val="bottom"/>
          </w:tcPr>
          <w:p>
            <w:pPr>
              <w:spacing w:after="0"/>
              <w:rPr>
                <w:sz w:val="16"/>
                <w:szCs w:val="16"/>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doubtful accounts, beginning balance</w:t>
            </w:r>
          </w:p>
        </w:tc>
        <w:tc>
          <w:tcPr>
            <w:tcW w:w="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2,360</w:t>
            </w:r>
          </w:p>
        </w:tc>
      </w:tr>
      <w:tr>
        <w:trPr>
          <w:trHeight w:val="220"/>
        </w:trPr>
        <w:tc>
          <w:tcPr>
            <w:tcW w:w="6160" w:type="dxa"/>
            <w:vAlign w:val="bottom"/>
          </w:tcPr>
          <w:p>
            <w:pPr>
              <w:ind w:left="20"/>
              <w:spacing w:after="0"/>
              <w:rPr>
                <w:sz w:val="20"/>
                <w:szCs w:val="20"/>
                <w:color w:val="auto"/>
              </w:rPr>
            </w:pPr>
            <w:r>
              <w:rPr>
                <w:rFonts w:ascii="Arial" w:cs="Arial" w:eastAsia="Arial" w:hAnsi="Arial"/>
                <w:sz w:val="17"/>
                <w:szCs w:val="17"/>
                <w:color w:val="auto"/>
              </w:rPr>
              <w:t>Allowance for doubtful accounts, merger and acquisition-assumed</w:t>
            </w:r>
          </w:p>
        </w:tc>
        <w:tc>
          <w:tcPr>
            <w:tcW w:w="3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835</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Write-offs</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20"/>
        </w:trPr>
        <w:tc>
          <w:tcPr>
            <w:tcW w:w="6160" w:type="dxa"/>
            <w:vAlign w:val="bottom"/>
          </w:tcPr>
          <w:p>
            <w:pPr>
              <w:ind w:left="20"/>
              <w:spacing w:after="0"/>
              <w:rPr>
                <w:sz w:val="20"/>
                <w:szCs w:val="20"/>
                <w:color w:val="auto"/>
              </w:rPr>
            </w:pPr>
            <w:r>
              <w:rPr>
                <w:rFonts w:ascii="Arial" w:cs="Arial" w:eastAsia="Arial" w:hAnsi="Arial"/>
                <w:sz w:val="17"/>
                <w:szCs w:val="17"/>
                <w:color w:val="auto"/>
              </w:rPr>
              <w:t>Increase (decrease) in provision for expected credit losses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342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(2,227)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852</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Recoveries of previous write-offs</w:t>
            </w: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13"/>
        </w:trPr>
        <w:tc>
          <w:tcPr>
            <w:tcW w:w="6160" w:type="dxa"/>
            <w:vAlign w:val="bottom"/>
          </w:tcPr>
          <w:p>
            <w:pPr>
              <w:ind w:left="20"/>
              <w:spacing w:after="0"/>
              <w:rPr>
                <w:sz w:val="20"/>
                <w:szCs w:val="20"/>
                <w:color w:val="auto"/>
              </w:rPr>
            </w:pPr>
            <w:r>
              <w:rPr>
                <w:rFonts w:ascii="Arial" w:cs="Arial" w:eastAsia="Arial" w:hAnsi="Arial"/>
                <w:sz w:val="17"/>
                <w:szCs w:val="17"/>
                <w:color w:val="auto"/>
              </w:rPr>
              <w:t>Allowance for doubtful accounts, ending balance</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808</w:t>
            </w:r>
          </w:p>
        </w:tc>
        <w:tc>
          <w:tcPr>
            <w:tcW w:w="100" w:type="dxa"/>
            <w:vAlign w:val="bottom"/>
          </w:tcPr>
          <w:p>
            <w:pPr>
              <w:spacing w:after="0"/>
              <w:rPr>
                <w:sz w:val="18"/>
                <w:szCs w:val="18"/>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4,032</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808</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4,032</w:t>
            </w:r>
          </w:p>
        </w:tc>
      </w:tr>
      <w:tr>
        <w:trPr>
          <w:trHeight w:val="20"/>
        </w:trPr>
        <w:tc>
          <w:tcPr>
            <w:tcW w:w="6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During the three and nine months ended September 30, 2022, the provision for expected credit losses associated with accounts receivable increased by</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$0.5 million and decreased by $2.2 million, respectively, offset by increases of contra seller payables related to recoveries of uncollected buyer receivables of $0.1</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million and decreases of $1.9 million, respectively, which resulted in $0.3 million of bad debt expense and $0.4 million of bad debt recoveries, respectively.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nine months ended September 30, 2021, the provision for expected credit losses associated with accounts receivable increased by $0.3</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million and $0.9 million, respectively, and was offset by decreases of contra seller payables related to recoveries of uncollected buyer receivables of an immaterial</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amount and $0.6 million, respectively, which resulted in $0.4 million and $0.2 million, respectively, of bad debt recoveries.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4—Fair Value Measurements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Recurring Fair Value Measurements</w:t>
      </w:r>
    </w:p>
    <w:p>
      <w:pPr>
        <w:spacing w:after="0" w:line="115" w:lineRule="exact"/>
        <w:rPr>
          <w:sz w:val="20"/>
          <w:szCs w:val="20"/>
          <w:color w:val="auto"/>
        </w:rPr>
      </w:pPr>
    </w:p>
    <w:p>
      <w:pPr>
        <w:ind w:right="40" w:firstLine="621"/>
        <w:spacing w:after="0" w:line="261" w:lineRule="auto"/>
        <w:rPr>
          <w:sz w:val="20"/>
          <w:szCs w:val="20"/>
          <w:color w:val="auto"/>
        </w:rPr>
      </w:pPr>
      <w:r>
        <w:rPr>
          <w:rFonts w:ascii="Arial" w:cs="Arial" w:eastAsia="Arial" w:hAnsi="Arial"/>
          <w:sz w:val="17"/>
          <w:szCs w:val="17"/>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0" w:lineRule="exact"/>
        <w:rPr>
          <w:sz w:val="20"/>
          <w:szCs w:val="20"/>
          <w:color w:val="auto"/>
        </w:rPr>
      </w:pPr>
    </w:p>
    <w:p>
      <w:pPr>
        <w:ind w:left="1100" w:right="820" w:hanging="476"/>
        <w:spacing w:after="0" w:line="283" w:lineRule="auto"/>
        <w:tabs>
          <w:tab w:leader="none" w:pos="1096"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 – Quoted prices (unadjusted) in active markets for identical assets or liabilities that the Company has the ability to access at the measurement date.</w:t>
      </w:r>
    </w:p>
    <w:p>
      <w:pPr>
        <w:spacing w:after="0" w:line="43" w:lineRule="exact"/>
        <w:rPr>
          <w:rFonts w:ascii="Arial" w:cs="Arial" w:eastAsia="Arial" w:hAnsi="Arial"/>
          <w:sz w:val="17"/>
          <w:szCs w:val="17"/>
          <w:color w:val="auto"/>
        </w:rPr>
      </w:pPr>
    </w:p>
    <w:p>
      <w:pPr>
        <w:ind w:left="1080" w:hanging="456"/>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 – Inputs other than quoted prices included within Level 1 that are observable for the asset or liability, either directly or indirectly.</w:t>
      </w:r>
    </w:p>
    <w:p>
      <w:pPr>
        <w:spacing w:after="0" w:line="102" w:lineRule="exact"/>
        <w:rPr>
          <w:rFonts w:ascii="Arial" w:cs="Arial" w:eastAsia="Arial" w:hAnsi="Arial"/>
          <w:sz w:val="17"/>
          <w:szCs w:val="17"/>
          <w:color w:val="auto"/>
        </w:rPr>
      </w:pPr>
    </w:p>
    <w:p>
      <w:pPr>
        <w:ind w:left="1080" w:hanging="456"/>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 – Unobservable inputs.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September 30, 2022:</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ind w:right="268"/>
              <w:spacing w:after="0"/>
              <w:rPr>
                <w:sz w:val="20"/>
                <w:szCs w:val="20"/>
                <w:color w:val="auto"/>
              </w:rPr>
            </w:pPr>
            <w:r>
              <w:rPr>
                <w:rFonts w:ascii="Arial" w:cs="Arial" w:eastAsia="Arial" w:hAnsi="Arial"/>
                <w:sz w:val="14"/>
                <w:szCs w:val="14"/>
                <w:b w:val="1"/>
                <w:bCs w:val="1"/>
                <w:color w:val="auto"/>
                <w:w w:val="88"/>
              </w:rPr>
              <w:t>Quoted Prices in</w:t>
            </w:r>
          </w:p>
        </w:tc>
        <w:tc>
          <w:tcPr>
            <w:tcW w:w="1680" w:type="dxa"/>
            <w:vAlign w:val="bottom"/>
            <w:vMerge w:val="restart"/>
          </w:tcPr>
          <w:p>
            <w:pPr>
              <w:jc w:val="center"/>
              <w:ind w:left="307"/>
              <w:spacing w:after="0"/>
              <w:rPr>
                <w:sz w:val="20"/>
                <w:szCs w:val="20"/>
                <w:color w:val="auto"/>
              </w:rPr>
            </w:pPr>
            <w:r>
              <w:rPr>
                <w:rFonts w:ascii="Arial" w:cs="Arial" w:eastAsia="Arial" w:hAnsi="Arial"/>
                <w:sz w:val="14"/>
                <w:szCs w:val="14"/>
                <w:b w:val="1"/>
                <w:bCs w:val="1"/>
                <w:color w:val="auto"/>
                <w:w w:val="90"/>
              </w:rPr>
              <w:t>Significant Other</w:t>
            </w:r>
          </w:p>
        </w:tc>
        <w:tc>
          <w:tcPr>
            <w:tcW w:w="1920" w:type="dxa"/>
            <w:vAlign w:val="bottom"/>
            <w:vMerge w:val="restart"/>
          </w:tcPr>
          <w:p>
            <w:pPr>
              <w:jc w:val="center"/>
              <w:ind w:left="847"/>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jc w:val="center"/>
              <w:ind w:right="248"/>
              <w:spacing w:after="0" w:line="143" w:lineRule="exact"/>
              <w:rPr>
                <w:sz w:val="20"/>
                <w:szCs w:val="20"/>
                <w:color w:val="auto"/>
              </w:rPr>
            </w:pPr>
            <w:r>
              <w:rPr>
                <w:rFonts w:ascii="Arial" w:cs="Arial" w:eastAsia="Arial" w:hAnsi="Arial"/>
                <w:sz w:val="14"/>
                <w:szCs w:val="14"/>
                <w:b w:val="1"/>
                <w:bCs w:val="1"/>
                <w:color w:val="auto"/>
                <w:w w:val="92"/>
              </w:rPr>
              <w:t>Active Markets for</w:t>
            </w:r>
          </w:p>
        </w:tc>
        <w:tc>
          <w:tcPr>
            <w:tcW w:w="168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1"/>
                <w:szCs w:val="11"/>
                <w:color w:val="auto"/>
              </w:rPr>
            </w:pPr>
          </w:p>
        </w:tc>
        <w:tc>
          <w:tcPr>
            <w:tcW w:w="1720" w:type="dxa"/>
            <w:vAlign w:val="bottom"/>
          </w:tcPr>
          <w:p>
            <w:pPr>
              <w:jc w:val="center"/>
              <w:ind w:right="248"/>
              <w:spacing w:after="0" w:line="133" w:lineRule="exact"/>
              <w:rPr>
                <w:sz w:val="20"/>
                <w:szCs w:val="20"/>
                <w:color w:val="auto"/>
              </w:rPr>
            </w:pPr>
            <w:r>
              <w:rPr>
                <w:rFonts w:ascii="Arial" w:cs="Arial" w:eastAsia="Arial" w:hAnsi="Arial"/>
                <w:sz w:val="14"/>
                <w:szCs w:val="14"/>
                <w:b w:val="1"/>
                <w:bCs w:val="1"/>
                <w:color w:val="auto"/>
                <w:w w:val="86"/>
              </w:rPr>
              <w:t>Identical Assets</w:t>
            </w:r>
          </w:p>
        </w:tc>
        <w:tc>
          <w:tcPr>
            <w:tcW w:w="1680" w:type="dxa"/>
            <w:vAlign w:val="bottom"/>
          </w:tcPr>
          <w:p>
            <w:pPr>
              <w:jc w:val="center"/>
              <w:ind w:left="327"/>
              <w:spacing w:after="0" w:line="133" w:lineRule="exact"/>
              <w:rPr>
                <w:sz w:val="20"/>
                <w:szCs w:val="20"/>
                <w:color w:val="auto"/>
              </w:rPr>
            </w:pPr>
            <w:r>
              <w:rPr>
                <w:rFonts w:ascii="Arial" w:cs="Arial" w:eastAsia="Arial" w:hAnsi="Arial"/>
                <w:sz w:val="14"/>
                <w:szCs w:val="14"/>
                <w:b w:val="1"/>
                <w:bCs w:val="1"/>
                <w:color w:val="auto"/>
                <w:w w:val="88"/>
              </w:rPr>
              <w:t>Observable Inputs</w:t>
            </w:r>
          </w:p>
        </w:tc>
        <w:tc>
          <w:tcPr>
            <w:tcW w:w="1920" w:type="dxa"/>
            <w:vAlign w:val="bottom"/>
          </w:tcPr>
          <w:p>
            <w:pPr>
              <w:ind w:left="800"/>
              <w:spacing w:after="0" w:line="133" w:lineRule="exact"/>
              <w:rPr>
                <w:sz w:val="20"/>
                <w:szCs w:val="20"/>
                <w:color w:val="auto"/>
              </w:rPr>
            </w:pPr>
            <w:r>
              <w:rPr>
                <w:rFonts w:ascii="Arial" w:cs="Arial" w:eastAsia="Arial" w:hAnsi="Arial"/>
                <w:sz w:val="14"/>
                <w:szCs w:val="14"/>
                <w:b w:val="1"/>
                <w:bCs w:val="1"/>
                <w:color w:val="auto"/>
                <w:w w:val="87"/>
              </w:rPr>
              <w:t>Unobservable Inpu</w:t>
            </w:r>
          </w:p>
        </w:tc>
        <w:tc>
          <w:tcPr>
            <w:tcW w:w="0" w:type="dxa"/>
            <w:vAlign w:val="bottom"/>
          </w:tcPr>
          <w:p>
            <w:pPr>
              <w:spacing w:after="0"/>
              <w:rPr>
                <w:sz w:val="1"/>
                <w:szCs w:val="1"/>
                <w:color w:val="auto"/>
              </w:rPr>
            </w:pPr>
          </w:p>
        </w:tc>
      </w:tr>
      <w:tr>
        <w:trPr>
          <w:trHeight w:val="179"/>
        </w:trPr>
        <w:tc>
          <w:tcPr>
            <w:tcW w:w="3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tcPr>
          <w:p>
            <w:pPr>
              <w:jc w:val="center"/>
              <w:ind w:right="208"/>
              <w:spacing w:after="0"/>
              <w:rPr>
                <w:sz w:val="20"/>
                <w:szCs w:val="20"/>
                <w:color w:val="auto"/>
              </w:rPr>
            </w:pPr>
            <w:r>
              <w:rPr>
                <w:rFonts w:ascii="Arial" w:cs="Arial" w:eastAsia="Arial" w:hAnsi="Arial"/>
                <w:sz w:val="14"/>
                <w:szCs w:val="14"/>
                <w:b w:val="1"/>
                <w:bCs w:val="1"/>
                <w:color w:val="auto"/>
                <w:w w:val="91"/>
              </w:rPr>
              <w:t>(Level 1)</w:t>
            </w:r>
          </w:p>
        </w:tc>
        <w:tc>
          <w:tcPr>
            <w:tcW w:w="1680" w:type="dxa"/>
            <w:vAlign w:val="bottom"/>
          </w:tcPr>
          <w:p>
            <w:pPr>
              <w:jc w:val="center"/>
              <w:ind w:left="367"/>
              <w:spacing w:after="0"/>
              <w:rPr>
                <w:sz w:val="20"/>
                <w:szCs w:val="20"/>
                <w:color w:val="auto"/>
              </w:rPr>
            </w:pPr>
            <w:r>
              <w:rPr>
                <w:rFonts w:ascii="Arial" w:cs="Arial" w:eastAsia="Arial" w:hAnsi="Arial"/>
                <w:sz w:val="14"/>
                <w:szCs w:val="14"/>
                <w:b w:val="1"/>
                <w:bCs w:val="1"/>
                <w:color w:val="auto"/>
                <w:w w:val="91"/>
              </w:rPr>
              <w:t>(Level 2)</w:t>
            </w:r>
          </w:p>
        </w:tc>
        <w:tc>
          <w:tcPr>
            <w:tcW w:w="1920" w:type="dxa"/>
            <w:vAlign w:val="bottom"/>
          </w:tcPr>
          <w:p>
            <w:pPr>
              <w:jc w:val="center"/>
              <w:ind w:left="867"/>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5"/>
        </w:trPr>
        <w:tc>
          <w:tcPr>
            <w:tcW w:w="3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0" w:type="dxa"/>
            <w:vAlign w:val="bottom"/>
            <w:gridSpan w:val="2"/>
          </w:tcPr>
          <w:p>
            <w:pPr>
              <w:jc w:val="right"/>
              <w:ind w:right="867"/>
              <w:spacing w:after="0"/>
              <w:rPr>
                <w:sz w:val="20"/>
                <w:szCs w:val="20"/>
                <w:color w:val="auto"/>
              </w:rPr>
            </w:pPr>
            <w:r>
              <w:rPr>
                <w:rFonts w:ascii="Arial" w:cs="Arial" w:eastAsia="Arial" w:hAnsi="Arial"/>
                <w:sz w:val="14"/>
                <w:szCs w:val="14"/>
                <w:b w:val="1"/>
                <w:bCs w:val="1"/>
                <w:color w:val="auto"/>
              </w:rPr>
              <w:t>(in thousands)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208,172</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ind w:right="28"/>
              <w:spacing w:after="0"/>
              <w:rPr>
                <w:sz w:val="20"/>
                <w:szCs w:val="20"/>
                <w:color w:val="auto"/>
              </w:rPr>
            </w:pPr>
            <w:r>
              <w:rPr>
                <w:rFonts w:ascii="Arial" w:cs="Arial" w:eastAsia="Arial" w:hAnsi="Arial"/>
                <w:sz w:val="17"/>
                <w:szCs w:val="17"/>
                <w:color w:val="auto"/>
              </w:rPr>
              <w:t>208,172</w:t>
            </w:r>
          </w:p>
        </w:tc>
        <w:tc>
          <w:tcPr>
            <w:tcW w:w="1680" w:type="dxa"/>
            <w:vAlign w:val="bottom"/>
            <w:shd w:val="clear" w:color="auto" w:fill="CCEEFF"/>
          </w:tcPr>
          <w:p>
            <w:pPr>
              <w:jc w:val="right"/>
              <w:ind w:right="1427"/>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6"/>
        </w:trPr>
        <w:tc>
          <w:tcPr>
            <w:tcW w:w="3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2021:</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ind w:right="228"/>
              <w:spacing w:after="0"/>
              <w:rPr>
                <w:sz w:val="20"/>
                <w:szCs w:val="20"/>
                <w:color w:val="auto"/>
              </w:rPr>
            </w:pPr>
            <w:r>
              <w:rPr>
                <w:rFonts w:ascii="Arial" w:cs="Arial" w:eastAsia="Arial" w:hAnsi="Arial"/>
                <w:sz w:val="14"/>
                <w:szCs w:val="14"/>
                <w:b w:val="1"/>
                <w:bCs w:val="1"/>
                <w:color w:val="auto"/>
                <w:w w:val="88"/>
              </w:rPr>
              <w:t>Quoted Prices in</w:t>
            </w:r>
          </w:p>
        </w:tc>
        <w:tc>
          <w:tcPr>
            <w:tcW w:w="1700" w:type="dxa"/>
            <w:vAlign w:val="bottom"/>
            <w:vMerge w:val="restart"/>
          </w:tcPr>
          <w:p>
            <w:pPr>
              <w:jc w:val="center"/>
              <w:ind w:left="327"/>
              <w:spacing w:after="0"/>
              <w:rPr>
                <w:sz w:val="20"/>
                <w:szCs w:val="20"/>
                <w:color w:val="auto"/>
              </w:rPr>
            </w:pPr>
            <w:r>
              <w:rPr>
                <w:rFonts w:ascii="Arial" w:cs="Arial" w:eastAsia="Arial" w:hAnsi="Arial"/>
                <w:sz w:val="14"/>
                <w:szCs w:val="14"/>
                <w:b w:val="1"/>
                <w:bCs w:val="1"/>
                <w:color w:val="auto"/>
                <w:w w:val="90"/>
              </w:rPr>
              <w:t>Significant Other</w:t>
            </w:r>
          </w:p>
        </w:tc>
        <w:tc>
          <w:tcPr>
            <w:tcW w:w="1920" w:type="dxa"/>
            <w:vAlign w:val="bottom"/>
            <w:vMerge w:val="restart"/>
          </w:tcPr>
          <w:p>
            <w:pPr>
              <w:jc w:val="center"/>
              <w:ind w:left="807"/>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jc w:val="center"/>
              <w:ind w:right="248"/>
              <w:spacing w:after="0" w:line="143" w:lineRule="exact"/>
              <w:rPr>
                <w:sz w:val="20"/>
                <w:szCs w:val="20"/>
                <w:color w:val="auto"/>
              </w:rPr>
            </w:pPr>
            <w:r>
              <w:rPr>
                <w:rFonts w:ascii="Arial" w:cs="Arial" w:eastAsia="Arial" w:hAnsi="Arial"/>
                <w:sz w:val="14"/>
                <w:szCs w:val="14"/>
                <w:b w:val="1"/>
                <w:bCs w:val="1"/>
                <w:color w:val="auto"/>
                <w:w w:val="92"/>
              </w:rPr>
              <w:t>Active Markets for</w:t>
            </w:r>
          </w:p>
        </w:tc>
        <w:tc>
          <w:tcPr>
            <w:tcW w:w="170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462"/>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1"/>
                <w:szCs w:val="11"/>
                <w:color w:val="auto"/>
              </w:rPr>
            </w:pPr>
          </w:p>
        </w:tc>
        <w:tc>
          <w:tcPr>
            <w:tcW w:w="1720" w:type="dxa"/>
            <w:vAlign w:val="bottom"/>
          </w:tcPr>
          <w:p>
            <w:pPr>
              <w:jc w:val="center"/>
              <w:ind w:right="248"/>
              <w:spacing w:after="0" w:line="133" w:lineRule="exact"/>
              <w:rPr>
                <w:sz w:val="20"/>
                <w:szCs w:val="20"/>
                <w:color w:val="auto"/>
              </w:rPr>
            </w:pPr>
            <w:r>
              <w:rPr>
                <w:rFonts w:ascii="Arial" w:cs="Arial" w:eastAsia="Arial" w:hAnsi="Arial"/>
                <w:sz w:val="14"/>
                <w:szCs w:val="14"/>
                <w:b w:val="1"/>
                <w:bCs w:val="1"/>
                <w:color w:val="auto"/>
                <w:w w:val="86"/>
              </w:rPr>
              <w:t>Identical Assets</w:t>
            </w:r>
          </w:p>
        </w:tc>
        <w:tc>
          <w:tcPr>
            <w:tcW w:w="1700" w:type="dxa"/>
            <w:vAlign w:val="bottom"/>
          </w:tcPr>
          <w:p>
            <w:pPr>
              <w:jc w:val="center"/>
              <w:ind w:left="307"/>
              <w:spacing w:after="0" w:line="133" w:lineRule="exact"/>
              <w:rPr>
                <w:sz w:val="20"/>
                <w:szCs w:val="20"/>
                <w:color w:val="auto"/>
              </w:rPr>
            </w:pPr>
            <w:r>
              <w:rPr>
                <w:rFonts w:ascii="Arial" w:cs="Arial" w:eastAsia="Arial" w:hAnsi="Arial"/>
                <w:sz w:val="14"/>
                <w:szCs w:val="14"/>
                <w:b w:val="1"/>
                <w:bCs w:val="1"/>
                <w:color w:val="auto"/>
                <w:w w:val="88"/>
              </w:rPr>
              <w:t>Observable Inputs</w:t>
            </w:r>
          </w:p>
        </w:tc>
        <w:tc>
          <w:tcPr>
            <w:tcW w:w="1920" w:type="dxa"/>
            <w:vAlign w:val="bottom"/>
          </w:tcPr>
          <w:p>
            <w:pPr>
              <w:ind w:left="780"/>
              <w:spacing w:after="0" w:line="133" w:lineRule="exact"/>
              <w:rPr>
                <w:sz w:val="20"/>
                <w:szCs w:val="20"/>
                <w:color w:val="auto"/>
              </w:rPr>
            </w:pPr>
            <w:r>
              <w:rPr>
                <w:rFonts w:ascii="Arial" w:cs="Arial" w:eastAsia="Arial" w:hAnsi="Arial"/>
                <w:sz w:val="14"/>
                <w:szCs w:val="14"/>
                <w:b w:val="1"/>
                <w:bCs w:val="1"/>
                <w:color w:val="auto"/>
                <w:w w:val="88"/>
              </w:rPr>
              <w:t>Unobservable Inpu</w:t>
            </w:r>
          </w:p>
        </w:tc>
        <w:tc>
          <w:tcPr>
            <w:tcW w:w="0" w:type="dxa"/>
            <w:vAlign w:val="bottom"/>
          </w:tcPr>
          <w:p>
            <w:pPr>
              <w:spacing w:after="0"/>
              <w:rPr>
                <w:sz w:val="1"/>
                <w:szCs w:val="1"/>
                <w:color w:val="auto"/>
              </w:rPr>
            </w:pPr>
          </w:p>
        </w:tc>
      </w:tr>
      <w:tr>
        <w:trPr>
          <w:trHeight w:val="179"/>
        </w:trPr>
        <w:tc>
          <w:tcPr>
            <w:tcW w:w="3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tcPr>
          <w:p>
            <w:pPr>
              <w:jc w:val="center"/>
              <w:ind w:right="208"/>
              <w:spacing w:after="0"/>
              <w:rPr>
                <w:sz w:val="20"/>
                <w:szCs w:val="20"/>
                <w:color w:val="auto"/>
              </w:rPr>
            </w:pPr>
            <w:r>
              <w:rPr>
                <w:rFonts w:ascii="Arial" w:cs="Arial" w:eastAsia="Arial" w:hAnsi="Arial"/>
                <w:sz w:val="14"/>
                <w:szCs w:val="14"/>
                <w:b w:val="1"/>
                <w:bCs w:val="1"/>
                <w:color w:val="auto"/>
                <w:w w:val="91"/>
              </w:rPr>
              <w:t>(Level 1)</w:t>
            </w:r>
          </w:p>
        </w:tc>
        <w:tc>
          <w:tcPr>
            <w:tcW w:w="1700" w:type="dxa"/>
            <w:vAlign w:val="bottom"/>
          </w:tcPr>
          <w:p>
            <w:pPr>
              <w:jc w:val="center"/>
              <w:ind w:left="347"/>
              <w:spacing w:after="0"/>
              <w:rPr>
                <w:sz w:val="20"/>
                <w:szCs w:val="20"/>
                <w:color w:val="auto"/>
              </w:rPr>
            </w:pPr>
            <w:r>
              <w:rPr>
                <w:rFonts w:ascii="Arial" w:cs="Arial" w:eastAsia="Arial" w:hAnsi="Arial"/>
                <w:sz w:val="14"/>
                <w:szCs w:val="14"/>
                <w:b w:val="1"/>
                <w:bCs w:val="1"/>
                <w:color w:val="auto"/>
                <w:w w:val="91"/>
              </w:rPr>
              <w:t>(Level 2)</w:t>
            </w:r>
          </w:p>
        </w:tc>
        <w:tc>
          <w:tcPr>
            <w:tcW w:w="1920" w:type="dxa"/>
            <w:vAlign w:val="bottom"/>
          </w:tcPr>
          <w:p>
            <w:pPr>
              <w:jc w:val="center"/>
              <w:ind w:left="827"/>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5"/>
        </w:trPr>
        <w:tc>
          <w:tcPr>
            <w:tcW w:w="3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20" w:type="dxa"/>
            <w:vAlign w:val="bottom"/>
            <w:gridSpan w:val="2"/>
          </w:tcPr>
          <w:p>
            <w:pPr>
              <w:jc w:val="right"/>
              <w:ind w:right="887"/>
              <w:spacing w:after="0"/>
              <w:rPr>
                <w:sz w:val="20"/>
                <w:szCs w:val="20"/>
                <w:color w:val="auto"/>
              </w:rPr>
            </w:pPr>
            <w:r>
              <w:rPr>
                <w:rFonts w:ascii="Arial" w:cs="Arial" w:eastAsia="Arial" w:hAnsi="Arial"/>
                <w:sz w:val="14"/>
                <w:szCs w:val="14"/>
                <w:b w:val="1"/>
                <w:bCs w:val="1"/>
                <w:color w:val="auto"/>
              </w:rPr>
              <w:t>(in thousands)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7,869</w:t>
            </w:r>
          </w:p>
        </w:tc>
        <w:tc>
          <w:tcPr>
            <w:tcW w:w="3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ind w:right="8"/>
              <w:spacing w:after="0"/>
              <w:rPr>
                <w:sz w:val="20"/>
                <w:szCs w:val="20"/>
                <w:color w:val="auto"/>
              </w:rPr>
            </w:pPr>
            <w:r>
              <w:rPr>
                <w:rFonts w:ascii="Arial" w:cs="Arial" w:eastAsia="Arial" w:hAnsi="Arial"/>
                <w:sz w:val="17"/>
                <w:szCs w:val="17"/>
                <w:color w:val="auto"/>
              </w:rPr>
              <w:t>7,869</w:t>
            </w:r>
          </w:p>
        </w:tc>
        <w:tc>
          <w:tcPr>
            <w:tcW w:w="1700" w:type="dxa"/>
            <w:vAlign w:val="bottom"/>
            <w:shd w:val="clear" w:color="auto" w:fill="CCEEFF"/>
          </w:tcPr>
          <w:p>
            <w:pPr>
              <w:jc w:val="right"/>
              <w:ind w:right="1447"/>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200" w:firstLine="621"/>
        <w:spacing w:after="0" w:line="293" w:lineRule="auto"/>
        <w:rPr>
          <w:sz w:val="20"/>
          <w:szCs w:val="20"/>
          <w:color w:val="auto"/>
        </w:rPr>
      </w:pPr>
      <w:r>
        <w:rPr>
          <w:rFonts w:ascii="Arial" w:cs="Arial" w:eastAsia="Arial" w:hAnsi="Arial"/>
          <w:sz w:val="16"/>
          <w:szCs w:val="16"/>
          <w:color w:val="auto"/>
        </w:rPr>
        <w:t>At September 30, 2022 and December 31, 2021, cash equivalents of $208.2 million and $7.9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w:t>
      </w:r>
    </w:p>
    <w:p>
      <w:pPr>
        <w:spacing w:after="0" w:line="38" w:lineRule="exact"/>
        <w:rPr>
          <w:sz w:val="20"/>
          <w:szCs w:val="20"/>
          <w:color w:val="auto"/>
        </w:rPr>
      </w:pPr>
    </w:p>
    <w:p>
      <w:pPr>
        <w:ind w:right="220" w:firstLine="621"/>
        <w:spacing w:after="0" w:line="259" w:lineRule="auto"/>
        <w:rPr>
          <w:sz w:val="20"/>
          <w:szCs w:val="20"/>
          <w:color w:val="auto"/>
        </w:rPr>
      </w:pPr>
      <w:r>
        <w:rPr>
          <w:rFonts w:ascii="Arial" w:cs="Arial" w:eastAsia="Arial" w:hAnsi="Arial"/>
          <w:sz w:val="17"/>
          <w:szCs w:val="17"/>
          <w:color w:val="auto"/>
        </w:rPr>
        <w:t>At September 30, 2022 and December 31, 2021, the Company had Convertible Senior Notes and its Term Loan B Facility (as defined in Note 13) included in its balance sheets. The estimated fair value of the Company's Convertible Senior Notes was $304.1 million and $315.5 million as of September 30, 2022 and December 31, 2021, respectively. The estimated fair value of Convertible Senior Notes is based on market rates and the closing trading price of the Convertible Senior Notes as of September 30, 2022 and December 31, 2021 and is classified as Level 2 in the fair value hierarchy. At September 30, 2022, the estimated fair value of the Company's Term Loan B Facility was $343.1 million and at December 31, 2021, the estimated fair value of the Company's Term Loan B Facility approximated the carrying value. The estimated fair value is based on borrowing rates currently available to the Company for financing with similar terms and is classified as Level 2 in the fair value hierarchy.</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transfers between Level 1 and Level 2 fair value measurements during the nine months ended September 30, 2022 and 2021.</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5—Other Balance Sheet Amounts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Accounts payable and accrued expenses included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5"/>
                <w:szCs w:val="15"/>
                <w:color w:val="auto"/>
              </w:rPr>
            </w:pPr>
          </w:p>
        </w:tc>
        <w:tc>
          <w:tcPr>
            <w:tcW w:w="1420" w:type="dxa"/>
            <w:vAlign w:val="bottom"/>
          </w:tcPr>
          <w:p>
            <w:pPr>
              <w:jc w:val="right"/>
              <w:ind w:right="157"/>
              <w:spacing w:after="0"/>
              <w:rPr>
                <w:sz w:val="20"/>
                <w:szCs w:val="20"/>
                <w:color w:val="auto"/>
              </w:rPr>
            </w:pPr>
            <w:r>
              <w:rPr>
                <w:rFonts w:ascii="Arial" w:cs="Arial" w:eastAsia="Arial" w:hAnsi="Arial"/>
                <w:sz w:val="14"/>
                <w:szCs w:val="14"/>
                <w:b w:val="1"/>
                <w:bCs w:val="1"/>
                <w:color w:val="auto"/>
                <w:w w:val="91"/>
              </w:rPr>
              <w:t>December 31, 2021</w:t>
            </w:r>
          </w:p>
        </w:tc>
      </w:tr>
      <w:tr>
        <w:trPr>
          <w:trHeight w:val="25"/>
        </w:trPr>
        <w:tc>
          <w:tcPr>
            <w:tcW w:w="7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179"/>
        </w:trPr>
        <w:tc>
          <w:tcPr>
            <w:tcW w:w="7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gridSpan w:val="4"/>
          </w:tcPr>
          <w:p>
            <w:pPr>
              <w:jc w:val="right"/>
              <w:ind w:right="1137"/>
              <w:spacing w:after="0"/>
              <w:rPr>
                <w:sz w:val="20"/>
                <w:szCs w:val="20"/>
                <w:color w:val="auto"/>
              </w:rPr>
            </w:pPr>
            <w:r>
              <w:rPr>
                <w:rFonts w:ascii="Arial" w:cs="Arial" w:eastAsia="Arial" w:hAnsi="Arial"/>
                <w:sz w:val="14"/>
                <w:szCs w:val="14"/>
                <w:b w:val="1"/>
                <w:bCs w:val="1"/>
                <w:color w:val="auto"/>
              </w:rPr>
              <w:t>(in thousands)</w:t>
            </w:r>
          </w:p>
        </w:tc>
      </w:tr>
      <w:tr>
        <w:trPr>
          <w:trHeight w:val="227"/>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payable—seller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845,460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971,220</w:t>
            </w:r>
          </w:p>
        </w:tc>
      </w:tr>
      <w:tr>
        <w:trPr>
          <w:trHeight w:val="220"/>
        </w:trPr>
        <w:tc>
          <w:tcPr>
            <w:tcW w:w="7960" w:type="dxa"/>
            <w:vAlign w:val="bottom"/>
          </w:tcPr>
          <w:p>
            <w:pPr>
              <w:ind w:left="20"/>
              <w:spacing w:after="0"/>
              <w:rPr>
                <w:sz w:val="20"/>
                <w:szCs w:val="20"/>
                <w:color w:val="auto"/>
              </w:rPr>
            </w:pPr>
            <w:r>
              <w:rPr>
                <w:rFonts w:ascii="Arial" w:cs="Arial" w:eastAsia="Arial" w:hAnsi="Arial"/>
                <w:sz w:val="17"/>
                <w:szCs w:val="17"/>
                <w:color w:val="auto"/>
              </w:rPr>
              <w:t>Accounts payable—trade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27,255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11,904</w:t>
            </w:r>
          </w:p>
        </w:tc>
      </w:tr>
      <w:tr>
        <w:trPr>
          <w:trHeight w:val="220"/>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employee-related payables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16,230</w:t>
            </w:r>
          </w:p>
        </w:tc>
      </w:tr>
      <w:tr>
        <w:trPr>
          <w:trHeight w:val="22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Accrued holdback - indemnification claims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1,602</w:t>
            </w:r>
          </w:p>
        </w:tc>
      </w:tr>
      <w:tr>
        <w:trPr>
          <w:trHeight w:val="238"/>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890,071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1,000,956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right="600" w:firstLine="621"/>
        <w:spacing w:after="0" w:line="283" w:lineRule="auto"/>
        <w:rPr>
          <w:sz w:val="20"/>
          <w:szCs w:val="20"/>
          <w:color w:val="auto"/>
        </w:rPr>
      </w:pPr>
      <w:r>
        <w:rPr>
          <w:rFonts w:ascii="Arial" w:cs="Arial" w:eastAsia="Arial" w:hAnsi="Arial"/>
          <w:sz w:val="17"/>
          <w:szCs w:val="17"/>
          <w:color w:val="auto"/>
        </w:rPr>
        <w:t>Restricted cash was $0.2 million and $0.3 million at September 30, 2022 and December 31, 2021, respectively, which was included within prepaid expenses and other current assets and other assets, non-current.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6—Goodwill, Intangible Assets, and Capitalized Costs Incurred in Cloud Computing Arrangements</w:t>
      </w:r>
    </w:p>
    <w:p>
      <w:pPr>
        <w:spacing w:after="0" w:line="186" w:lineRule="exact"/>
        <w:rPr>
          <w:sz w:val="20"/>
          <w:szCs w:val="20"/>
          <w:color w:val="auto"/>
        </w:rPr>
      </w:pPr>
    </w:p>
    <w:p>
      <w:pPr>
        <w:ind w:right="320" w:firstLine="621"/>
        <w:spacing w:after="0" w:line="283" w:lineRule="auto"/>
        <w:rPr>
          <w:sz w:val="20"/>
          <w:szCs w:val="20"/>
          <w:color w:val="auto"/>
        </w:rPr>
      </w:pPr>
      <w:r>
        <w:rPr>
          <w:rFonts w:ascii="Arial" w:cs="Arial" w:eastAsia="Arial" w:hAnsi="Arial"/>
          <w:sz w:val="17"/>
          <w:szCs w:val="17"/>
          <w:color w:val="auto"/>
        </w:rPr>
        <w:t>The Company's goodwill balance as of September 30, 2022 and December 31, 2021 was $978.2 million and $969.9 million, respectively. The increase during the nine months ended September 30, 2022 was primarily a result of the Carbon Acquisition (see Note 7).</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intangible assets as of September 30, 2022 and December 31, 2021 included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5"/>
                <w:szCs w:val="15"/>
                <w:color w:val="auto"/>
              </w:rPr>
            </w:pPr>
          </w:p>
        </w:tc>
        <w:tc>
          <w:tcPr>
            <w:tcW w:w="1500" w:type="dxa"/>
            <w:vAlign w:val="bottom"/>
          </w:tcPr>
          <w:p>
            <w:pPr>
              <w:jc w:val="right"/>
              <w:ind w:right="195"/>
              <w:spacing w:after="0"/>
              <w:rPr>
                <w:sz w:val="20"/>
                <w:szCs w:val="20"/>
                <w:color w:val="auto"/>
              </w:rPr>
            </w:pPr>
            <w:r>
              <w:rPr>
                <w:rFonts w:ascii="Arial" w:cs="Arial" w:eastAsia="Arial" w:hAnsi="Arial"/>
                <w:sz w:val="14"/>
                <w:szCs w:val="14"/>
                <w:b w:val="1"/>
                <w:bCs w:val="1"/>
                <w:color w:val="auto"/>
                <w:w w:val="95"/>
              </w:rPr>
              <w:t>December 31, 2021</w:t>
            </w:r>
          </w:p>
        </w:tc>
      </w:tr>
      <w:tr>
        <w:trPr>
          <w:trHeight w:val="25"/>
        </w:trPr>
        <w:tc>
          <w:tcPr>
            <w:tcW w:w="7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r>
      <w:tr>
        <w:trPr>
          <w:trHeight w:val="179"/>
        </w:trPr>
        <w:tc>
          <w:tcPr>
            <w:tcW w:w="7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00" w:type="dxa"/>
            <w:vAlign w:val="bottom"/>
            <w:gridSpan w:val="4"/>
          </w:tcPr>
          <w:p>
            <w:pPr>
              <w:jc w:val="right"/>
              <w:ind w:right="1235"/>
              <w:spacing w:after="0"/>
              <w:rPr>
                <w:sz w:val="20"/>
                <w:szCs w:val="20"/>
                <w:color w:val="auto"/>
              </w:rPr>
            </w:pPr>
            <w:r>
              <w:rPr>
                <w:rFonts w:ascii="Arial" w:cs="Arial" w:eastAsia="Arial" w:hAnsi="Arial"/>
                <w:sz w:val="14"/>
                <w:szCs w:val="14"/>
                <w:b w:val="1"/>
                <w:bCs w:val="1"/>
                <w:color w:val="auto"/>
              </w:rPr>
              <w:t>(in thousands)</w:t>
            </w:r>
          </w:p>
        </w:tc>
      </w:tr>
      <w:tr>
        <w:trPr>
          <w:trHeight w:val="227"/>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Amortizable intangible assets: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0"/>
        </w:trPr>
        <w:tc>
          <w:tcPr>
            <w:tcW w:w="7760" w:type="dxa"/>
            <w:vAlign w:val="bottom"/>
          </w:tcPr>
          <w:p>
            <w:pPr>
              <w:ind w:left="340"/>
              <w:spacing w:after="0"/>
              <w:rPr>
                <w:sz w:val="20"/>
                <w:szCs w:val="20"/>
                <w:color w:val="auto"/>
              </w:rPr>
            </w:pPr>
            <w:r>
              <w:rPr>
                <w:rFonts w:ascii="Arial" w:cs="Arial" w:eastAsia="Arial" w:hAnsi="Arial"/>
                <w:sz w:val="17"/>
                <w:szCs w:val="17"/>
                <w:color w:val="auto"/>
              </w:rPr>
              <w:t>Developed technology</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390,136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378,958</w:t>
            </w:r>
          </w:p>
        </w:tc>
      </w:tr>
      <w:tr>
        <w:trPr>
          <w:trHeight w:val="220"/>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Customer relationships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173,950</w:t>
            </w:r>
          </w:p>
        </w:tc>
      </w:tr>
      <w:tr>
        <w:trPr>
          <w:trHeight w:val="220"/>
        </w:trPr>
        <w:tc>
          <w:tcPr>
            <w:tcW w:w="7760" w:type="dxa"/>
            <w:vAlign w:val="bottom"/>
          </w:tcPr>
          <w:p>
            <w:pPr>
              <w:ind w:left="340"/>
              <w:spacing w:after="0"/>
              <w:rPr>
                <w:sz w:val="20"/>
                <w:szCs w:val="20"/>
                <w:color w:val="auto"/>
              </w:rPr>
            </w:pPr>
            <w:r>
              <w:rPr>
                <w:rFonts w:ascii="Arial" w:cs="Arial" w:eastAsia="Arial" w:hAnsi="Arial"/>
                <w:sz w:val="17"/>
                <w:szCs w:val="17"/>
                <w:color w:val="auto"/>
              </w:rPr>
              <w:t>In-process research and development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12,730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14,630</w:t>
            </w:r>
          </w:p>
        </w:tc>
      </w:tr>
      <w:tr>
        <w:trPr>
          <w:trHeight w:val="220"/>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Non-compete agreements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2,270</w:t>
            </w:r>
          </w:p>
        </w:tc>
      </w:tr>
      <w:tr>
        <w:trPr>
          <w:trHeight w:val="220"/>
        </w:trPr>
        <w:tc>
          <w:tcPr>
            <w:tcW w:w="77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Trademarks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1,400</w:t>
            </w:r>
          </w:p>
        </w:tc>
      </w:tr>
      <w:tr>
        <w:trPr>
          <w:trHeight w:val="21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identifiable intangible assets, gross</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540,666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571,208</w:t>
            </w:r>
          </w:p>
        </w:tc>
      </w:tr>
      <w:tr>
        <w:trPr>
          <w:trHeight w:val="200"/>
        </w:trPr>
        <w:tc>
          <w:tcPr>
            <w:tcW w:w="7760" w:type="dxa"/>
            <w:vAlign w:val="bottom"/>
          </w:tcPr>
          <w:p>
            <w:pPr>
              <w:ind w:left="20"/>
              <w:spacing w:after="0"/>
              <w:rPr>
                <w:sz w:val="20"/>
                <w:szCs w:val="20"/>
                <w:color w:val="auto"/>
              </w:rPr>
            </w:pPr>
            <w:r>
              <w:rPr>
                <w:rFonts w:ascii="Arial" w:cs="Arial" w:eastAsia="Arial" w:hAnsi="Arial"/>
                <w:sz w:val="17"/>
                <w:szCs w:val="17"/>
                <w:color w:val="auto"/>
              </w:rPr>
              <w:t>Accumulated amortization—intangible assets:</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0"/>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Developed technology</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(131,493)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(75,850)</w:t>
            </w:r>
          </w:p>
        </w:tc>
      </w:tr>
      <w:tr>
        <w:trPr>
          <w:trHeight w:val="220"/>
        </w:trPr>
        <w:tc>
          <w:tcPr>
            <w:tcW w:w="7760" w:type="dxa"/>
            <w:vAlign w:val="bottom"/>
          </w:tcPr>
          <w:p>
            <w:pPr>
              <w:ind w:left="340"/>
              <w:spacing w:after="0"/>
              <w:rPr>
                <w:sz w:val="20"/>
                <w:szCs w:val="20"/>
                <w:color w:val="auto"/>
              </w:rPr>
            </w:pPr>
            <w:r>
              <w:rPr>
                <w:rFonts w:ascii="Arial" w:cs="Arial" w:eastAsia="Arial" w:hAnsi="Arial"/>
                <w:sz w:val="17"/>
                <w:szCs w:val="17"/>
                <w:color w:val="auto"/>
              </w:rPr>
              <w:t>Customer relationships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(82,648)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(65,702)</w:t>
            </w:r>
          </w:p>
        </w:tc>
      </w:tr>
      <w:tr>
        <w:trPr>
          <w:trHeight w:val="220"/>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In-process research and development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w:t>
            </w:r>
          </w:p>
        </w:tc>
      </w:tr>
      <w:tr>
        <w:trPr>
          <w:trHeight w:val="220"/>
        </w:trPr>
        <w:tc>
          <w:tcPr>
            <w:tcW w:w="7760" w:type="dxa"/>
            <w:vAlign w:val="bottom"/>
          </w:tcPr>
          <w:p>
            <w:pPr>
              <w:ind w:left="340"/>
              <w:spacing w:after="0"/>
              <w:rPr>
                <w:sz w:val="20"/>
                <w:szCs w:val="20"/>
                <w:color w:val="auto"/>
              </w:rPr>
            </w:pPr>
            <w:r>
              <w:rPr>
                <w:rFonts w:ascii="Arial" w:cs="Arial" w:eastAsia="Arial" w:hAnsi="Arial"/>
                <w:sz w:val="17"/>
                <w:szCs w:val="17"/>
                <w:color w:val="auto"/>
              </w:rPr>
              <w:t>Non-compete agreements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(1,197)</w:t>
            </w:r>
          </w:p>
        </w:tc>
      </w:tr>
      <w:tr>
        <w:trPr>
          <w:trHeight w:val="220"/>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Trademarks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w:t>
            </w:r>
          </w:p>
        </w:tc>
      </w:tr>
      <w:tr>
        <w:trPr>
          <w:trHeight w:val="21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accumulated amortization—intangible assets</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(218,119)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(144,593)</w:t>
            </w: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identifiable 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322,547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426,615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Amortization of intangible assets for the three months ended September 30, 2022 and 2021 was $38.1 million and $42.2 million, respectively, and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$115.3 million and $79.3 million for the nine months ended September 30, 2022 and 2021, respectively. During the first quarter of 2022, the Company abandoned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certain in-process research and development projects and technology intangible assets. The abandonment resulted in $3.3 million of impairment costs in the nine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months ended September 30, 2022, which was included within merger, acquisition, and restructuring costs in the condensed consolidated statement of operations.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estimated remaining amortization expense associated with the Company's intangible assets was as follows as of September 30, 2022: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66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Pr>
          <w:p>
            <w:pPr>
              <w:spacing w:after="0"/>
              <w:rPr>
                <w:sz w:val="15"/>
                <w:szCs w:val="15"/>
                <w:color w:val="auto"/>
              </w:rPr>
            </w:pPr>
          </w:p>
        </w:tc>
        <w:tc>
          <w:tcPr>
            <w:tcW w:w="1340" w:type="dxa"/>
            <w:vAlign w:val="bottom"/>
          </w:tcPr>
          <w:p>
            <w:pPr>
              <w:jc w:val="right"/>
              <w:ind w:right="458"/>
              <w:spacing w:after="0"/>
              <w:rPr>
                <w:sz w:val="20"/>
                <w:szCs w:val="20"/>
                <w:color w:val="auto"/>
              </w:rPr>
            </w:pPr>
            <w:r>
              <w:rPr>
                <w:rFonts w:ascii="Arial" w:cs="Arial" w:eastAsia="Arial" w:hAnsi="Arial"/>
                <w:sz w:val="14"/>
                <w:szCs w:val="14"/>
                <w:b w:val="1"/>
                <w:bCs w:val="1"/>
                <w:color w:val="auto"/>
              </w:rPr>
              <w:t>Amount</w:t>
            </w:r>
          </w:p>
        </w:tc>
      </w:tr>
      <w:tr>
        <w:trPr>
          <w:trHeight w:val="25"/>
        </w:trPr>
        <w:tc>
          <w:tcPr>
            <w:tcW w:w="9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79"/>
        </w:trPr>
        <w:tc>
          <w:tcPr>
            <w:tcW w:w="9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298"/>
              <w:spacing w:after="0"/>
              <w:rPr>
                <w:sz w:val="20"/>
                <w:szCs w:val="20"/>
                <w:color w:val="auto"/>
              </w:rPr>
            </w:pPr>
            <w:r>
              <w:rPr>
                <w:rFonts w:ascii="Arial" w:cs="Arial" w:eastAsia="Arial" w:hAnsi="Arial"/>
                <w:sz w:val="14"/>
                <w:szCs w:val="14"/>
                <w:b w:val="1"/>
                <w:bCs w:val="1"/>
                <w:color w:val="auto"/>
                <w:w w:val="97"/>
              </w:rPr>
              <w:t>(in thousands)</w:t>
            </w:r>
          </w:p>
        </w:tc>
      </w:tr>
      <w:tr>
        <w:trPr>
          <w:trHeight w:val="227"/>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2022</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34,369</w:t>
            </w:r>
          </w:p>
        </w:tc>
      </w:tr>
      <w:tr>
        <w:trPr>
          <w:trHeight w:val="220"/>
        </w:trPr>
        <w:tc>
          <w:tcPr>
            <w:tcW w:w="9660" w:type="dxa"/>
            <w:vAlign w:val="bottom"/>
          </w:tcPr>
          <w:p>
            <w:pPr>
              <w:ind w:left="20"/>
              <w:spacing w:after="0"/>
              <w:rPr>
                <w:sz w:val="20"/>
                <w:szCs w:val="20"/>
                <w:color w:val="auto"/>
              </w:rPr>
            </w:pPr>
            <w:r>
              <w:rPr>
                <w:rFonts w:ascii="Arial" w:cs="Arial" w:eastAsia="Arial" w:hAnsi="Arial"/>
                <w:sz w:val="17"/>
                <w:szCs w:val="17"/>
                <w:color w:val="auto"/>
              </w:rPr>
              <w:t>2023</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104,924</w:t>
            </w:r>
          </w:p>
        </w:tc>
      </w:tr>
      <w:tr>
        <w:trPr>
          <w:trHeight w:val="220"/>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87,294</w:t>
            </w:r>
          </w:p>
        </w:tc>
      </w:tr>
      <w:tr>
        <w:trPr>
          <w:trHeight w:val="220"/>
        </w:trPr>
        <w:tc>
          <w:tcPr>
            <w:tcW w:w="9660" w:type="dxa"/>
            <w:vAlign w:val="bottom"/>
          </w:tcPr>
          <w:p>
            <w:pPr>
              <w:ind w:left="20"/>
              <w:spacing w:after="0"/>
              <w:rPr>
                <w:sz w:val="20"/>
                <w:szCs w:val="20"/>
                <w:color w:val="auto"/>
              </w:rPr>
            </w:pPr>
            <w:r>
              <w:rPr>
                <w:rFonts w:ascii="Arial" w:cs="Arial" w:eastAsia="Arial" w:hAnsi="Arial"/>
                <w:sz w:val="17"/>
                <w:szCs w:val="17"/>
                <w:color w:val="auto"/>
              </w:rPr>
              <w:t>2025</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70,834</w:t>
            </w:r>
          </w:p>
        </w:tc>
      </w:tr>
      <w:tr>
        <w:trPr>
          <w:trHeight w:val="220"/>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24,695</w:t>
            </w:r>
          </w:p>
        </w:tc>
      </w:tr>
      <w:tr>
        <w:trPr>
          <w:trHeight w:val="22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w:t>
            </w:r>
          </w:p>
        </w:tc>
      </w:tr>
      <w:tr>
        <w:trPr>
          <w:trHeight w:val="23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322,547</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right="20" w:firstLine="621"/>
        <w:spacing w:after="0" w:line="261" w:lineRule="auto"/>
        <w:rPr>
          <w:sz w:val="20"/>
          <w:szCs w:val="20"/>
          <w:color w:val="auto"/>
        </w:rPr>
      </w:pPr>
      <w:r>
        <w:rPr>
          <w:rFonts w:ascii="Arial" w:cs="Arial" w:eastAsia="Arial" w:hAnsi="Arial"/>
          <w:sz w:val="17"/>
          <w:szCs w:val="17"/>
          <w:color w:val="auto"/>
        </w:rPr>
        <w:t>The Company capitalizes costs related to arrangements for infrastructure as a service, platform as a service, and software as a service. As of September 30, 2022, $0.8 million of capitalized costs associated with these arrangements was included within prepaid expenses and other current assets and $0.7 million was included within other assets, non-current. As of December 31, 2021, $0.5 million of capitalized costs associated with these arrangements was included within prepaid expenses and other current assets and $0.7 million was included within other assets, non-current. The amortization of these agreements was immaterial for the three and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Note 7—Business Combinations</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2021 Acquisition—SpotX</w:t>
      </w:r>
    </w:p>
    <w:p>
      <w:pPr>
        <w:spacing w:after="0" w:line="108" w:lineRule="exact"/>
        <w:rPr>
          <w:sz w:val="20"/>
          <w:szCs w:val="20"/>
          <w:color w:val="auto"/>
        </w:rPr>
      </w:pPr>
    </w:p>
    <w:p>
      <w:pPr>
        <w:ind w:firstLine="621"/>
        <w:spacing w:after="0" w:line="256" w:lineRule="auto"/>
        <w:rPr>
          <w:sz w:val="20"/>
          <w:szCs w:val="20"/>
          <w:color w:val="auto"/>
        </w:rPr>
      </w:pPr>
      <w:r>
        <w:rPr>
          <w:rFonts w:ascii="Arial" w:cs="Arial" w:eastAsia="Arial" w:hAnsi="Arial"/>
          <w:sz w:val="17"/>
          <w:szCs w:val="17"/>
          <w:color w:val="auto"/>
        </w:rPr>
        <w:t>On April 30, 2021, the Company completed the SpotX Acquisition, pursuant to a Stock Purchase Agreement, dated as of February 4, 2021 (the "Purchase Agreement"), by and between the Company and RTL US Holdings, Inc. ("RTL"). The initial purchase price for the SpotX Acquisition was $560 million in cash ("Cash Consideration") and 14,000,000 shares of the Company's common stock. Per the terms of the Purchase Agreement, at the completion of the Company’s offering of its Convertible Senior Notes, RTL elected to increase the Cash Consideration by an amount equal to 20% of the gross proceeds of the Convertible Senior Notes (which amount was equal to $80 million) and to reduce the number of shares of common stock it would otherwise receive by a number of shares of common stock equal to 20% of the gross proceeds of the proposed offering of notes ($80 million) divided by the closing price of a share of our common stock on the trading day immediately prior to the date of pricing of the proposed offering of notes ($49.21). As a result of this election, the adjusted purchase price was $1.1 billion, prior to customary working capital adjustments and other adjustments, consisting of $640.0 million in cash plus 12,374,315 shares of common stock (based on the fair value of the Company's common stock on April 30, 2021). The Cash Consideration was subject to customary working capital and other adjustments. The working capital was approximately $65.2 million, including cash balances acquired and other working capital adjustments, resulting in a total purchase price of $1.2 billion. The Company financed the Cash Consideration through borrowings under the Term Loan B Facility and the Convertible Senior Notes (Note 13).</w:t>
      </w:r>
    </w:p>
    <w:p>
      <w:pPr>
        <w:spacing w:after="0" w:line="59" w:lineRule="exact"/>
        <w:rPr>
          <w:sz w:val="20"/>
          <w:szCs w:val="20"/>
          <w:color w:val="auto"/>
        </w:rPr>
      </w:pPr>
    </w:p>
    <w:p>
      <w:pPr>
        <w:ind w:right="20" w:firstLine="621"/>
        <w:spacing w:after="0" w:line="277" w:lineRule="auto"/>
        <w:rPr>
          <w:sz w:val="20"/>
          <w:szCs w:val="20"/>
          <w:color w:val="auto"/>
        </w:rPr>
      </w:pPr>
      <w:r>
        <w:rPr>
          <w:rFonts w:ascii="Arial" w:cs="Arial" w:eastAsia="Arial" w:hAnsi="Arial"/>
          <w:sz w:val="16"/>
          <w:szCs w:val="16"/>
          <w:color w:val="auto"/>
        </w:rPr>
        <w:t>In accordance with ASC 805, the Company recorded the acquisition based on the fair value of the consideration transferred and then allocated the purchase price to the identifiable assets acquired and liabilities assumed based on their respective fair values as of the acquisition date. The excess of the value of consideration transferred over the aggregate fair value of those net assets was recorded as goodwill. Any identified definite lived intangible assets will be amortized over their estimated useful lives and any identified intangible assets with indefinite useful lives and goodwill will not be amortized but will be tested for impairment at least annually. All intangible assets and goodwill will be tested for impairment when certain indicators are present.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53" w:lineRule="exact"/>
        <w:rPr>
          <w:sz w:val="20"/>
          <w:szCs w:val="20"/>
          <w:color w:val="auto"/>
        </w:rPr>
      </w:pPr>
    </w:p>
    <w:p>
      <w:pPr>
        <w:ind w:right="180" w:firstLine="621"/>
        <w:spacing w:after="0" w:line="281" w:lineRule="auto"/>
        <w:rPr>
          <w:sz w:val="20"/>
          <w:szCs w:val="20"/>
          <w:color w:val="auto"/>
        </w:rPr>
      </w:pPr>
      <w:r>
        <w:rPr>
          <w:rFonts w:ascii="Arial" w:cs="Arial" w:eastAsia="Arial" w:hAnsi="Arial"/>
          <w:sz w:val="16"/>
          <w:szCs w:val="16"/>
          <w:color w:val="auto"/>
        </w:rPr>
        <w:t>For purposes of measuring the estimated fair value, where applicable, of the assets acquired and the liabilities assumed, the Company has applied the guidance in ASC 820, Fair Value Measurement, which establishes a framework for measuring fair value. In accordance with ASC 820, fair value is an exit price and is defined as "the price that would be received to sell an asset or paid to transfer a liability in an orderly transaction between market participants at the measurement date." Under ASC 805, acquisition-related transaction costs and acquisition-related restructuring charges are not included as components of consideration transferred but are accounted for as expenses in the period in which the costs are incurred.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780" w:type="dxa"/>
            <w:vAlign w:val="bottom"/>
          </w:tcPr>
          <w:p>
            <w:pPr>
              <w:ind w:left="620"/>
              <w:spacing w:after="0"/>
              <w:rPr>
                <w:sz w:val="20"/>
                <w:szCs w:val="20"/>
                <w:color w:val="auto"/>
              </w:rPr>
            </w:pPr>
            <w:r>
              <w:rPr>
                <w:rFonts w:ascii="Arial" w:cs="Arial" w:eastAsia="Arial" w:hAnsi="Arial"/>
                <w:sz w:val="17"/>
                <w:szCs w:val="17"/>
                <w:color w:val="auto"/>
              </w:rPr>
              <w:t>The following table summarizes the total purchase consideration (in thousands):</w:t>
            </w:r>
          </w:p>
        </w:tc>
        <w:tc>
          <w:tcPr>
            <w:tcW w:w="6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03"/>
        </w:trPr>
        <w:tc>
          <w:tcPr>
            <w:tcW w:w="8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20"/>
        </w:trPr>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Consideration</w:t>
            </w: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640,000</w:t>
            </w:r>
          </w:p>
        </w:tc>
      </w:tr>
      <w:tr>
        <w:trPr>
          <w:trHeight w:val="220"/>
        </w:trPr>
        <w:tc>
          <w:tcPr>
            <w:tcW w:w="8780" w:type="dxa"/>
            <w:vAlign w:val="bottom"/>
          </w:tcPr>
          <w:p>
            <w:pPr>
              <w:ind w:left="20"/>
              <w:spacing w:after="0"/>
              <w:rPr>
                <w:sz w:val="20"/>
                <w:szCs w:val="20"/>
                <w:color w:val="auto"/>
              </w:rPr>
            </w:pPr>
            <w:r>
              <w:rPr>
                <w:rFonts w:ascii="Arial" w:cs="Arial" w:eastAsia="Arial" w:hAnsi="Arial"/>
                <w:sz w:val="17"/>
                <w:szCs w:val="17"/>
                <w:color w:val="auto"/>
              </w:rPr>
              <w:t>Stock Consideration (Fair Value of Shares of Magnite common stock)</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495,591</w:t>
            </w:r>
          </w:p>
        </w:tc>
      </w:tr>
      <w:tr>
        <w:trPr>
          <w:trHeight w:val="220"/>
        </w:trPr>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 adjustment</w:t>
            </w:r>
          </w:p>
        </w:tc>
        <w:tc>
          <w:tcPr>
            <w:tcW w:w="6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65,152</w:t>
            </w:r>
          </w:p>
        </w:tc>
      </w:tr>
      <w:tr>
        <w:trPr>
          <w:trHeight w:val="213"/>
        </w:trPr>
        <w:tc>
          <w:tcPr>
            <w:tcW w:w="8780" w:type="dxa"/>
            <w:vAlign w:val="bottom"/>
          </w:tcPr>
          <w:p>
            <w:pPr>
              <w:ind w:left="220"/>
              <w:spacing w:after="0"/>
              <w:rPr>
                <w:sz w:val="20"/>
                <w:szCs w:val="20"/>
                <w:color w:val="auto"/>
              </w:rPr>
            </w:pPr>
            <w:r>
              <w:rPr>
                <w:rFonts w:ascii="Arial" w:cs="Arial" w:eastAsia="Arial" w:hAnsi="Arial"/>
                <w:sz w:val="17"/>
                <w:szCs w:val="17"/>
                <w:color w:val="auto"/>
              </w:rPr>
              <w:t>Total purchase consideration</w:t>
            </w:r>
          </w:p>
        </w:tc>
        <w:tc>
          <w:tcPr>
            <w:tcW w:w="6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1,200,743</w:t>
            </w:r>
          </w:p>
        </w:tc>
      </w:tr>
      <w:tr>
        <w:trPr>
          <w:trHeight w:val="20"/>
        </w:trPr>
        <w:tc>
          <w:tcPr>
            <w:tcW w:w="87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right="260" w:firstLine="621"/>
        <w:spacing w:after="0" w:line="320" w:lineRule="auto"/>
        <w:rPr>
          <w:sz w:val="20"/>
          <w:szCs w:val="20"/>
          <w:color w:val="auto"/>
        </w:rPr>
      </w:pPr>
      <w:r>
        <w:rPr>
          <w:rFonts w:ascii="Arial" w:cs="Arial" w:eastAsia="Arial" w:hAnsi="Arial"/>
          <w:sz w:val="15"/>
          <w:szCs w:val="15"/>
          <w:color w:val="auto"/>
        </w:rPr>
        <w:t>The purchase consideration for the SpotX Acquisition included 12,374,315 shares of the Company's common stock with a fair value of approximately $495.6 million, based on the close price of the Company's common stock at closing on April 30, 2021, which was $40.05 per share, and working capital adjustment of $65.2 million, mainly consisting of cash balances acquired on the date of the SpotX Acquisition and other opening balance sheet adjustments.</w:t>
      </w:r>
    </w:p>
    <w:p>
      <w:pPr>
        <w:spacing w:after="0" w:line="112" w:lineRule="exact"/>
        <w:rPr>
          <w:sz w:val="20"/>
          <w:szCs w:val="20"/>
          <w:color w:val="auto"/>
        </w:rPr>
      </w:pPr>
    </w:p>
    <w:p>
      <w:pPr>
        <w:ind w:right="120" w:firstLine="621"/>
        <w:spacing w:after="0" w:line="293" w:lineRule="auto"/>
        <w:rPr>
          <w:sz w:val="20"/>
          <w:szCs w:val="20"/>
          <w:color w:val="auto"/>
        </w:rPr>
      </w:pPr>
      <w:r>
        <w:rPr>
          <w:rFonts w:ascii="Arial" w:cs="Arial" w:eastAsia="Arial" w:hAnsi="Arial"/>
          <w:sz w:val="16"/>
          <w:szCs w:val="16"/>
          <w:color w:val="auto"/>
        </w:rPr>
        <w:t>During the three months ended March 31, 2022, the Company adjusted the preliminary purchase price allocation for SpotX based on updated fair values associated with the acquired assets and liabilities. Adjustments impacted acquisition related accounts payable and tax accruals. The Company finalized the purchase price allocation of SpotX in the second quarter of 2022, resulting in no additional changes to the purchase price allocation.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firstLine="621"/>
        <w:spacing w:after="0" w:line="283" w:lineRule="auto"/>
        <w:rPr>
          <w:sz w:val="20"/>
          <w:szCs w:val="20"/>
          <w:color w:val="auto"/>
        </w:rPr>
      </w:pPr>
      <w:r>
        <w:rPr>
          <w:rFonts w:ascii="Arial" w:cs="Arial" w:eastAsia="Arial" w:hAnsi="Arial"/>
          <w:sz w:val="17"/>
          <w:szCs w:val="17"/>
          <w:color w:val="auto"/>
        </w:rPr>
        <w:t>The fair value of the purchase price was allocated to the identifiable assets acquired and liabilities assumed based upon their estimated fair values as of the date of the SpotX Acquisition as set forth below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81,967</w:t>
            </w:r>
          </w:p>
        </w:tc>
      </w:tr>
      <w:tr>
        <w:trPr>
          <w:trHeight w:val="220"/>
        </w:trPr>
        <w:tc>
          <w:tcPr>
            <w:tcW w:w="882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199</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199,649</w:t>
            </w:r>
          </w:p>
        </w:tc>
      </w:tr>
      <w:tr>
        <w:trPr>
          <w:trHeight w:val="220"/>
        </w:trPr>
        <w:tc>
          <w:tcPr>
            <w:tcW w:w="8820" w:type="dxa"/>
            <w:vAlign w:val="bottom"/>
          </w:tcPr>
          <w:p>
            <w:pPr>
              <w:ind w:left="20"/>
              <w:spacing w:after="0"/>
              <w:rPr>
                <w:sz w:val="20"/>
                <w:szCs w:val="20"/>
                <w:color w:val="auto"/>
              </w:rPr>
            </w:pPr>
            <w:r>
              <w:rPr>
                <w:rFonts w:ascii="Arial" w:cs="Arial" w:eastAsia="Arial" w:hAnsi="Arial"/>
                <w:sz w:val="17"/>
                <w:szCs w:val="17"/>
                <w:color w:val="auto"/>
              </w:rPr>
              <w:t>Prepaid and other assets, current</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12,308</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Fixed assets</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6,823</w:t>
            </w:r>
          </w:p>
        </w:tc>
      </w:tr>
      <w:tr>
        <w:trPr>
          <w:trHeight w:val="220"/>
        </w:trPr>
        <w:tc>
          <w:tcPr>
            <w:tcW w:w="882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429,600</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lease asset</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10,055</w:t>
            </w:r>
          </w:p>
        </w:tc>
      </w:tr>
      <w:tr>
        <w:trPr>
          <w:trHeight w:val="220"/>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6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782,719</w:t>
            </w:r>
          </w:p>
        </w:tc>
      </w:tr>
      <w:tr>
        <w:trPr>
          <w:trHeight w:val="213"/>
        </w:trPr>
        <w:tc>
          <w:tcPr>
            <w:tcW w:w="8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assets to be acquired</w:t>
            </w: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1,523,320</w:t>
            </w:r>
          </w:p>
        </w:tc>
      </w:tr>
      <w:tr>
        <w:trPr>
          <w:trHeight w:val="220"/>
        </w:trPr>
        <w:tc>
          <w:tcPr>
            <w:tcW w:w="8820" w:type="dxa"/>
            <w:vAlign w:val="bottom"/>
          </w:tcPr>
          <w:p>
            <w:pPr>
              <w:ind w:left="20"/>
              <w:spacing w:after="0"/>
              <w:rPr>
                <w:sz w:val="20"/>
                <w:szCs w:val="20"/>
                <w:color w:val="auto"/>
              </w:rPr>
            </w:pPr>
            <w:r>
              <w:rPr>
                <w:rFonts w:ascii="Arial" w:cs="Arial" w:eastAsia="Arial" w:hAnsi="Arial"/>
                <w:sz w:val="17"/>
                <w:szCs w:val="17"/>
                <w:color w:val="auto"/>
              </w:rPr>
              <w:t>Accounts payable and accrued expenses</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205,822</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w:t>
            </w:r>
          </w:p>
        </w:tc>
      </w:tr>
      <w:tr>
        <w:trPr>
          <w:trHeight w:val="220"/>
        </w:trPr>
        <w:tc>
          <w:tcPr>
            <w:tcW w:w="8820" w:type="dxa"/>
            <w:vAlign w:val="bottom"/>
          </w:tcPr>
          <w:p>
            <w:pPr>
              <w:ind w:left="20"/>
              <w:spacing w:after="0"/>
              <w:rPr>
                <w:sz w:val="20"/>
                <w:szCs w:val="20"/>
                <w:color w:val="auto"/>
              </w:rPr>
            </w:pPr>
            <w:r>
              <w:rPr>
                <w:rFonts w:ascii="Arial" w:cs="Arial" w:eastAsia="Arial" w:hAnsi="Arial"/>
                <w:sz w:val="17"/>
                <w:szCs w:val="17"/>
                <w:color w:val="auto"/>
              </w:rPr>
              <w:t>Lease liabilities</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12,625</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liability, net</w:t>
            </w:r>
          </w:p>
        </w:tc>
        <w:tc>
          <w:tcPr>
            <w:tcW w:w="6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103,039</w:t>
            </w:r>
          </w:p>
        </w:tc>
      </w:tr>
      <w:tr>
        <w:trPr>
          <w:trHeight w:val="213"/>
        </w:trPr>
        <w:tc>
          <w:tcPr>
            <w:tcW w:w="88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liabilities to be assumed</w:t>
            </w:r>
          </w:p>
        </w:tc>
        <w:tc>
          <w:tcPr>
            <w:tcW w:w="6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322,577</w:t>
            </w:r>
          </w:p>
        </w:tc>
      </w:tr>
      <w:tr>
        <w:trPr>
          <w:trHeight w:val="23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purchase price</w:t>
            </w: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1,200,743</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firstLine="621"/>
        <w:spacing w:after="0" w:line="281" w:lineRule="auto"/>
        <w:rPr>
          <w:sz w:val="20"/>
          <w:szCs w:val="20"/>
          <w:color w:val="auto"/>
        </w:rPr>
      </w:pPr>
      <w:r>
        <w:rPr>
          <w:rFonts w:ascii="Arial" w:cs="Arial" w:eastAsia="Arial" w:hAnsi="Arial"/>
          <w:sz w:val="16"/>
          <w:szCs w:val="16"/>
          <w:color w:val="auto"/>
        </w:rPr>
        <w:t>The Company believes the amount of goodwill resulting from the purchase price allocation is primarily attributable to expected synergies from the assembled workforce, an increase in development capabilities, increased offerings to customers, and enhanced opportunities for growth and innovation. Goodwill will not be amortized but instead will be tested for impairment at least annually or more frequently if certain indicators of impairment are present. In the event that goodwill has become impaired, the Company will record an expense for the amount impaired during the quarter in which the determination is made. The acquired intangibles and goodwill resulting from the SpotX Acquisition are not amortizable for tax purposes.</w:t>
      </w:r>
    </w:p>
    <w:p>
      <w:pPr>
        <w:spacing w:after="0" w:line="126" w:lineRule="exact"/>
        <w:rPr>
          <w:sz w:val="20"/>
          <w:szCs w:val="20"/>
          <w:color w:val="auto"/>
        </w:rPr>
      </w:pPr>
    </w:p>
    <w:p>
      <w:pPr>
        <w:ind w:right="320" w:firstLine="621"/>
        <w:spacing w:after="0" w:line="283" w:lineRule="auto"/>
        <w:rPr>
          <w:sz w:val="20"/>
          <w:szCs w:val="20"/>
          <w:color w:val="auto"/>
        </w:rPr>
      </w:pPr>
      <w:r>
        <w:rPr>
          <w:rFonts w:ascii="Arial" w:cs="Arial" w:eastAsia="Arial" w:hAnsi="Arial"/>
          <w:sz w:val="17"/>
          <w:szCs w:val="17"/>
          <w:color w:val="auto"/>
        </w:rPr>
        <w:t>The following table summarizes the components of the intangible assets and estimated useful lives as of the date of the SpotX Acquisition (dollars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 Useful Life</w:t>
            </w:r>
          </w:p>
        </w:tc>
      </w:tr>
      <w:tr>
        <w:trPr>
          <w:trHeight w:val="25"/>
        </w:trPr>
        <w:tc>
          <w:tcPr>
            <w:tcW w:w="7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0"/>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Technology</w:t>
            </w:r>
          </w:p>
        </w:tc>
        <w:tc>
          <w:tcPr>
            <w:tcW w:w="5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280,400</w:t>
            </w: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5 years</w:t>
            </w:r>
          </w:p>
        </w:tc>
      </w:tr>
      <w:tr>
        <w:trPr>
          <w:trHeight w:val="220"/>
        </w:trPr>
        <w:tc>
          <w:tcPr>
            <w:tcW w:w="720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130,300</w:t>
            </w:r>
          </w:p>
        </w:tc>
        <w:tc>
          <w:tcPr>
            <w:tcW w:w="1660" w:type="dxa"/>
            <w:vAlign w:val="bottom"/>
          </w:tcPr>
          <w:p>
            <w:pPr>
              <w:jc w:val="center"/>
              <w:spacing w:after="0"/>
              <w:rPr>
                <w:sz w:val="20"/>
                <w:szCs w:val="20"/>
                <w:color w:val="auto"/>
              </w:rPr>
            </w:pPr>
            <w:r>
              <w:rPr>
                <w:rFonts w:ascii="Arial" w:cs="Arial" w:eastAsia="Arial" w:hAnsi="Arial"/>
                <w:sz w:val="17"/>
                <w:szCs w:val="17"/>
                <w:color w:val="auto"/>
                <w:w w:val="90"/>
              </w:rPr>
              <w:t>2 to 4 years</w:t>
            </w:r>
          </w:p>
        </w:tc>
      </w:tr>
      <w:tr>
        <w:trPr>
          <w:trHeight w:val="220"/>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Backlog</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11,100</w:t>
            </w: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&lt;1 year</w:t>
            </w:r>
          </w:p>
        </w:tc>
      </w:tr>
      <w:tr>
        <w:trPr>
          <w:trHeight w:val="220"/>
        </w:trPr>
        <w:tc>
          <w:tcPr>
            <w:tcW w:w="7200" w:type="dxa"/>
            <w:vAlign w:val="bottom"/>
          </w:tcPr>
          <w:p>
            <w:pPr>
              <w:ind w:left="20"/>
              <w:spacing w:after="0"/>
              <w:rPr>
                <w:sz w:val="20"/>
                <w:szCs w:val="20"/>
                <w:color w:val="auto"/>
              </w:rPr>
            </w:pPr>
            <w:r>
              <w:rPr>
                <w:rFonts w:ascii="Arial" w:cs="Arial" w:eastAsia="Arial" w:hAnsi="Arial"/>
                <w:sz w:val="17"/>
                <w:szCs w:val="17"/>
                <w:color w:val="auto"/>
              </w:rPr>
              <w:t>In-process research and development</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5,800</w:t>
            </w: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3 years*</w:t>
            </w:r>
          </w:p>
        </w:tc>
      </w:tr>
      <w:tr>
        <w:trPr>
          <w:trHeight w:val="220"/>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 year</w:t>
            </w:r>
          </w:p>
        </w:tc>
      </w:tr>
      <w:tr>
        <w:trPr>
          <w:trHeight w:val="22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Trademarks</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w:t>
            </w:r>
          </w:p>
        </w:tc>
        <w:tc>
          <w:tcPr>
            <w:tcW w:w="16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0"/>
              </w:rPr>
              <w:t>&lt;1 year</w:t>
            </w:r>
          </w:p>
        </w:tc>
      </w:tr>
      <w:tr>
        <w:trPr>
          <w:trHeight w:val="21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intangible assets acquired</w:t>
            </w: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429,600</w:t>
            </w:r>
          </w:p>
        </w:tc>
        <w:tc>
          <w:tcPr>
            <w:tcW w:w="1660" w:type="dxa"/>
            <w:vAlign w:val="bottom"/>
            <w:tcBorders>
              <w:bottom w:val="single" w:sz="8" w:color="CCEEFF"/>
            </w:tcBorders>
            <w:shd w:val="clear" w:color="auto" w:fill="CCEEFF"/>
          </w:tcPr>
          <w:p>
            <w:pPr>
              <w:spacing w:after="0"/>
              <w:rPr>
                <w:sz w:val="19"/>
                <w:szCs w:val="19"/>
                <w:color w:val="auto"/>
              </w:rPr>
            </w:pPr>
          </w:p>
        </w:tc>
      </w:tr>
    </w:tbl>
    <w:p>
      <w:pPr>
        <w:spacing w:after="0" w:line="1" w:lineRule="exact"/>
        <w:rPr>
          <w:sz w:val="20"/>
          <w:szCs w:val="20"/>
          <w:color w:val="auto"/>
        </w:rPr>
      </w:pPr>
    </w:p>
    <w:p>
      <w:pPr>
        <w:ind w:left="20" w:right="1080" w:firstLine="1"/>
        <w:spacing w:after="0" w:line="238" w:lineRule="auto"/>
        <w:tabs>
          <w:tab w:leader="none" w:pos="149" w:val="left"/>
        </w:tabs>
        <w:numPr>
          <w:ilvl w:val="0"/>
          <w:numId w:val="6"/>
        </w:numPr>
        <w:rPr>
          <w:rFonts w:ascii="Arial" w:cs="Arial" w:eastAsia="Arial" w:hAnsi="Arial"/>
          <w:sz w:val="17"/>
          <w:szCs w:val="17"/>
          <w:color w:val="auto"/>
        </w:rPr>
      </w:pPr>
      <w:r>
        <w:rPr>
          <w:rFonts w:ascii="Arial" w:cs="Arial" w:eastAsia="Arial" w:hAnsi="Arial"/>
          <w:sz w:val="17"/>
          <w:szCs w:val="17"/>
          <w:color w:val="auto"/>
        </w:rPr>
        <w:t>In-process research and development consists of six projects with a weighted-average useful life of 3 years. Amortization begins once associated projects are completed and it is determined the projects have alternative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-237490</wp:posOffset>
            </wp:positionV>
            <wp:extent cx="10598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239" w:lineRule="exact"/>
        <w:rPr>
          <w:sz w:val="20"/>
          <w:szCs w:val="20"/>
          <w:color w:val="auto"/>
        </w:rPr>
      </w:pPr>
    </w:p>
    <w:p>
      <w:pPr>
        <w:ind w:right="500" w:firstLine="621"/>
        <w:spacing w:after="0" w:line="320" w:lineRule="auto"/>
        <w:rPr>
          <w:sz w:val="20"/>
          <w:szCs w:val="20"/>
          <w:color w:val="auto"/>
        </w:rPr>
      </w:pPr>
      <w:r>
        <w:rPr>
          <w:rFonts w:ascii="Arial" w:cs="Arial" w:eastAsia="Arial" w:hAnsi="Arial"/>
          <w:sz w:val="15"/>
          <w:szCs w:val="15"/>
          <w:color w:val="auto"/>
        </w:rPr>
        <w:t>The fair value of the acquired technology and in-process research and development was valued using the Excess Earnings Method. This methodology included allocating future revenue projections to the existing technologies and applying decay rates and appropriate discount rates that reflect the respective intangible asset's relative risk profile when compared to other intangible assets as well as the discount rate for the overall business.</w:t>
      </w:r>
    </w:p>
    <w:p>
      <w:pPr>
        <w:spacing w:after="0" w:line="99" w:lineRule="exact"/>
        <w:rPr>
          <w:sz w:val="20"/>
          <w:szCs w:val="20"/>
          <w:color w:val="auto"/>
        </w:rPr>
      </w:pPr>
    </w:p>
    <w:p>
      <w:pPr>
        <w:ind w:right="320" w:firstLine="621"/>
        <w:spacing w:after="0" w:line="209" w:lineRule="exact"/>
        <w:rPr>
          <w:sz w:val="20"/>
          <w:szCs w:val="20"/>
          <w:color w:val="auto"/>
        </w:rPr>
      </w:pPr>
      <w:r>
        <w:rPr>
          <w:rFonts w:ascii="Arial" w:cs="Arial" w:eastAsia="Arial" w:hAnsi="Arial"/>
          <w:sz w:val="17"/>
          <w:szCs w:val="17"/>
          <w:color w:val="auto"/>
        </w:rPr>
        <w:t>The Company used the Loss</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Revenue and Income Method in its valuation of the existing customer relationships and non-compete agreements. To the extent that future cash flows of the business would be negatively affected in the absence of these relationships and non-compete agreements, they would be deemed to have economic value. This method attempts to quantify the scenario whereby the owner loses the right to the intangible asset and the resulting losses of revenue and income. Under this analysis, the value of the cash flows with the intangible asset is compared to the value of the cash flows without the intangible asset and the difference represents the value of the intangible asset. This methodology included applying a discount rate and the expected timing it would take to further enhance customer relationships.</w:t>
      </w:r>
    </w:p>
    <w:p>
      <w:pPr>
        <w:spacing w:after="0" w:line="172" w:lineRule="exact"/>
        <w:rPr>
          <w:sz w:val="20"/>
          <w:szCs w:val="20"/>
          <w:color w:val="auto"/>
        </w:rPr>
      </w:pPr>
    </w:p>
    <w:p>
      <w:pPr>
        <w:jc w:val="both"/>
        <w:ind w:right="340" w:firstLine="621"/>
        <w:spacing w:after="0" w:line="268" w:lineRule="auto"/>
        <w:rPr>
          <w:sz w:val="20"/>
          <w:szCs w:val="20"/>
          <w:color w:val="auto"/>
        </w:rPr>
      </w:pPr>
      <w:r>
        <w:rPr>
          <w:rFonts w:ascii="Arial" w:cs="Arial" w:eastAsia="Arial" w:hAnsi="Arial"/>
          <w:sz w:val="17"/>
          <w:szCs w:val="17"/>
          <w:color w:val="auto"/>
        </w:rPr>
        <w:t>The fair value of the backlog was based on the Excess Earnings Method, taking into consideration the existing contracts as of the date of the SpotX Acquisition and the respective cost to complete the servicing of the existing agreements. The resulting stream of after tax earnings were discounted to present value by applying an appropriate discount rate for the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460"/>
        <w:spacing w:after="0" w:line="283" w:lineRule="auto"/>
        <w:rPr>
          <w:sz w:val="20"/>
          <w:szCs w:val="20"/>
          <w:color w:val="auto"/>
        </w:rPr>
      </w:pPr>
      <w:r>
        <w:rPr>
          <w:rFonts w:ascii="Arial" w:cs="Arial" w:eastAsia="Arial" w:hAnsi="Arial"/>
          <w:sz w:val="17"/>
          <w:szCs w:val="17"/>
          <w:color w:val="auto"/>
        </w:rPr>
        <w:t>asset. The discount rate was selected based on the intangible asset’s relative risk profile when compared to the other intangible assets as well as the discount rate for the overall business.</w:t>
      </w:r>
    </w:p>
    <w:p>
      <w:pPr>
        <w:spacing w:after="0" w:line="121" w:lineRule="exact"/>
        <w:rPr>
          <w:sz w:val="20"/>
          <w:szCs w:val="20"/>
          <w:color w:val="auto"/>
        </w:rPr>
      </w:pPr>
    </w:p>
    <w:p>
      <w:pPr>
        <w:ind w:right="360" w:firstLine="621"/>
        <w:spacing w:after="0" w:line="211" w:lineRule="exact"/>
        <w:rPr>
          <w:sz w:val="20"/>
          <w:szCs w:val="20"/>
          <w:color w:val="auto"/>
        </w:rPr>
      </w:pPr>
      <w:r>
        <w:rPr>
          <w:rFonts w:ascii="Arial" w:cs="Arial" w:eastAsia="Arial" w:hAnsi="Arial"/>
          <w:sz w:val="16"/>
          <w:szCs w:val="16"/>
          <w:color w:val="auto"/>
        </w:rPr>
        <w:t>The fair value of the trademarks was based on the Income Approach, specifically the Relief</w:t>
      </w:r>
      <w:r>
        <w:rPr>
          <w:rFonts w:ascii="MS PGothic" w:cs="MS PGothic" w:eastAsia="MS PGothic" w:hAnsi="MS PGothic"/>
          <w:sz w:val="16"/>
          <w:szCs w:val="16"/>
          <w:color w:val="auto"/>
        </w:rPr>
        <w:t>‐</w:t>
      </w:r>
      <w:r>
        <w:rPr>
          <w:rFonts w:ascii="Arial" w:cs="Arial" w:eastAsia="Arial" w:hAnsi="Arial"/>
          <w:sz w:val="16"/>
          <w:szCs w:val="16"/>
          <w:color w:val="auto"/>
        </w:rPr>
        <w:t>from</w:t>
      </w:r>
      <w:r>
        <w:rPr>
          <w:rFonts w:ascii="MS PGothic" w:cs="MS PGothic" w:eastAsia="MS PGothic" w:hAnsi="MS PGothic"/>
          <w:sz w:val="16"/>
          <w:szCs w:val="16"/>
          <w:color w:val="auto"/>
        </w:rPr>
        <w:t>‐</w:t>
      </w:r>
      <w:r>
        <w:rPr>
          <w:rFonts w:ascii="Arial" w:cs="Arial" w:eastAsia="Arial" w:hAnsi="Arial"/>
          <w:sz w:val="16"/>
          <w:szCs w:val="16"/>
          <w:color w:val="auto"/>
        </w:rPr>
        <w:t>Royalty Method. Under this method, data is obtained regarding actual royalty payments made for similar intangible assets. After the appropriate royalty rate is determined, the reasonable royalty savings is then discounted to its present value over the remaining technological, economic, or legal life of the intangible asset.</w:t>
      </w:r>
    </w:p>
    <w:p>
      <w:pPr>
        <w:spacing w:after="0" w:line="157" w:lineRule="exact"/>
        <w:rPr>
          <w:sz w:val="20"/>
          <w:szCs w:val="20"/>
          <w:color w:val="auto"/>
        </w:rPr>
      </w:pPr>
    </w:p>
    <w:p>
      <w:pPr>
        <w:ind w:right="340" w:firstLine="621"/>
        <w:spacing w:after="0" w:line="304" w:lineRule="auto"/>
        <w:rPr>
          <w:sz w:val="20"/>
          <w:szCs w:val="20"/>
          <w:color w:val="auto"/>
        </w:rPr>
      </w:pPr>
      <w:r>
        <w:rPr>
          <w:rFonts w:ascii="Arial" w:cs="Arial" w:eastAsia="Arial" w:hAnsi="Arial"/>
          <w:sz w:val="15"/>
          <w:szCs w:val="15"/>
          <w:color w:val="auto"/>
        </w:rPr>
        <w:t>Intangible assets are generally amortized on a straight-line basis, which approximates the pattern in which the economic benefits are consumed, over their estimated useful lives. Amortization of developed technology is included in cost of revenues and the amortization of customer relationships, backlog, non-compete agreements, and trademarks is included in sales and marketing expenses in the condensed consolidated statements of operations. Once the projects associated with acquired in-process research and development are completed, amortization will be included in cost of revenues in the condensed consolidated statements of operations. The acquired intangible assets and goodwill resulting from the SpotX Acquisition are not tax deductible.</w:t>
      </w:r>
    </w:p>
    <w:p>
      <w:pPr>
        <w:spacing w:after="0" w:line="124" w:lineRule="exact"/>
        <w:rPr>
          <w:sz w:val="20"/>
          <w:szCs w:val="20"/>
          <w:color w:val="auto"/>
        </w:rPr>
      </w:pPr>
    </w:p>
    <w:p>
      <w:pPr>
        <w:jc w:val="both"/>
        <w:ind w:right="140" w:firstLine="621"/>
        <w:spacing w:after="0" w:line="293" w:lineRule="auto"/>
        <w:rPr>
          <w:sz w:val="20"/>
          <w:szCs w:val="20"/>
          <w:color w:val="auto"/>
        </w:rPr>
      </w:pPr>
      <w:r>
        <w:rPr>
          <w:rFonts w:ascii="Arial" w:cs="Arial" w:eastAsia="Arial" w:hAnsi="Arial"/>
          <w:sz w:val="16"/>
          <w:szCs w:val="16"/>
          <w:color w:val="auto"/>
        </w:rPr>
        <w:t>As part of the SpotX Acquisition, deferred tax liabilities were established. As a result of the deferred tax liability balance created by the acquisition, the Company reduced its deferred tax asset ("DTA") valuation allowance by $56.2 million for the year ended December 31, 2021. Such reduction was recognized as an income tax benefit in the post-acquisition consolidated statements of operations for the year ended December 31, 2021.</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2021 Acquisition—SpringServe</w:t>
      </w:r>
    </w:p>
    <w:p>
      <w:pPr>
        <w:spacing w:after="0" w:line="108" w:lineRule="exact"/>
        <w:rPr>
          <w:sz w:val="20"/>
          <w:szCs w:val="20"/>
          <w:color w:val="auto"/>
        </w:rPr>
      </w:pPr>
    </w:p>
    <w:p>
      <w:pPr>
        <w:ind w:right="400" w:firstLine="621"/>
        <w:spacing w:after="0" w:line="283" w:lineRule="auto"/>
        <w:rPr>
          <w:sz w:val="20"/>
          <w:szCs w:val="20"/>
          <w:color w:val="auto"/>
        </w:rPr>
      </w:pPr>
      <w:r>
        <w:rPr>
          <w:rFonts w:ascii="Arial" w:cs="Arial" w:eastAsia="Arial" w:hAnsi="Arial"/>
          <w:sz w:val="17"/>
          <w:szCs w:val="17"/>
          <w:color w:val="auto"/>
        </w:rPr>
        <w:t>On July 1, 2021, the Company, through its wholly-owned subsidiary, SpotX, completed the SpringServe Acquisition. As a result of the SpringServe Acquisition, SpringServe became a wholly-owned subsidiary of SpotX, and a wholly-owned indirect subsidiary of the Company.</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total purchase consideration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Consideration</w:t>
            </w: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31,136</w:t>
            </w:r>
          </w:p>
        </w:tc>
      </w:tr>
      <w:tr>
        <w:trPr>
          <w:trHeight w:val="220"/>
        </w:trPr>
        <w:tc>
          <w:tcPr>
            <w:tcW w:w="8780" w:type="dxa"/>
            <w:vAlign w:val="bottom"/>
          </w:tcPr>
          <w:p>
            <w:pPr>
              <w:ind w:left="20"/>
              <w:spacing w:after="0"/>
              <w:rPr>
                <w:sz w:val="20"/>
                <w:szCs w:val="20"/>
                <w:color w:val="auto"/>
              </w:rPr>
            </w:pPr>
            <w:r>
              <w:rPr>
                <w:rFonts w:ascii="Arial" w:cs="Arial" w:eastAsia="Arial" w:hAnsi="Arial"/>
                <w:sz w:val="17"/>
                <w:szCs w:val="17"/>
                <w:color w:val="auto"/>
              </w:rPr>
              <w:t>SpotX initial cash investment in SpringServe</w:t>
            </w:r>
          </w:p>
        </w:tc>
        <w:tc>
          <w:tcPr>
            <w:tcW w:w="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2,075</w:t>
            </w:r>
          </w:p>
        </w:tc>
      </w:tr>
      <w:tr>
        <w:trPr>
          <w:trHeight w:val="220"/>
        </w:trPr>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appreciation of SpotX purchase right</w:t>
            </w: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7,450</w:t>
            </w:r>
          </w:p>
        </w:tc>
      </w:tr>
      <w:tr>
        <w:trPr>
          <w:trHeight w:val="220"/>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Indemnification claims - holdback</w:t>
            </w:r>
          </w:p>
        </w:tc>
        <w:tc>
          <w:tcPr>
            <w:tcW w:w="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1,409</w:t>
            </w:r>
          </w:p>
        </w:tc>
      </w:tr>
      <w:tr>
        <w:trPr>
          <w:trHeight w:val="238"/>
        </w:trPr>
        <w:tc>
          <w:tcPr>
            <w:tcW w:w="8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purchase consideration</w:t>
            </w:r>
          </w:p>
        </w:tc>
        <w:tc>
          <w:tcPr>
            <w:tcW w:w="78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42,070</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right="200" w:firstLine="621"/>
        <w:spacing w:after="0" w:line="264" w:lineRule="auto"/>
        <w:rPr>
          <w:sz w:val="20"/>
          <w:szCs w:val="20"/>
          <w:color w:val="auto"/>
        </w:rPr>
      </w:pPr>
      <w:r>
        <w:rPr>
          <w:rFonts w:ascii="Arial" w:cs="Arial" w:eastAsia="Arial" w:hAnsi="Arial"/>
          <w:sz w:val="17"/>
          <w:szCs w:val="17"/>
          <w:color w:val="auto"/>
        </w:rPr>
        <w:t>In 2020, SpotX made a minority investment of $2.1 million in SpringServe in conjunction with a strategic partnership agreement between the two companies, which included an option agreement to purchase SpringServe. At the time of Magnite's acquisition of SpotX, the fair value of SpotX's minority investment and purchase right were valued at a combined $7.5 million for a total minority investment and purchase right of $9.5 million. In connection with the SpringServe Acquisition, $1.4 million of the purchase price was held back to cover possible indemnification claims.</w:t>
      </w:r>
    </w:p>
    <w:p>
      <w:pPr>
        <w:spacing w:after="0" w:line="58" w:lineRule="exact"/>
        <w:rPr>
          <w:sz w:val="20"/>
          <w:szCs w:val="20"/>
          <w:color w:val="auto"/>
        </w:rPr>
      </w:pPr>
    </w:p>
    <w:p>
      <w:pPr>
        <w:ind w:firstLine="621"/>
        <w:spacing w:after="0" w:line="277" w:lineRule="auto"/>
        <w:rPr>
          <w:sz w:val="20"/>
          <w:szCs w:val="20"/>
          <w:color w:val="auto"/>
        </w:rPr>
      </w:pPr>
      <w:r>
        <w:rPr>
          <w:rFonts w:ascii="Arial" w:cs="Arial" w:eastAsia="Arial" w:hAnsi="Arial"/>
          <w:sz w:val="16"/>
          <w:szCs w:val="16"/>
          <w:color w:val="auto"/>
        </w:rPr>
        <w:t>In accordance with ASC 805, the Company recorded the acquisition based on the fair value of the consideration transferred and then allocated the purchase price to the identifiable assets acquired and liabilities assumed based on their respective fair values as of the acquisition date. The excess of the value of consideration transferred over the aggregate fair value of those net assets was recorded as goodwill. Any identified definite lived intangible assets will be amortized over their estimated useful lives and any identified intangible assets with indefinite useful lives and goodwill will not be amortized but will be tested for impairment at least annually. All intangible assets and goodwill will be tested for impairment when certain indicators are present.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53" w:lineRule="exact"/>
        <w:rPr>
          <w:sz w:val="20"/>
          <w:szCs w:val="20"/>
          <w:color w:val="auto"/>
        </w:rPr>
      </w:pPr>
    </w:p>
    <w:p>
      <w:pPr>
        <w:ind w:right="160" w:firstLine="621"/>
        <w:spacing w:after="0" w:line="281" w:lineRule="auto"/>
        <w:rPr>
          <w:sz w:val="20"/>
          <w:szCs w:val="20"/>
          <w:color w:val="auto"/>
        </w:rPr>
      </w:pPr>
      <w:r>
        <w:rPr>
          <w:rFonts w:ascii="Arial" w:cs="Arial" w:eastAsia="Arial" w:hAnsi="Arial"/>
          <w:sz w:val="16"/>
          <w:szCs w:val="16"/>
          <w:color w:val="auto"/>
        </w:rPr>
        <w:t>For purposes of measuring the estimated fair value, where applicable, of the assets acquired and the liabilities assumed, the Company has applied the guidance in ASC 820, Fair Value Measurement, which establishes a framework for measuring fair value. In accordance with ASC 820, fair value is an exit price and is defined as "the price that would be received to sell an asset or paid to transfer a liability in an orderly transaction between market participants at the measurement date." Under ASC 805, acquisition-related transaction costs and acquisition-related restructuring charges are not included as components of consideration transferred but are accounted for as expenses in the period in which the costs are incurred.</w:t>
      </w:r>
    </w:p>
    <w:p>
      <w:pPr>
        <w:spacing w:after="0" w:line="35" w:lineRule="exact"/>
        <w:rPr>
          <w:sz w:val="20"/>
          <w:szCs w:val="20"/>
          <w:color w:val="auto"/>
        </w:rPr>
      </w:pPr>
    </w:p>
    <w:p>
      <w:pPr>
        <w:ind w:right="80" w:firstLine="621"/>
        <w:spacing w:after="0" w:line="283" w:lineRule="auto"/>
        <w:rPr>
          <w:sz w:val="20"/>
          <w:szCs w:val="20"/>
          <w:color w:val="auto"/>
        </w:rPr>
      </w:pPr>
      <w:r>
        <w:rPr>
          <w:rFonts w:ascii="Arial" w:cs="Arial" w:eastAsia="Arial" w:hAnsi="Arial"/>
          <w:sz w:val="17"/>
          <w:szCs w:val="17"/>
          <w:color w:val="auto"/>
        </w:rPr>
        <w:t>The Company finalized the purchase price allocation of SpringServe in the third quarter of 2022, resulting in no additional changes to the purchase price allocation and the full payment of the $1.4 million holdback liability. The fair value of the purchase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color w:val="auto"/>
        </w:rPr>
        <w:t>price was allocated to the identifiable assets acquired and liabilities assumed based upon their estimated fair values as of the date of the SpringServe Acquisition as set forth below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800" w:type="dxa"/>
            <w:vAlign w:val="bottom"/>
            <w:shd w:val="clear" w:color="auto" w:fill="CCEEFF"/>
          </w:tcPr>
          <w:p>
            <w:pPr>
              <w:jc w:val="right"/>
              <w:ind w:right="6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w:t>
            </w:r>
          </w:p>
        </w:tc>
      </w:tr>
      <w:tr>
        <w:trPr>
          <w:trHeight w:val="220"/>
        </w:trPr>
        <w:tc>
          <w:tcPr>
            <w:tcW w:w="8820" w:type="dxa"/>
            <w:vAlign w:val="bottom"/>
          </w:tcPr>
          <w:p>
            <w:pPr>
              <w:ind w:left="20"/>
              <w:spacing w:after="0"/>
              <w:rPr>
                <w:sz w:val="20"/>
                <w:szCs w:val="20"/>
                <w:color w:val="auto"/>
              </w:rPr>
            </w:pPr>
            <w:r>
              <w:rPr>
                <w:rFonts w:ascii="Arial" w:cs="Arial" w:eastAsia="Arial" w:hAnsi="Arial"/>
                <w:sz w:val="17"/>
                <w:szCs w:val="17"/>
                <w:color w:val="auto"/>
              </w:rPr>
              <w:t>Accounts receivable</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3,234</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and other assets, current</w:t>
            </w: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r>
      <w:tr>
        <w:trPr>
          <w:trHeight w:val="220"/>
        </w:trPr>
        <w:tc>
          <w:tcPr>
            <w:tcW w:w="8820" w:type="dxa"/>
            <w:vAlign w:val="bottom"/>
          </w:tcPr>
          <w:p>
            <w:pPr>
              <w:ind w:left="20"/>
              <w:spacing w:after="0"/>
              <w:rPr>
                <w:sz w:val="20"/>
                <w:szCs w:val="20"/>
                <w:color w:val="auto"/>
              </w:rPr>
            </w:pPr>
            <w:r>
              <w:rPr>
                <w:rFonts w:ascii="Arial" w:cs="Arial" w:eastAsia="Arial" w:hAnsi="Arial"/>
                <w:sz w:val="17"/>
                <w:szCs w:val="17"/>
                <w:color w:val="auto"/>
              </w:rPr>
              <w:t>Fixed assets</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w:t>
            </w: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23,400</w:t>
            </w:r>
          </w:p>
        </w:tc>
      </w:tr>
      <w:tr>
        <w:trPr>
          <w:trHeight w:val="220"/>
        </w:trPr>
        <w:tc>
          <w:tcPr>
            <w:tcW w:w="8820" w:type="dxa"/>
            <w:vAlign w:val="bottom"/>
          </w:tcPr>
          <w:p>
            <w:pPr>
              <w:ind w:left="20"/>
              <w:spacing w:after="0"/>
              <w:rPr>
                <w:sz w:val="20"/>
                <w:szCs w:val="20"/>
                <w:color w:val="auto"/>
              </w:rPr>
            </w:pPr>
            <w:r>
              <w:rPr>
                <w:rFonts w:ascii="Arial" w:cs="Arial" w:eastAsia="Arial" w:hAnsi="Arial"/>
                <w:sz w:val="17"/>
                <w:szCs w:val="17"/>
                <w:color w:val="auto"/>
              </w:rPr>
              <w:t>Right-of-use lease asset</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1,879</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8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24,156</w:t>
            </w:r>
          </w:p>
        </w:tc>
      </w:tr>
      <w:tr>
        <w:trPr>
          <w:trHeight w:val="213"/>
        </w:trPr>
        <w:tc>
          <w:tcPr>
            <w:tcW w:w="88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assets to be acquired</w:t>
            </w: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53,913</w:t>
            </w:r>
          </w:p>
        </w:tc>
      </w:tr>
      <w:tr>
        <w:trPr>
          <w:trHeight w:val="213"/>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 and accrued expenses</w:t>
            </w: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2,475</w:t>
            </w:r>
          </w:p>
        </w:tc>
      </w:tr>
      <w:tr>
        <w:trPr>
          <w:trHeight w:val="220"/>
        </w:trPr>
        <w:tc>
          <w:tcPr>
            <w:tcW w:w="8820" w:type="dxa"/>
            <w:vAlign w:val="bottom"/>
          </w:tcPr>
          <w:p>
            <w:pPr>
              <w:ind w:left="20"/>
              <w:spacing w:after="0"/>
              <w:rPr>
                <w:sz w:val="20"/>
                <w:szCs w:val="20"/>
                <w:color w:val="auto"/>
              </w:rPr>
            </w:pPr>
            <w:r>
              <w:rPr>
                <w:rFonts w:ascii="Arial" w:cs="Arial" w:eastAsia="Arial" w:hAnsi="Arial"/>
                <w:sz w:val="17"/>
                <w:szCs w:val="17"/>
                <w:color w:val="auto"/>
              </w:rPr>
              <w:t>Other current liabilities</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liabilities</w:t>
            </w: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3,179</w:t>
            </w:r>
          </w:p>
        </w:tc>
      </w:tr>
      <w:tr>
        <w:trPr>
          <w:trHeight w:val="220"/>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tax liability, net</w:t>
            </w: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6,154</w:t>
            </w:r>
          </w:p>
        </w:tc>
      </w:tr>
      <w:tr>
        <w:trPr>
          <w:trHeight w:val="213"/>
        </w:trPr>
        <w:tc>
          <w:tcPr>
            <w:tcW w:w="8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liabilities to be assumed</w:t>
            </w:r>
          </w:p>
        </w:tc>
        <w:tc>
          <w:tcPr>
            <w:tcW w:w="8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11,843</w:t>
            </w:r>
          </w:p>
        </w:tc>
      </w:tr>
      <w:tr>
        <w:trPr>
          <w:trHeight w:val="213"/>
        </w:trPr>
        <w:tc>
          <w:tcPr>
            <w:tcW w:w="8820" w:type="dxa"/>
            <w:vAlign w:val="bottom"/>
          </w:tcPr>
          <w:p>
            <w:pPr>
              <w:ind w:left="20"/>
              <w:spacing w:after="0"/>
              <w:rPr>
                <w:sz w:val="20"/>
                <w:szCs w:val="20"/>
                <w:color w:val="auto"/>
              </w:rPr>
            </w:pPr>
            <w:r>
              <w:rPr>
                <w:rFonts w:ascii="Arial" w:cs="Arial" w:eastAsia="Arial" w:hAnsi="Arial"/>
                <w:sz w:val="17"/>
                <w:szCs w:val="17"/>
                <w:color w:val="auto"/>
              </w:rPr>
              <w:t>Total preliminary purchase price</w:t>
            </w:r>
          </w:p>
        </w:tc>
        <w:tc>
          <w:tcPr>
            <w:tcW w:w="80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42,070</w:t>
            </w:r>
          </w:p>
        </w:tc>
      </w:tr>
      <w:tr>
        <w:trPr>
          <w:trHeight w:val="20"/>
        </w:trPr>
        <w:tc>
          <w:tcPr>
            <w:tcW w:w="8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right="20" w:firstLine="621"/>
        <w:spacing w:after="0" w:line="309" w:lineRule="auto"/>
        <w:rPr>
          <w:sz w:val="20"/>
          <w:szCs w:val="20"/>
          <w:color w:val="auto"/>
        </w:rPr>
      </w:pPr>
      <w:r>
        <w:rPr>
          <w:rFonts w:ascii="Arial" w:cs="Arial" w:eastAsia="Arial" w:hAnsi="Arial"/>
          <w:sz w:val="15"/>
          <w:szCs w:val="15"/>
          <w:color w:val="auto"/>
        </w:rPr>
        <w:t>The Company believes the amount of goodwill resulting from the purchase price allocation is primarily attributable to expected synergies from the assembled workforce, an increase in development capabilities, increased offerings to customers, and enhanced opportunities for growth and innovation. Goodwill will not be amortized but instead will be tested for impairment at least annually or more frequently if certain indicators of impairment are present. In the event that goodwill has become impaired, the Company will record an expense for the amount impaired during the quarter in which the determination is made.</w:t>
      </w:r>
    </w:p>
    <w:p>
      <w:pPr>
        <w:spacing w:after="0" w:line="30" w:lineRule="exact"/>
        <w:rPr>
          <w:sz w:val="20"/>
          <w:szCs w:val="20"/>
          <w:color w:val="auto"/>
        </w:rPr>
      </w:pPr>
    </w:p>
    <w:p>
      <w:pPr>
        <w:ind w:right="100" w:firstLine="621"/>
        <w:spacing w:after="0" w:line="283" w:lineRule="auto"/>
        <w:rPr>
          <w:sz w:val="20"/>
          <w:szCs w:val="20"/>
          <w:color w:val="auto"/>
        </w:rPr>
      </w:pPr>
      <w:r>
        <w:rPr>
          <w:rFonts w:ascii="Arial" w:cs="Arial" w:eastAsia="Arial" w:hAnsi="Arial"/>
          <w:sz w:val="17"/>
          <w:szCs w:val="17"/>
          <w:color w:val="auto"/>
        </w:rPr>
        <w:t>The following table summarizes the components of the intangible assets and estimated useful lives as of the date of the SpringServe Acquisition (dollars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 Useful Life</w:t>
            </w:r>
          </w:p>
        </w:tc>
      </w:tr>
      <w:tr>
        <w:trPr>
          <w:trHeight w:val="25"/>
        </w:trPr>
        <w:tc>
          <w:tcPr>
            <w:tcW w:w="7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0"/>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Technology</w:t>
            </w:r>
          </w:p>
        </w:tc>
        <w:tc>
          <w:tcPr>
            <w:tcW w:w="62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15,500</w:t>
            </w: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5 years</w:t>
            </w:r>
          </w:p>
        </w:tc>
      </w:tr>
      <w:tr>
        <w:trPr>
          <w:trHeight w:val="220"/>
        </w:trPr>
        <w:tc>
          <w:tcPr>
            <w:tcW w:w="720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5,700</w:t>
            </w:r>
          </w:p>
        </w:tc>
        <w:tc>
          <w:tcPr>
            <w:tcW w:w="1660" w:type="dxa"/>
            <w:vAlign w:val="bottom"/>
          </w:tcPr>
          <w:p>
            <w:pPr>
              <w:jc w:val="center"/>
              <w:spacing w:after="0"/>
              <w:rPr>
                <w:sz w:val="20"/>
                <w:szCs w:val="20"/>
                <w:color w:val="auto"/>
              </w:rPr>
            </w:pPr>
            <w:r>
              <w:rPr>
                <w:rFonts w:ascii="Arial" w:cs="Arial" w:eastAsia="Arial" w:hAnsi="Arial"/>
                <w:sz w:val="17"/>
                <w:szCs w:val="17"/>
                <w:color w:val="auto"/>
                <w:w w:val="89"/>
              </w:rPr>
              <w:t>2 years</w:t>
            </w:r>
          </w:p>
        </w:tc>
      </w:tr>
      <w:tr>
        <w:trPr>
          <w:trHeight w:val="220"/>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Trademarks and Trade Names</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 years</w:t>
            </w:r>
          </w:p>
        </w:tc>
      </w:tr>
      <w:tr>
        <w:trPr>
          <w:trHeight w:val="220"/>
        </w:trPr>
        <w:tc>
          <w:tcPr>
            <w:tcW w:w="7200" w:type="dxa"/>
            <w:vAlign w:val="bottom"/>
          </w:tcPr>
          <w:p>
            <w:pPr>
              <w:ind w:left="20"/>
              <w:spacing w:after="0"/>
              <w:rPr>
                <w:sz w:val="20"/>
                <w:szCs w:val="20"/>
                <w:color w:val="auto"/>
              </w:rPr>
            </w:pPr>
            <w:r>
              <w:rPr>
                <w:rFonts w:ascii="Arial" w:cs="Arial" w:eastAsia="Arial" w:hAnsi="Arial"/>
                <w:sz w:val="17"/>
                <w:szCs w:val="17"/>
                <w:color w:val="auto"/>
              </w:rPr>
              <w:t>In-process research and development</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800</w:t>
            </w: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3 years*</w:t>
            </w:r>
          </w:p>
        </w:tc>
      </w:tr>
      <w:tr>
        <w:trPr>
          <w:trHeight w:val="220"/>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 years</w:t>
            </w:r>
          </w:p>
        </w:tc>
      </w:tr>
      <w:tr>
        <w:trPr>
          <w:trHeight w:val="213"/>
        </w:trPr>
        <w:tc>
          <w:tcPr>
            <w:tcW w:w="7200" w:type="dxa"/>
            <w:vAlign w:val="bottom"/>
          </w:tcPr>
          <w:p>
            <w:pPr>
              <w:ind w:left="20"/>
              <w:spacing w:after="0"/>
              <w:rPr>
                <w:sz w:val="20"/>
                <w:szCs w:val="20"/>
                <w:color w:val="auto"/>
              </w:rPr>
            </w:pPr>
            <w:r>
              <w:rPr>
                <w:rFonts w:ascii="Arial" w:cs="Arial" w:eastAsia="Arial" w:hAnsi="Arial"/>
                <w:sz w:val="17"/>
                <w:szCs w:val="17"/>
                <w:color w:val="auto"/>
              </w:rPr>
              <w:t>Total intangible assets acquired</w:t>
            </w:r>
          </w:p>
        </w:tc>
        <w:tc>
          <w:tcPr>
            <w:tcW w:w="620" w:type="dxa"/>
            <w:vAlign w:val="bottom"/>
          </w:tcPr>
          <w:p>
            <w:pPr>
              <w:jc w:val="right"/>
              <w:ind w:right="4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23,400</w:t>
            </w:r>
          </w:p>
        </w:tc>
        <w:tc>
          <w:tcPr>
            <w:tcW w:w="16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0</wp:posOffset>
            </wp:positionV>
            <wp:extent cx="10598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6" w:lineRule="exact"/>
        <w:rPr>
          <w:sz w:val="20"/>
          <w:szCs w:val="20"/>
          <w:color w:val="auto"/>
        </w:rPr>
      </w:pPr>
    </w:p>
    <w:p>
      <w:pPr>
        <w:ind w:left="20" w:right="1040" w:firstLine="1"/>
        <w:spacing w:after="0" w:line="238" w:lineRule="auto"/>
        <w:tabs>
          <w:tab w:leader="none" w:pos="149" w:val="left"/>
        </w:tabs>
        <w:numPr>
          <w:ilvl w:val="0"/>
          <w:numId w:val="7"/>
        </w:numPr>
        <w:rPr>
          <w:rFonts w:ascii="Arial" w:cs="Arial" w:eastAsia="Arial" w:hAnsi="Arial"/>
          <w:sz w:val="17"/>
          <w:szCs w:val="17"/>
          <w:color w:val="auto"/>
        </w:rPr>
      </w:pPr>
      <w:r>
        <w:rPr>
          <w:rFonts w:ascii="Arial" w:cs="Arial" w:eastAsia="Arial" w:hAnsi="Arial"/>
          <w:sz w:val="17"/>
          <w:szCs w:val="17"/>
          <w:color w:val="auto"/>
        </w:rPr>
        <w:t>In-process research and development consists of two projects with a weighted-average useful life of 3 years. Amortization begins once associated projects are completed and it is determined the projects have alternative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-237490</wp:posOffset>
            </wp:positionV>
            <wp:extent cx="10598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149" w:lineRule="exact"/>
        <w:rPr>
          <w:sz w:val="20"/>
          <w:szCs w:val="20"/>
          <w:color w:val="auto"/>
        </w:rPr>
      </w:pPr>
    </w:p>
    <w:p>
      <w:pPr>
        <w:ind w:right="280" w:firstLine="621"/>
        <w:spacing w:after="0" w:line="320" w:lineRule="auto"/>
        <w:rPr>
          <w:sz w:val="20"/>
          <w:szCs w:val="20"/>
          <w:color w:val="auto"/>
        </w:rPr>
      </w:pPr>
      <w:r>
        <w:rPr>
          <w:rFonts w:ascii="Arial" w:cs="Arial" w:eastAsia="Arial" w:hAnsi="Arial"/>
          <w:sz w:val="15"/>
          <w:szCs w:val="15"/>
          <w:color w:val="auto"/>
        </w:rPr>
        <w:t>The fair value of the acquired technology and in-process research and development was valued using the Excess Earnings Method. This methodology included allocating future revenue projections to the existing technologies and applying decay rates and appropriate discount rates that reflect the respective intangible asset's relative risk profile when compared to other intangible assets as well as considering the risk associated with the overall business.</w:t>
      </w:r>
    </w:p>
    <w:p>
      <w:pPr>
        <w:spacing w:after="0" w:line="22" w:lineRule="exact"/>
        <w:rPr>
          <w:sz w:val="20"/>
          <w:szCs w:val="20"/>
          <w:color w:val="auto"/>
        </w:rPr>
      </w:pPr>
    </w:p>
    <w:p>
      <w:pPr>
        <w:jc w:val="both"/>
        <w:ind w:right="20" w:firstLine="621"/>
        <w:spacing w:after="0" w:line="211" w:lineRule="exact"/>
        <w:rPr>
          <w:sz w:val="20"/>
          <w:szCs w:val="20"/>
          <w:color w:val="auto"/>
        </w:rPr>
      </w:pPr>
      <w:r>
        <w:rPr>
          <w:rFonts w:ascii="Arial" w:cs="Arial" w:eastAsia="Arial" w:hAnsi="Arial"/>
          <w:sz w:val="15"/>
          <w:szCs w:val="15"/>
          <w:color w:val="auto"/>
        </w:rPr>
        <w:t>At the acquisition date, SpringServe had existing customer relationships. To the extent that future cash flows of the business would be negatively affected in the absence of these relationships, they would be deemed to have economic value. In addition, certain employees of SpringServe signed two year non-compete agreements. The Company used the Loss</w:t>
      </w:r>
      <w:r>
        <w:rPr>
          <w:rFonts w:ascii="MS PGothic" w:cs="MS PGothic" w:eastAsia="MS PGothic" w:hAnsi="MS PGothic"/>
          <w:sz w:val="15"/>
          <w:szCs w:val="15"/>
          <w:color w:val="auto"/>
        </w:rPr>
        <w:t>‐</w:t>
      </w:r>
      <w:r>
        <w:rPr>
          <w:rFonts w:ascii="Arial" w:cs="Arial" w:eastAsia="Arial" w:hAnsi="Arial"/>
          <w:sz w:val="15"/>
          <w:szCs w:val="15"/>
          <w:color w:val="auto"/>
        </w:rPr>
        <w:t>of</w:t>
      </w:r>
      <w:r>
        <w:rPr>
          <w:rFonts w:ascii="MS PGothic" w:cs="MS PGothic" w:eastAsia="MS PGothic" w:hAnsi="MS PGothic"/>
          <w:sz w:val="15"/>
          <w:szCs w:val="15"/>
          <w:color w:val="auto"/>
        </w:rPr>
        <w:t>‐</w:t>
      </w:r>
      <w:r>
        <w:rPr>
          <w:rFonts w:ascii="Arial" w:cs="Arial" w:eastAsia="Arial" w:hAnsi="Arial"/>
          <w:sz w:val="15"/>
          <w:szCs w:val="15"/>
          <w:color w:val="auto"/>
        </w:rPr>
        <w:t>Revenue and Income Method in its valuation of the existing customer relationships and non-compete agreements.</w:t>
      </w:r>
    </w:p>
    <w:p>
      <w:pPr>
        <w:spacing w:after="0" w:line="2"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This method attempts to quantify the scenario whereby the owner loses the right to the intangible asset and the resulting losses of revenue and income. Under this analysis, the value of the cash flows with the intangible asset is compared to the value of the cash flows without the intangible asset and the difference represents the value of the intangible asset. This methodology included applying a discount rate and the expected timing it would take to further enhance customer relationships.</w:t>
      </w:r>
    </w:p>
    <w:p>
      <w:pPr>
        <w:spacing w:after="0" w:line="52" w:lineRule="exact"/>
        <w:rPr>
          <w:sz w:val="20"/>
          <w:szCs w:val="20"/>
          <w:color w:val="auto"/>
        </w:rPr>
      </w:pPr>
    </w:p>
    <w:p>
      <w:pPr>
        <w:ind w:right="80" w:firstLine="621"/>
        <w:spacing w:after="0" w:line="211" w:lineRule="exact"/>
        <w:rPr>
          <w:sz w:val="20"/>
          <w:szCs w:val="20"/>
          <w:color w:val="auto"/>
        </w:rPr>
      </w:pPr>
      <w:r>
        <w:rPr>
          <w:rFonts w:ascii="Arial" w:cs="Arial" w:eastAsia="Arial" w:hAnsi="Arial"/>
          <w:sz w:val="16"/>
          <w:szCs w:val="16"/>
          <w:color w:val="auto"/>
        </w:rPr>
        <w:t>The fair value of the trademarks and trade names were based on the Income Approach, specifically the Relief</w:t>
      </w:r>
      <w:r>
        <w:rPr>
          <w:rFonts w:ascii="MS PGothic" w:cs="MS PGothic" w:eastAsia="MS PGothic" w:hAnsi="MS PGothic"/>
          <w:sz w:val="16"/>
          <w:szCs w:val="16"/>
          <w:color w:val="auto"/>
        </w:rPr>
        <w:t>‐</w:t>
      </w:r>
      <w:r>
        <w:rPr>
          <w:rFonts w:ascii="Arial" w:cs="Arial" w:eastAsia="Arial" w:hAnsi="Arial"/>
          <w:sz w:val="16"/>
          <w:szCs w:val="16"/>
          <w:color w:val="auto"/>
        </w:rPr>
        <w:t>from</w:t>
      </w:r>
      <w:r>
        <w:rPr>
          <w:rFonts w:ascii="MS PGothic" w:cs="MS PGothic" w:eastAsia="MS PGothic" w:hAnsi="MS PGothic"/>
          <w:sz w:val="16"/>
          <w:szCs w:val="16"/>
          <w:color w:val="auto"/>
        </w:rPr>
        <w:t>‐</w:t>
      </w:r>
      <w:r>
        <w:rPr>
          <w:rFonts w:ascii="Arial" w:cs="Arial" w:eastAsia="Arial" w:hAnsi="Arial"/>
          <w:sz w:val="16"/>
          <w:szCs w:val="16"/>
          <w:color w:val="auto"/>
        </w:rPr>
        <w:t>Royalty Method. Under this method, data is obtained regarding actual royalty payments made for similar intangible assets. After the appropriate royalty rate is determined, the reasonable royalty savings is then discounted to its present value over the remaining technological, economic, or legal life of the intangible asset.</w:t>
      </w:r>
    </w:p>
    <w:p>
      <w:pPr>
        <w:spacing w:after="0" w:line="79" w:lineRule="exact"/>
        <w:rPr>
          <w:sz w:val="20"/>
          <w:szCs w:val="20"/>
          <w:color w:val="auto"/>
        </w:rPr>
      </w:pPr>
    </w:p>
    <w:p>
      <w:pPr>
        <w:ind w:firstLine="621"/>
        <w:spacing w:after="0" w:line="283" w:lineRule="auto"/>
        <w:rPr>
          <w:sz w:val="20"/>
          <w:szCs w:val="20"/>
          <w:color w:val="auto"/>
        </w:rPr>
      </w:pPr>
      <w:r>
        <w:rPr>
          <w:rFonts w:ascii="Arial" w:cs="Arial" w:eastAsia="Arial" w:hAnsi="Arial"/>
          <w:sz w:val="17"/>
          <w:szCs w:val="17"/>
          <w:color w:val="auto"/>
        </w:rPr>
        <w:t>Intangible assets are generally amortized on a straight-line basis, which approximates the pattern in which the economic benefits are consumed, over their estimated useful lives. Amortization of developed technology is included in cost of revenues and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the amortization of customer relationships, non-compete agreements, and trademarks is included in sales and marketing expenses in the condensed consolidated statements of operations. Once the projects associated with acquired in-process research and development are completed, amortization will be included in cost of revenues in the condensed consolidated statements of operations. The acquired intangibles and goodwill resulting from the SpringServe Acquisition are not tax deductible.</w:t>
      </w:r>
    </w:p>
    <w:p>
      <w:pPr>
        <w:spacing w:after="0" w:line="45" w:lineRule="exact"/>
        <w:rPr>
          <w:sz w:val="20"/>
          <w:szCs w:val="20"/>
          <w:color w:val="auto"/>
        </w:rPr>
      </w:pPr>
    </w:p>
    <w:p>
      <w:pPr>
        <w:ind w:right="500" w:firstLine="621"/>
        <w:spacing w:after="0" w:line="316" w:lineRule="auto"/>
        <w:rPr>
          <w:sz w:val="20"/>
          <w:szCs w:val="20"/>
          <w:color w:val="auto"/>
        </w:rPr>
      </w:pPr>
      <w:r>
        <w:rPr>
          <w:rFonts w:ascii="Arial" w:cs="Arial" w:eastAsia="Arial" w:hAnsi="Arial"/>
          <w:sz w:val="16"/>
          <w:szCs w:val="16"/>
          <w:color w:val="auto"/>
        </w:rPr>
        <w:t>As part of the SpringServe Acquisition, deferred tax liabilities were established. As a result of this and the SpotX deferred tax liability balance, the Company recognized an income tax benefit in the post-acquisition consolidated statements of operations for the year ended December 31, 2021.</w:t>
      </w:r>
    </w:p>
    <w:p>
      <w:pPr>
        <w:spacing w:after="0" w:line="1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2021 Acquisition—Nth Party</w:t>
      </w:r>
    </w:p>
    <w:p>
      <w:pPr>
        <w:spacing w:after="0" w:line="108" w:lineRule="exact"/>
        <w:rPr>
          <w:sz w:val="20"/>
          <w:szCs w:val="20"/>
          <w:color w:val="auto"/>
        </w:rPr>
      </w:pPr>
    </w:p>
    <w:p>
      <w:pPr>
        <w:ind w:right="340" w:firstLine="621"/>
        <w:spacing w:after="0" w:line="293" w:lineRule="auto"/>
        <w:rPr>
          <w:sz w:val="20"/>
          <w:szCs w:val="20"/>
          <w:color w:val="auto"/>
        </w:rPr>
      </w:pPr>
      <w:r>
        <w:rPr>
          <w:rFonts w:ascii="Arial" w:cs="Arial" w:eastAsia="Arial" w:hAnsi="Arial"/>
          <w:sz w:val="15"/>
          <w:szCs w:val="15"/>
          <w:color w:val="auto"/>
        </w:rPr>
        <w:t>The Company completed the acquisition of Nth Party, Ltd. ("Nth Party"), a developer of cryptographic software for secure audience data sharing and analysis, in December 2021 for a total purchase price of $9.0 million in cash. The Company acquired Nth Party as part of its strategy to further invest in the development and enhancement of industry leading identity and audience solutions. The allocation of purchase consideration resulted in approximately</w:t>
      </w:r>
    </w:p>
    <w:p>
      <w:pPr>
        <w:spacing w:after="0" w:line="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$5.4 million of developed technology intangible assets with an estimated useful life of 5 years, approximately $0.2 million non-compete intangible assets with an estimated useful life of 2 years, approximately $1.3 million of deferred tax liability, and goodwill of approximately $4.8 million, which is attributable to the workforce of Nth Party and revenue growth from the acquisition. Acquired intangibles and goodwill resulting from the Nth Party acquisition are not deductible for income tax purposes.</w:t>
      </w:r>
    </w:p>
    <w:p>
      <w:pPr>
        <w:spacing w:after="0" w:line="4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Unaudited Pro Forma Information</w:t>
      </w:r>
    </w:p>
    <w:p>
      <w:pPr>
        <w:spacing w:after="0" w:line="108" w:lineRule="exact"/>
        <w:rPr>
          <w:sz w:val="20"/>
          <w:szCs w:val="20"/>
          <w:color w:val="auto"/>
        </w:rPr>
      </w:pPr>
    </w:p>
    <w:p>
      <w:pPr>
        <w:ind w:right="60" w:firstLine="621"/>
        <w:spacing w:after="0" w:line="259" w:lineRule="auto"/>
        <w:rPr>
          <w:sz w:val="20"/>
          <w:szCs w:val="20"/>
          <w:color w:val="auto"/>
        </w:rPr>
      </w:pPr>
      <w:r>
        <w:rPr>
          <w:rFonts w:ascii="Arial" w:cs="Arial" w:eastAsia="Arial" w:hAnsi="Arial"/>
          <w:sz w:val="17"/>
          <w:szCs w:val="17"/>
          <w:color w:val="auto"/>
        </w:rPr>
        <w:t>The following table provides unaudited pro forma information as if the SpotX and SpringServe Acquisitions had been acquired by the Company as of January 1, 2020. The unaudited pro forma information reflects adjustments for additional amortization resulting from the fair value adjustments to assets acquired and liabilities assumed, adjustments for alignment of accounting policies, and transaction expenses as if the SpotX and SpringServe Acquisitions occurred on January 1, 2020. The pro forma results do not include any anticipated cost synergies or other effects of the combined companies. Accordingly, pro forma amounts are not necessarily indicative of the results that actually would have occurred had the SpotX and SpringServe Acquisitions been completed on the dates indicated, nor is it indicative of the future operating results of the combined company. The table below excludes Nth Party as its impact on pro forma results were immaterial.</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164"/>
              <w:spacing w:after="0"/>
              <w:rPr>
                <w:sz w:val="20"/>
                <w:szCs w:val="20"/>
                <w:color w:val="auto"/>
              </w:rPr>
            </w:pPr>
            <w:r>
              <w:rPr>
                <w:rFonts w:ascii="Arial" w:cs="Arial" w:eastAsia="Arial" w:hAnsi="Arial"/>
                <w:sz w:val="14"/>
                <w:szCs w:val="14"/>
                <w:b w:val="1"/>
                <w:bCs w:val="1"/>
                <w:color w:val="auto"/>
                <w:w w:val="90"/>
              </w:rPr>
              <w:t>Nine Months Ended</w:t>
            </w:r>
          </w:p>
        </w:tc>
      </w:tr>
      <w:tr>
        <w:trPr>
          <w:trHeight w:val="25"/>
        </w:trPr>
        <w:tc>
          <w:tcPr>
            <w:tcW w:w="94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0"/>
        </w:trPr>
        <w:tc>
          <w:tcPr>
            <w:tcW w:w="9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September 30, 2021</w:t>
            </w:r>
          </w:p>
        </w:tc>
      </w:tr>
      <w:tr>
        <w:trPr>
          <w:trHeight w:val="180"/>
        </w:trPr>
        <w:tc>
          <w:tcPr>
            <w:tcW w:w="9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184"/>
              <w:spacing w:after="0"/>
              <w:rPr>
                <w:sz w:val="20"/>
                <w:szCs w:val="20"/>
                <w:color w:val="auto"/>
              </w:rPr>
            </w:pPr>
            <w:r>
              <w:rPr>
                <w:rFonts w:ascii="Arial" w:cs="Arial" w:eastAsia="Arial" w:hAnsi="Arial"/>
                <w:sz w:val="14"/>
                <w:szCs w:val="14"/>
                <w:b w:val="1"/>
                <w:bCs w:val="1"/>
                <w:color w:val="auto"/>
                <w:w w:val="87"/>
              </w:rPr>
              <w:t>(in thousands)</w:t>
            </w:r>
          </w:p>
        </w:tc>
      </w:tr>
      <w:tr>
        <w:trPr>
          <w:trHeight w:val="221"/>
        </w:trPr>
        <w:tc>
          <w:tcPr>
            <w:tcW w:w="9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 Forma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ind w:left="880"/>
              <w:spacing w:after="0"/>
              <w:rPr>
                <w:sz w:val="20"/>
                <w:szCs w:val="20"/>
                <w:color w:val="auto"/>
              </w:rPr>
            </w:pPr>
            <w:r>
              <w:rPr>
                <w:rFonts w:ascii="Arial" w:cs="Arial" w:eastAsia="Arial" w:hAnsi="Arial"/>
                <w:sz w:val="17"/>
                <w:szCs w:val="17"/>
                <w:color w:val="auto"/>
                <w:w w:val="97"/>
              </w:rPr>
              <w:t>379,180</w:t>
            </w:r>
          </w:p>
        </w:tc>
      </w:tr>
      <w:tr>
        <w:trPr>
          <w:trHeight w:val="220"/>
        </w:trPr>
        <w:tc>
          <w:tcPr>
            <w:tcW w:w="9520" w:type="dxa"/>
            <w:vAlign w:val="bottom"/>
            <w:gridSpan w:val="2"/>
          </w:tcPr>
          <w:p>
            <w:pPr>
              <w:ind w:left="20"/>
              <w:spacing w:after="0"/>
              <w:rPr>
                <w:sz w:val="20"/>
                <w:szCs w:val="20"/>
                <w:color w:val="auto"/>
              </w:rPr>
            </w:pPr>
            <w:r>
              <w:rPr>
                <w:rFonts w:ascii="Arial" w:cs="Arial" w:eastAsia="Arial" w:hAnsi="Arial"/>
                <w:sz w:val="17"/>
                <w:szCs w:val="17"/>
                <w:color w:val="auto"/>
              </w:rPr>
              <w:t>Pro Forma 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ind w:left="880"/>
              <w:spacing w:after="0"/>
              <w:rPr>
                <w:sz w:val="20"/>
                <w:szCs w:val="20"/>
                <w:color w:val="auto"/>
              </w:rPr>
            </w:pPr>
            <w:r>
              <w:rPr>
                <w:rFonts w:ascii="Arial" w:cs="Arial" w:eastAsia="Arial" w:hAnsi="Arial"/>
                <w:sz w:val="17"/>
                <w:szCs w:val="17"/>
                <w:color w:val="auto"/>
                <w:w w:val="94"/>
              </w:rPr>
              <w:t>(88,187)</w:t>
            </w:r>
          </w:p>
        </w:tc>
      </w:tr>
    </w:tbl>
    <w:p>
      <w:pPr>
        <w:spacing w:after="0" w:line="16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2022 Acquisition—Carbon</w:t>
      </w:r>
    </w:p>
    <w:p>
      <w:pPr>
        <w:spacing w:after="0" w:line="95" w:lineRule="exact"/>
        <w:rPr>
          <w:sz w:val="20"/>
          <w:szCs w:val="20"/>
          <w:color w:val="auto"/>
        </w:rPr>
      </w:pPr>
    </w:p>
    <w:p>
      <w:pPr>
        <w:ind w:firstLine="621"/>
        <w:spacing w:after="0" w:line="297" w:lineRule="auto"/>
        <w:rPr>
          <w:sz w:val="20"/>
          <w:szCs w:val="20"/>
          <w:color w:val="auto"/>
        </w:rPr>
      </w:pPr>
      <w:r>
        <w:rPr>
          <w:rFonts w:ascii="Arial" w:cs="Arial" w:eastAsia="Arial" w:hAnsi="Arial"/>
          <w:sz w:val="15"/>
          <w:szCs w:val="15"/>
          <w:color w:val="auto"/>
        </w:rPr>
        <w:t>The Company completed the acquisition of the business of Carbon (AI) Limited ("Carbon" and such acquisition the "Carbon Acquisition"), a platform that enables publishers to measure, manage, and monetize audience segments, in February 2022 for a total purchase price of $23.1 million in cash. Approximately $2.3 million of the purchase price was held back to cover possible indemnification claims, which is expected to be paid in cash one year after the acquisition. The Company acquired Carbon as part of its strategy to further invest in the development and enhancement of industry leading identity and audience solutions. The allocation of purchase consideration resulted in an estimated $14.2 million of developed technology intangible assets with an estimated useful life of 5 years, $0.2 million non-compete intangible assets with an estimated useful life of 2 years, $0.2 million of customer relationships with an estimated useful life of 0.5 years, and goodwill of $8.5 million, which is attributable to the workforce of Carbon and revenue growth from the acquisition. For tax purposes, the Carbon Acquisition was treated as an asset acquisition. The acquisition of identified intangibles results in tax deductible amortization pursuant to IRC Section 197.</w:t>
      </w:r>
    </w:p>
    <w:p>
      <w:pPr>
        <w:spacing w:after="0" w:line="39" w:lineRule="exact"/>
        <w:rPr>
          <w:sz w:val="20"/>
          <w:szCs w:val="20"/>
          <w:color w:val="auto"/>
        </w:rPr>
      </w:pPr>
    </w:p>
    <w:p>
      <w:pPr>
        <w:jc w:val="both"/>
        <w:ind w:right="600" w:firstLine="621"/>
        <w:spacing w:after="0" w:line="268" w:lineRule="auto"/>
        <w:rPr>
          <w:sz w:val="20"/>
          <w:szCs w:val="20"/>
          <w:color w:val="auto"/>
        </w:rPr>
      </w:pPr>
      <w:r>
        <w:rPr>
          <w:rFonts w:ascii="Arial" w:cs="Arial" w:eastAsia="Arial" w:hAnsi="Arial"/>
          <w:sz w:val="17"/>
          <w:szCs w:val="17"/>
          <w:color w:val="auto"/>
        </w:rPr>
        <w:t>Acquisition related costs associated with the Carbon Acquisition included in the "Merger, acquisition, and restructuring costs" in the Company's condensed consolidated statements of operations during the three and nine months ended September 30, 2022 were immaterial. In addition, Carbon's post-acquisition revenue and operating results on a standalone basis were immaterial.</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8—Merger, Acquisition, and Restructuring Costs</w:t>
      </w:r>
    </w:p>
    <w:p>
      <w:pPr>
        <w:spacing w:after="0" w:line="95" w:lineRule="exact"/>
        <w:rPr>
          <w:sz w:val="20"/>
          <w:szCs w:val="20"/>
          <w:color w:val="auto"/>
        </w:rPr>
      </w:pPr>
    </w:p>
    <w:p>
      <w:pPr>
        <w:jc w:val="both"/>
        <w:ind w:right="600" w:firstLine="621"/>
        <w:spacing w:after="0" w:line="283" w:lineRule="auto"/>
        <w:rPr>
          <w:sz w:val="20"/>
          <w:szCs w:val="20"/>
          <w:color w:val="auto"/>
        </w:rPr>
      </w:pPr>
      <w:r>
        <w:rPr>
          <w:rFonts w:ascii="Arial" w:cs="Arial" w:eastAsia="Arial" w:hAnsi="Arial"/>
          <w:sz w:val="17"/>
          <w:szCs w:val="17"/>
          <w:color w:val="auto"/>
        </w:rPr>
        <w:t>Merger, acquisition, and restructuring costs consist primarily of professional services fees and employee termination costs, including stock-based compensation charges, associated with the Telaria Merger, the SpotX Acquisition, and restructuring activities.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merger, acquisition, and restructuring cost activity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2080" w:type="dxa"/>
            <w:vAlign w:val="bottom"/>
            <w:gridSpan w:val="3"/>
          </w:tcPr>
          <w:p>
            <w:pPr>
              <w:jc w:val="right"/>
              <w:ind w:right="97"/>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5"/>
                <w:szCs w:val="15"/>
                <w:color w:val="auto"/>
              </w:rPr>
            </w:pPr>
          </w:p>
        </w:tc>
      </w:tr>
      <w:tr>
        <w:trPr>
          <w:trHeight w:val="25"/>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1540" w:type="dxa"/>
            <w:vAlign w:val="bottom"/>
            <w:gridSpan w:val="3"/>
          </w:tcPr>
          <w:p>
            <w:pPr>
              <w:spacing w:after="0"/>
              <w:rPr>
                <w:sz w:val="2"/>
                <w:szCs w:val="2"/>
                <w:color w:val="auto"/>
              </w:rPr>
            </w:pPr>
          </w:p>
        </w:tc>
        <w:tc>
          <w:tcPr>
            <w:tcW w:w="1440" w:type="dxa"/>
            <w:vAlign w:val="bottom"/>
            <w:gridSpan w:val="2"/>
          </w:tcPr>
          <w:p>
            <w:pPr>
              <w:spacing w:after="0"/>
              <w:rPr>
                <w:sz w:val="2"/>
                <w:szCs w:val="2"/>
                <w:color w:val="auto"/>
              </w:rPr>
            </w:pPr>
          </w:p>
        </w:tc>
      </w:tr>
      <w:tr>
        <w:trPr>
          <w:trHeight w:val="195"/>
        </w:trPr>
        <w:tc>
          <w:tcPr>
            <w:tcW w:w="66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0"/>
              </w:rPr>
              <w:t>September 30, 2021</w:t>
            </w:r>
          </w:p>
        </w:tc>
        <w:tc>
          <w:tcPr>
            <w:tcW w:w="100" w:type="dxa"/>
            <w:vAlign w:val="bottom"/>
          </w:tcPr>
          <w:p>
            <w:pPr>
              <w:spacing w:after="0"/>
              <w:rPr>
                <w:sz w:val="16"/>
                <w:szCs w:val="16"/>
                <w:color w:val="auto"/>
              </w:rPr>
            </w:pPr>
          </w:p>
        </w:tc>
        <w:tc>
          <w:tcPr>
            <w:tcW w:w="154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w w:val="96"/>
              </w:rPr>
              <w:t>September 30, 2022</w:t>
            </w: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September 30, 2021</w:t>
            </w:r>
          </w:p>
        </w:tc>
      </w:tr>
      <w:tr>
        <w:trPr>
          <w:trHeight w:val="178"/>
        </w:trPr>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278"/>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221"/>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8"/>
              </w:rPr>
              <w:t>Professional services (investment banking advisory, legal and other professional services)</w:t>
            </w:r>
          </w:p>
        </w:tc>
        <w:tc>
          <w:tcPr>
            <w:tcW w:w="540" w:type="dxa"/>
            <w:vAlign w:val="bottom"/>
            <w:shd w:val="clear" w:color="auto" w:fill="CCEEFF"/>
          </w:tcPr>
          <w:p>
            <w:pPr>
              <w:jc w:val="right"/>
              <w:ind w:right="36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28,032</w:t>
            </w:r>
          </w:p>
        </w:tc>
      </w:tr>
      <w:tr>
        <w:trPr>
          <w:trHeight w:val="220"/>
        </w:trPr>
        <w:tc>
          <w:tcPr>
            <w:tcW w:w="6720" w:type="dxa"/>
            <w:vAlign w:val="bottom"/>
            <w:gridSpan w:val="2"/>
          </w:tcPr>
          <w:p>
            <w:pPr>
              <w:ind w:left="20"/>
              <w:spacing w:after="0"/>
              <w:rPr>
                <w:sz w:val="20"/>
                <w:szCs w:val="20"/>
                <w:color w:val="auto"/>
              </w:rPr>
            </w:pPr>
            <w:r>
              <w:rPr>
                <w:rFonts w:ascii="Arial" w:cs="Arial" w:eastAsia="Arial" w:hAnsi="Arial"/>
                <w:sz w:val="17"/>
                <w:szCs w:val="17"/>
                <w:color w:val="auto"/>
              </w:rPr>
              <w:t>Personnel related (severance and one-time termination benefit costs)</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1,227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6,176</w:t>
            </w:r>
          </w:p>
        </w:tc>
      </w:tr>
      <w:tr>
        <w:trPr>
          <w:trHeight w:val="220"/>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Non-cash stock-based compensation (double-trigger acceleration and severance)</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w:t>
            </w:r>
          </w:p>
        </w:tc>
      </w:tr>
      <w:tr>
        <w:trPr>
          <w:trHeight w:val="310"/>
        </w:trPr>
        <w:tc>
          <w:tcPr>
            <w:tcW w:w="6720" w:type="dxa"/>
            <w:vAlign w:val="bottom"/>
            <w:gridSpan w:val="2"/>
          </w:tcPr>
          <w:p>
            <w:pPr>
              <w:ind w:left="20"/>
              <w:spacing w:after="0"/>
              <w:rPr>
                <w:sz w:val="20"/>
                <w:szCs w:val="20"/>
                <w:color w:val="auto"/>
              </w:rPr>
            </w:pPr>
            <w:r>
              <w:rPr>
                <w:rFonts w:ascii="Arial" w:cs="Arial" w:eastAsia="Arial" w:hAnsi="Arial"/>
                <w:sz w:val="17"/>
                <w:szCs w:val="17"/>
                <w:color w:val="auto"/>
              </w:rPr>
              <w:t>Impairment costs of abandoned technology</w:t>
            </w:r>
          </w:p>
        </w:tc>
        <w:tc>
          <w:tcPr>
            <w:tcW w:w="54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3,320</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contracts (lease related)</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r>
      <w:tr>
        <w:trPr>
          <w:trHeight w:val="213"/>
        </w:trPr>
        <w:tc>
          <w:tcPr>
            <w:tcW w:w="6720" w:type="dxa"/>
            <w:vAlign w:val="bottom"/>
            <w:gridSpan w:val="2"/>
          </w:tcPr>
          <w:p>
            <w:pPr>
              <w:ind w:left="20"/>
              <w:spacing w:after="0"/>
              <w:rPr>
                <w:sz w:val="20"/>
                <w:szCs w:val="20"/>
                <w:color w:val="auto"/>
              </w:rPr>
            </w:pPr>
            <w:r>
              <w:rPr>
                <w:rFonts w:ascii="Arial" w:cs="Arial" w:eastAsia="Arial" w:hAnsi="Arial"/>
                <w:sz w:val="17"/>
                <w:szCs w:val="17"/>
                <w:color w:val="auto"/>
              </w:rPr>
              <w:t>Total merger, acquisition, and restructuring costs</w:t>
            </w:r>
          </w:p>
        </w:tc>
        <w:tc>
          <w:tcPr>
            <w:tcW w:w="5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2,424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7,468</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37,778</w:t>
            </w:r>
          </w:p>
        </w:tc>
      </w:tr>
      <w:tr>
        <w:trPr>
          <w:trHeight w:val="20"/>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right="440" w:firstLine="621"/>
        <w:spacing w:after="0" w:line="332" w:lineRule="auto"/>
        <w:rPr>
          <w:sz w:val="20"/>
          <w:szCs w:val="20"/>
          <w:color w:val="auto"/>
        </w:rPr>
      </w:pPr>
      <w:r>
        <w:rPr>
          <w:rFonts w:ascii="Arial" w:cs="Arial" w:eastAsia="Arial" w:hAnsi="Arial"/>
          <w:sz w:val="15"/>
          <w:szCs w:val="15"/>
          <w:color w:val="auto"/>
        </w:rPr>
        <w:t>During the three and nine months ended September 30, 2022 and 2021, the Company incurred costs of zero and $7.5 million, respectively, and $2.4 million and $37.8 million, respectively, primarily related to restructuring expenses and costs associated with the acquisitions of SpotX and SpringServe.</w:t>
      </w:r>
    </w:p>
    <w:p>
      <w:pPr>
        <w:spacing w:after="0" w:line="1" w:lineRule="exact"/>
        <w:rPr>
          <w:sz w:val="20"/>
          <w:szCs w:val="20"/>
          <w:color w:val="auto"/>
        </w:rPr>
      </w:pPr>
    </w:p>
    <w:p>
      <w:pPr>
        <w:ind w:right="320" w:firstLine="621"/>
        <w:spacing w:after="0" w:line="285" w:lineRule="auto"/>
        <w:rPr>
          <w:sz w:val="20"/>
          <w:szCs w:val="20"/>
          <w:color w:val="auto"/>
        </w:rPr>
      </w:pPr>
      <w:r>
        <w:rPr>
          <w:rFonts w:ascii="Arial" w:cs="Arial" w:eastAsia="Arial" w:hAnsi="Arial"/>
          <w:sz w:val="16"/>
          <w:szCs w:val="16"/>
          <w:color w:val="auto"/>
        </w:rPr>
        <w:t>Accrued restructuring costs related to mergers and acquisitions were $1.4 million and $2.7 million at September 30, 2022 and December 31, 2021, respectively, and were primarily related to the SpotX Acquisition, the SpringServe Acquisition, and the Telaria Merger. Accrued restructuring costs associated with personnel costs are included within accounts payable and accrued expenses and accruals related to the assumed loss contracts are included within other current liabilities and other liabilities, non-current on the Company's condensed consolidated balance sheets.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6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(in thousands)</w:t>
            </w:r>
          </w:p>
        </w:tc>
      </w:tr>
      <w:tr>
        <w:trPr>
          <w:trHeight w:val="220"/>
        </w:trPr>
        <w:tc>
          <w:tcPr>
            <w:tcW w:w="9360" w:type="dxa"/>
            <w:vAlign w:val="bottom"/>
          </w:tcPr>
          <w:p>
            <w:pPr>
              <w:ind w:left="20"/>
              <w:spacing w:after="0"/>
              <w:rPr>
                <w:sz w:val="20"/>
                <w:szCs w:val="20"/>
                <w:color w:val="auto"/>
              </w:rPr>
            </w:pPr>
            <w:r>
              <w:rPr>
                <w:rFonts w:ascii="Arial" w:cs="Arial" w:eastAsia="Arial" w:hAnsi="Arial"/>
                <w:sz w:val="17"/>
                <w:szCs w:val="17"/>
                <w:color w:val="auto"/>
              </w:rPr>
              <w:t>Accrued restructuring costs at December 31, 2021</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560" w:type="dxa"/>
            <w:vAlign w:val="bottom"/>
          </w:tcPr>
          <w:p>
            <w:pPr>
              <w:jc w:val="center"/>
              <w:ind w:left="956"/>
              <w:spacing w:after="0"/>
              <w:rPr>
                <w:sz w:val="20"/>
                <w:szCs w:val="20"/>
                <w:color w:val="auto"/>
              </w:rPr>
            </w:pPr>
            <w:r>
              <w:rPr>
                <w:rFonts w:ascii="Arial" w:cs="Arial" w:eastAsia="Arial" w:hAnsi="Arial"/>
                <w:sz w:val="17"/>
                <w:szCs w:val="17"/>
                <w:color w:val="auto"/>
                <w:w w:val="93"/>
              </w:rPr>
              <w:t>2,742</w:t>
            </w:r>
          </w:p>
        </w:tc>
      </w:tr>
      <w:tr>
        <w:trPr>
          <w:trHeight w:val="220"/>
        </w:trPr>
        <w:tc>
          <w:tcPr>
            <w:tcW w:w="9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Restructuring costs, personnel related and non-cash stock-based compensation</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956"/>
              <w:spacing w:after="0"/>
              <w:rPr>
                <w:sz w:val="20"/>
                <w:szCs w:val="20"/>
                <w:color w:val="auto"/>
              </w:rPr>
            </w:pPr>
            <w:r>
              <w:rPr>
                <w:rFonts w:ascii="Arial" w:cs="Arial" w:eastAsia="Arial" w:hAnsi="Arial"/>
                <w:sz w:val="17"/>
                <w:szCs w:val="17"/>
                <w:color w:val="auto"/>
                <w:w w:val="93"/>
              </w:rPr>
              <w:t>3,231</w:t>
            </w:r>
          </w:p>
        </w:tc>
      </w:tr>
      <w:tr>
        <w:trPr>
          <w:trHeight w:val="220"/>
        </w:trPr>
        <w:tc>
          <w:tcPr>
            <w:tcW w:w="9360" w:type="dxa"/>
            <w:vAlign w:val="bottom"/>
          </w:tcPr>
          <w:p>
            <w:pPr>
              <w:ind w:left="120"/>
              <w:spacing w:after="0"/>
              <w:rPr>
                <w:sz w:val="20"/>
                <w:szCs w:val="20"/>
                <w:color w:val="auto"/>
              </w:rPr>
            </w:pPr>
            <w:r>
              <w:rPr>
                <w:rFonts w:ascii="Arial" w:cs="Arial" w:eastAsia="Arial" w:hAnsi="Arial"/>
                <w:sz w:val="17"/>
                <w:szCs w:val="17"/>
                <w:color w:val="auto"/>
              </w:rPr>
              <w:t>Restructuring costs, impairments</w:t>
            </w:r>
          </w:p>
        </w:tc>
        <w:tc>
          <w:tcPr>
            <w:tcW w:w="320" w:type="dxa"/>
            <w:vAlign w:val="bottom"/>
          </w:tcPr>
          <w:p>
            <w:pPr>
              <w:spacing w:after="0"/>
              <w:rPr>
                <w:sz w:val="19"/>
                <w:szCs w:val="19"/>
                <w:color w:val="auto"/>
              </w:rPr>
            </w:pPr>
          </w:p>
        </w:tc>
        <w:tc>
          <w:tcPr>
            <w:tcW w:w="1560" w:type="dxa"/>
            <w:vAlign w:val="bottom"/>
          </w:tcPr>
          <w:p>
            <w:pPr>
              <w:jc w:val="center"/>
              <w:ind w:left="956"/>
              <w:spacing w:after="0"/>
              <w:rPr>
                <w:sz w:val="20"/>
                <w:szCs w:val="20"/>
                <w:color w:val="auto"/>
              </w:rPr>
            </w:pPr>
            <w:r>
              <w:rPr>
                <w:rFonts w:ascii="Arial" w:cs="Arial" w:eastAsia="Arial" w:hAnsi="Arial"/>
                <w:sz w:val="17"/>
                <w:szCs w:val="17"/>
                <w:color w:val="auto"/>
                <w:w w:val="93"/>
              </w:rPr>
              <w:t>3,320</w:t>
            </w:r>
          </w:p>
        </w:tc>
      </w:tr>
      <w:tr>
        <w:trPr>
          <w:trHeight w:val="220"/>
        </w:trPr>
        <w:tc>
          <w:tcPr>
            <w:tcW w:w="9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paid for restructuring costs</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936"/>
              <w:spacing w:after="0"/>
              <w:rPr>
                <w:sz w:val="20"/>
                <w:szCs w:val="20"/>
                <w:color w:val="auto"/>
              </w:rPr>
            </w:pPr>
            <w:r>
              <w:rPr>
                <w:rFonts w:ascii="Arial" w:cs="Arial" w:eastAsia="Arial" w:hAnsi="Arial"/>
                <w:sz w:val="17"/>
                <w:szCs w:val="17"/>
                <w:color w:val="auto"/>
                <w:w w:val="92"/>
              </w:rPr>
              <w:t>(2,571)</w:t>
            </w:r>
          </w:p>
        </w:tc>
      </w:tr>
      <w:tr>
        <w:trPr>
          <w:trHeight w:val="220"/>
        </w:trPr>
        <w:tc>
          <w:tcPr>
            <w:tcW w:w="9360" w:type="dxa"/>
            <w:vAlign w:val="bottom"/>
          </w:tcPr>
          <w:p>
            <w:pPr>
              <w:ind w:left="120"/>
              <w:spacing w:after="0"/>
              <w:rPr>
                <w:sz w:val="20"/>
                <w:szCs w:val="20"/>
                <w:color w:val="auto"/>
              </w:rPr>
            </w:pPr>
            <w:r>
              <w:rPr>
                <w:rFonts w:ascii="Arial" w:cs="Arial" w:eastAsia="Arial" w:hAnsi="Arial"/>
                <w:sz w:val="17"/>
                <w:szCs w:val="17"/>
                <w:color w:val="auto"/>
              </w:rPr>
              <w:t>Non-cash impairments</w:t>
            </w:r>
          </w:p>
        </w:tc>
        <w:tc>
          <w:tcPr>
            <w:tcW w:w="320" w:type="dxa"/>
            <w:vAlign w:val="bottom"/>
          </w:tcPr>
          <w:p>
            <w:pPr>
              <w:spacing w:after="0"/>
              <w:rPr>
                <w:sz w:val="19"/>
                <w:szCs w:val="19"/>
                <w:color w:val="auto"/>
              </w:rPr>
            </w:pPr>
          </w:p>
        </w:tc>
        <w:tc>
          <w:tcPr>
            <w:tcW w:w="1560" w:type="dxa"/>
            <w:vAlign w:val="bottom"/>
          </w:tcPr>
          <w:p>
            <w:pPr>
              <w:jc w:val="center"/>
              <w:ind w:left="936"/>
              <w:spacing w:after="0"/>
              <w:rPr>
                <w:sz w:val="20"/>
                <w:szCs w:val="20"/>
                <w:color w:val="auto"/>
              </w:rPr>
            </w:pPr>
            <w:r>
              <w:rPr>
                <w:rFonts w:ascii="Arial" w:cs="Arial" w:eastAsia="Arial" w:hAnsi="Arial"/>
                <w:sz w:val="17"/>
                <w:szCs w:val="17"/>
                <w:color w:val="auto"/>
                <w:w w:val="92"/>
              </w:rPr>
              <w:t>(3,320)</w:t>
            </w:r>
          </w:p>
        </w:tc>
      </w:tr>
      <w:tr>
        <w:trPr>
          <w:trHeight w:val="220"/>
        </w:trPr>
        <w:tc>
          <w:tcPr>
            <w:tcW w:w="9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Non-cash stock-based compensation</w:t>
            </w: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ind w:left="936"/>
              <w:spacing w:after="0"/>
              <w:rPr>
                <w:sz w:val="20"/>
                <w:szCs w:val="20"/>
                <w:color w:val="auto"/>
              </w:rPr>
            </w:pPr>
            <w:r>
              <w:rPr>
                <w:rFonts w:ascii="Arial" w:cs="Arial" w:eastAsia="Arial" w:hAnsi="Arial"/>
                <w:sz w:val="17"/>
                <w:szCs w:val="17"/>
                <w:color w:val="auto"/>
                <w:w w:val="92"/>
              </w:rPr>
              <w:t>(2,004)</w:t>
            </w:r>
          </w:p>
        </w:tc>
      </w:tr>
      <w:tr>
        <w:trPr>
          <w:trHeight w:val="213"/>
        </w:trPr>
        <w:tc>
          <w:tcPr>
            <w:tcW w:w="9360" w:type="dxa"/>
            <w:vAlign w:val="bottom"/>
          </w:tcPr>
          <w:p>
            <w:pPr>
              <w:ind w:left="20"/>
              <w:spacing w:after="0"/>
              <w:rPr>
                <w:sz w:val="20"/>
                <w:szCs w:val="20"/>
                <w:color w:val="auto"/>
              </w:rPr>
            </w:pPr>
            <w:r>
              <w:rPr>
                <w:rFonts w:ascii="Arial" w:cs="Arial" w:eastAsia="Arial" w:hAnsi="Arial"/>
                <w:sz w:val="17"/>
                <w:szCs w:val="17"/>
                <w:color w:val="auto"/>
              </w:rPr>
              <w:t>Accrued restructuring costs at September 30, 2022</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center"/>
              <w:ind w:left="956"/>
              <w:spacing w:after="0"/>
              <w:rPr>
                <w:sz w:val="20"/>
                <w:szCs w:val="20"/>
                <w:color w:val="auto"/>
              </w:rPr>
            </w:pPr>
            <w:r>
              <w:rPr>
                <w:rFonts w:ascii="Arial" w:cs="Arial" w:eastAsia="Arial" w:hAnsi="Arial"/>
                <w:sz w:val="17"/>
                <w:szCs w:val="17"/>
                <w:color w:val="auto"/>
                <w:w w:val="93"/>
              </w:rPr>
              <w:t>1,398</w:t>
            </w:r>
          </w:p>
        </w:tc>
      </w:tr>
      <w:tr>
        <w:trPr>
          <w:trHeight w:val="20"/>
        </w:trPr>
        <w:tc>
          <w:tcPr>
            <w:tcW w:w="9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9—Stock-Based Compensation</w:t>
      </w:r>
    </w:p>
    <w:p>
      <w:pPr>
        <w:spacing w:after="0" w:line="108" w:lineRule="exact"/>
        <w:rPr>
          <w:sz w:val="20"/>
          <w:szCs w:val="20"/>
          <w:color w:val="auto"/>
        </w:rPr>
      </w:pPr>
    </w:p>
    <w:p>
      <w:pPr>
        <w:ind w:right="40" w:firstLine="582"/>
        <w:spacing w:after="0" w:line="275" w:lineRule="auto"/>
        <w:rPr>
          <w:sz w:val="20"/>
          <w:szCs w:val="20"/>
          <w:color w:val="auto"/>
        </w:rPr>
      </w:pPr>
      <w:r>
        <w:rPr>
          <w:rFonts w:ascii="Arial" w:cs="Arial" w:eastAsia="Arial" w:hAnsi="Arial"/>
          <w:sz w:val="16"/>
          <w:szCs w:val="16"/>
          <w:color w:val="auto"/>
        </w:rPr>
        <w:t>In connection with its IPO, the Company implemented its 2014 Equity Incentive Plan, which governs equity awards made to employees and directors of the Company since the IPO. Prior to the IPO, the Company granted equity awards under its 2007 Stock Incentive Plan, which governs equity awards made to employees and contractors prior to the IPO. In November 2014, the Company approved the 2014 Inducement Grant Equity Incentive Plan (the "Inducement Plan"), which governs certain equity awards made to certain employees in connection with commencement of employment. In connection with the Company's acquisitions of Chango Inc. ("Chango"), iSocket, Inc. ("iSocket"), and nToggle, Inc. ("nToggle") it assumed the existing employee equity award plans, the 2009 Chango Stock Option Plan (the "Chango Plan"), the iSocket 2009 Equity Incentive Plan (the "iSocket Plan"), and the nToggle 2014 Equity Incentive Plan (the "nToggle Plan"). In connection with the Merger with Telaria, the Company assumed Telaria's 2013 Equity Incentive Plan, as amended (the "Telaria Plan"); the 2008 Stock Plan, as amended (the "2008 Stock Plan"); and the ScanScout, Inc. 2009 Equity Incentive Plan, as amended (the "ScanScout Plan"). All compensatory equity awards outstanding at September 30, 2022 were issued pursuant to the 2014 Equity Incentive Plan, the nToggle Plan, the Telaria Plan, the 2008 Stock Plan, the Inducement Plan, or the Company's 2007 Stock Incentive Plan.</w:t>
      </w:r>
    </w:p>
    <w:p>
      <w:pPr>
        <w:spacing w:after="0" w:line="39" w:lineRule="exact"/>
        <w:rPr>
          <w:sz w:val="20"/>
          <w:szCs w:val="20"/>
          <w:color w:val="auto"/>
        </w:rPr>
      </w:pPr>
    </w:p>
    <w:p>
      <w:pPr>
        <w:ind w:right="40" w:firstLine="582"/>
        <w:spacing w:after="0" w:line="279" w:lineRule="auto"/>
        <w:rPr>
          <w:sz w:val="20"/>
          <w:szCs w:val="20"/>
          <w:color w:val="auto"/>
        </w:rPr>
      </w:pPr>
      <w:r>
        <w:rPr>
          <w:rFonts w:ascii="Arial" w:cs="Arial" w:eastAsia="Arial" w:hAnsi="Arial"/>
          <w:sz w:val="16"/>
          <w:szCs w:val="16"/>
          <w:color w:val="auto"/>
        </w:rPr>
        <w:t>The Company’s equity incentive plans provide for the grant of equity awards, including non-statutory or incentive stock options, restricted stock awards ("RSAs"), restricted stock units that vest based on continuous service ("RSUs"), and restricted stock units that include performance criteria (“performance stock units” or "PSUs"), to the Company's employees, officers, directors, and consultants. The Company's board of directors administers the plans. Options vest based upon continued service at varying rates, but generally over four years from issuance with 25% vesting after one year of service and the remainder vesting monthly thereafter. RSAs and RSUs vest at varying rates, typically approximately 25% vesting after approximately one year of service and the remainder vesting annually, semi-annually, or quarterly thereafter. The restricted stock units granted in 2022 included 0.4 million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awards that vest 50% on each of the first and second anniversaries of the grant date. Options, RSAs, and RSUs granted under the plans accelerate under certain circumstances for certain participants upon a change in control, as defined in the governing plan. No further awards were granted under the iSocket Plan, the Chango Plan, or the nToggle Plan from the date of acquisition and no further awards were granted under the 2007 Stock Incentive Plan since the IPO. Available shares under the nToggle Plan and the Telaria Plan were rolled into the available share pool under the 2014 Equity Incentive Plan at the time of acquisition of each company, and available shares under the 2007 Stock Incentive Plan were rolled into the available share pool under the 2014 Equity Incentive Plan at the time of the IPO. An aggregate of 14,322,384 shares remained available for future grants at September 30, 2022 under the plans. The 2014 Equity Incentive Plan has an evergreen provision pursuant to which the share reserve will automatically increase on January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each year in an amount equal to 5% of the total number of shares of capital stock outstanding on December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the preceding calendar year, although the Company’s board of directors may provide for a lesser increase, or no increase, in any year. The 2014 Inducement Grant Equity Incentive Plan has a provision pursuant to which the share reserve may be increased at the discretion of the Company's board of directors.</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 Options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stock option activity for the nine months ended September 30, 2022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48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w w:val="95"/>
              </w:rPr>
              <w:t>Shares Under Option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 Average</w:t>
            </w:r>
          </w:p>
        </w:tc>
        <w:tc>
          <w:tcPr>
            <w:tcW w:w="200" w:type="dxa"/>
            <w:vAlign w:val="bottom"/>
          </w:tcPr>
          <w:p>
            <w:pPr>
              <w:spacing w:after="0"/>
              <w:rPr>
                <w:sz w:val="14"/>
                <w:szCs w:val="14"/>
                <w:color w:val="auto"/>
              </w:rPr>
            </w:pPr>
          </w:p>
        </w:tc>
        <w:tc>
          <w:tcPr>
            <w:tcW w:w="1300" w:type="dxa"/>
            <w:vAlign w:val="bottom"/>
          </w:tcPr>
          <w:p>
            <w:pPr>
              <w:jc w:val="center"/>
              <w:ind w:right="12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Average 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Contractual Life</w:t>
            </w:r>
          </w:p>
        </w:tc>
        <w:tc>
          <w:tcPr>
            <w:tcW w:w="200" w:type="dxa"/>
            <w:vAlign w:val="bottom"/>
          </w:tcPr>
          <w:p>
            <w:pPr>
              <w:spacing w:after="0"/>
              <w:rPr>
                <w:sz w:val="16"/>
                <w:szCs w:val="16"/>
                <w:color w:val="auto"/>
              </w:rPr>
            </w:pPr>
          </w:p>
        </w:tc>
        <w:tc>
          <w:tcPr>
            <w:tcW w:w="1300" w:type="dxa"/>
            <w:vAlign w:val="bottom"/>
          </w:tcPr>
          <w:p>
            <w:pPr>
              <w:jc w:val="center"/>
              <w:ind w:right="124"/>
              <w:spacing w:after="0"/>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94"/>
        </w:trPr>
        <w:tc>
          <w:tcPr>
            <w:tcW w:w="4960" w:type="dxa"/>
            <w:vAlign w:val="bottom"/>
          </w:tcPr>
          <w:p>
            <w:pPr>
              <w:spacing w:after="0"/>
              <w:rPr>
                <w:sz w:val="16"/>
                <w:szCs w:val="16"/>
                <w:color w:val="auto"/>
              </w:rPr>
            </w:pPr>
          </w:p>
        </w:tc>
        <w:tc>
          <w:tcPr>
            <w:tcW w:w="1480" w:type="dxa"/>
            <w:vAlign w:val="bottom"/>
            <w:tcBorders>
              <w:top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5"/>
        </w:trPr>
        <w:tc>
          <w:tcPr>
            <w:tcW w:w="4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5,129</w:t>
            </w:r>
          </w:p>
        </w:tc>
        <w:tc>
          <w:tcPr>
            <w:tcW w:w="360" w:type="dxa"/>
            <w:vAlign w:val="bottom"/>
            <w:gridSpan w:val="2"/>
            <w:shd w:val="clear" w:color="auto" w:fill="CCEEFF"/>
          </w:tcPr>
          <w:p>
            <w:pPr>
              <w:jc w:val="right"/>
              <w:ind w:right="91"/>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tcPr>
          <w:p>
            <w:pPr>
              <w:ind w:left="2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699</w:t>
            </w:r>
          </w:p>
        </w:tc>
        <w:tc>
          <w:tcPr>
            <w:tcW w:w="36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13.90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360" w:type="dxa"/>
            <w:vAlign w:val="bottom"/>
            <w:gridSpan w:val="2"/>
            <w:shd w:val="clear" w:color="auto" w:fill="CCEEFF"/>
          </w:tcPr>
          <w:p>
            <w:pPr>
              <w:jc w:val="right"/>
              <w:ind w:right="91"/>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tcPr>
          <w:p>
            <w:pPr>
              <w:ind w:left="20"/>
              <w:spacing w:after="0"/>
              <w:rPr>
                <w:sz w:val="20"/>
                <w:szCs w:val="20"/>
                <w:color w:val="auto"/>
              </w:rPr>
            </w:pPr>
            <w:r>
              <w:rPr>
                <w:rFonts w:ascii="Arial" w:cs="Arial" w:eastAsia="Arial" w:hAnsi="Arial"/>
                <w:sz w:val="17"/>
                <w:szCs w:val="17"/>
                <w:color w:val="auto"/>
              </w:rPr>
              <w:t>Expired</w:t>
            </w:r>
          </w:p>
        </w:tc>
        <w:tc>
          <w:tcPr>
            <w:tcW w:w="1480" w:type="dxa"/>
            <w:vAlign w:val="bottom"/>
          </w:tcPr>
          <w:p>
            <w:pPr>
              <w:jc w:val="right"/>
              <w:spacing w:after="0"/>
              <w:rPr>
                <w:sz w:val="20"/>
                <w:szCs w:val="20"/>
                <w:color w:val="auto"/>
              </w:rPr>
            </w:pPr>
            <w:r>
              <w:rPr>
                <w:rFonts w:ascii="Arial" w:cs="Arial" w:eastAsia="Arial" w:hAnsi="Arial"/>
                <w:sz w:val="17"/>
                <w:szCs w:val="17"/>
                <w:color w:val="auto"/>
              </w:rPr>
              <w:t>(391)</w:t>
            </w:r>
          </w:p>
        </w:tc>
        <w:tc>
          <w:tcPr>
            <w:tcW w:w="36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5.72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360" w:type="dxa"/>
            <w:vAlign w:val="bottom"/>
            <w:gridSpan w:val="2"/>
            <w:shd w:val="clear" w:color="auto" w:fill="CCEEFF"/>
          </w:tcPr>
          <w:p>
            <w:pPr>
              <w:jc w:val="right"/>
              <w:ind w:right="91"/>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20"/>
              <w:spacing w:after="0"/>
              <w:rPr>
                <w:sz w:val="20"/>
                <w:szCs w:val="20"/>
                <w:color w:val="auto"/>
              </w:rPr>
            </w:pPr>
            <w:r>
              <w:rPr>
                <w:rFonts w:ascii="Arial" w:cs="Arial" w:eastAsia="Arial" w:hAnsi="Arial"/>
                <w:sz w:val="17"/>
                <w:szCs w:val="17"/>
                <w:color w:val="auto"/>
              </w:rPr>
              <w:t>Outstanding at September 30, 2022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4,800</w:t>
            </w:r>
          </w:p>
        </w:tc>
        <w:tc>
          <w:tcPr>
            <w:tcW w:w="36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8.62</w:t>
            </w:r>
          </w:p>
        </w:tc>
        <w:tc>
          <w:tcPr>
            <w:tcW w:w="1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5.7 years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6,100</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Exercisable at September 30, 2022</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3,583</w:t>
            </w:r>
          </w:p>
        </w:tc>
        <w:tc>
          <w:tcPr>
            <w:tcW w:w="360" w:type="dxa"/>
            <w:vAlign w:val="bottom"/>
            <w:gridSpan w:val="2"/>
            <w:shd w:val="clear" w:color="auto" w:fill="CCEEFF"/>
          </w:tcPr>
          <w:p>
            <w:pPr>
              <w:jc w:val="right"/>
              <w:ind w:right="91"/>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8"/>
              </w:rPr>
              <w:t>4.8 years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5,556</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20" w:firstLine="621"/>
        <w:spacing w:after="0" w:line="320" w:lineRule="auto"/>
        <w:rPr>
          <w:sz w:val="20"/>
          <w:szCs w:val="20"/>
          <w:color w:val="auto"/>
        </w:rPr>
      </w:pPr>
      <w:r>
        <w:rPr>
          <w:rFonts w:ascii="Arial" w:cs="Arial" w:eastAsia="Arial" w:hAnsi="Arial"/>
          <w:sz w:val="15"/>
          <w:szCs w:val="15"/>
          <w:color w:val="auto"/>
        </w:rPr>
        <w:t>The total intrinsic value of options exercised during the nine months ended September 30, 2022 was $4.6 million. At September 30, 2022, the Company had unrecognized employee stock-based compensation expense relating to nonvested stock options of approximately $9.4 million, which is expected to be recognized over a weighted-average period of 2.5 years. Total fair value of options vested during the nine months ended September 30, 2022 was $4.4 million.</w:t>
      </w:r>
    </w:p>
    <w:p>
      <w:pPr>
        <w:spacing w:after="0" w:line="22" w:lineRule="exact"/>
        <w:rPr>
          <w:sz w:val="20"/>
          <w:szCs w:val="20"/>
          <w:color w:val="auto"/>
        </w:rPr>
      </w:pPr>
    </w:p>
    <w:p>
      <w:pPr>
        <w:jc w:val="both"/>
        <w:ind w:right="40" w:firstLine="621"/>
        <w:spacing w:after="0" w:line="268" w:lineRule="auto"/>
        <w:rPr>
          <w:sz w:val="20"/>
          <w:szCs w:val="20"/>
          <w:color w:val="auto"/>
        </w:rPr>
      </w:pPr>
      <w:r>
        <w:rPr>
          <w:rFonts w:ascii="Arial" w:cs="Arial" w:eastAsia="Arial" w:hAnsi="Arial"/>
          <w:sz w:val="17"/>
          <w:szCs w:val="17"/>
          <w:color w:val="auto"/>
        </w:rPr>
        <w:t>The Company estimates the fair value of stock options that contain service and/or performance conditions using the Black-Scholes option pricing model. The grant date fair value of options granted during the nine months ended September 30, 2022 was $8.93 per share. The weighted-average input assumptions used by the Company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20" w:type="dxa"/>
            <w:vAlign w:val="bottom"/>
            <w:shd w:val="clear" w:color="auto" w:fill="CCEEFF"/>
          </w:tcPr>
          <w:p>
            <w:pPr>
              <w:spacing w:after="0"/>
              <w:rPr>
                <w:sz w:val="16"/>
                <w:szCs w:val="16"/>
                <w:color w:val="auto"/>
              </w:rPr>
            </w:pPr>
          </w:p>
        </w:tc>
        <w:tc>
          <w:tcPr>
            <w:tcW w:w="3200" w:type="dxa"/>
            <w:vAlign w:val="bottom"/>
            <w:gridSpan w:val="4"/>
            <w:shd w:val="clear" w:color="auto" w:fill="CCEEFF"/>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3220" w:type="dxa"/>
            <w:vAlign w:val="bottom"/>
            <w:gridSpan w:val="3"/>
            <w:shd w:val="clear" w:color="auto" w:fill="CCEEFF"/>
          </w:tcPr>
          <w:p>
            <w:pPr>
              <w:jc w:val="right"/>
              <w:ind w:right="937"/>
              <w:spacing w:after="0"/>
              <w:rPr>
                <w:sz w:val="20"/>
                <w:szCs w:val="20"/>
                <w:color w:val="auto"/>
              </w:rPr>
            </w:pPr>
            <w:r>
              <w:rPr>
                <w:rFonts w:ascii="Arial" w:cs="Arial" w:eastAsia="Arial" w:hAnsi="Arial"/>
                <w:sz w:val="14"/>
                <w:szCs w:val="14"/>
                <w:b w:val="1"/>
                <w:bCs w:val="1"/>
                <w:color w:val="auto"/>
              </w:rPr>
              <w:t>Nine Months Ended</w:t>
            </w:r>
          </w:p>
        </w:tc>
      </w:tr>
      <w:tr>
        <w:trPr>
          <w:trHeight w:val="180"/>
        </w:trPr>
        <w:tc>
          <w:tcPr>
            <w:tcW w:w="4820" w:type="dxa"/>
            <w:vAlign w:val="bottom"/>
            <w:tcBorders>
              <w:bottom w:val="single" w:sz="8" w:color="CCEEFF"/>
            </w:tcBorders>
          </w:tcPr>
          <w:p>
            <w:pPr>
              <w:spacing w:after="0"/>
              <w:rPr>
                <w:sz w:val="15"/>
                <w:szCs w:val="15"/>
                <w:color w:val="auto"/>
              </w:rPr>
            </w:pPr>
          </w:p>
        </w:tc>
        <w:tc>
          <w:tcPr>
            <w:tcW w:w="1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w w:val="96"/>
              </w:rPr>
              <w:t>September 30, 2022</w:t>
            </w:r>
          </w:p>
        </w:tc>
        <w:tc>
          <w:tcPr>
            <w:tcW w:w="100" w:type="dxa"/>
            <w:vAlign w:val="bottom"/>
            <w:tcBorders>
              <w:top w:val="single" w:sz="8" w:color="auto"/>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Borders>
              <w:top w:val="single" w:sz="8" w:color="auto"/>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September 30, 2021</w:t>
            </w:r>
          </w:p>
        </w:tc>
      </w:tr>
      <w:tr>
        <w:trPr>
          <w:trHeight w:val="220"/>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152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N/A</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20"/>
        </w:trPr>
        <w:tc>
          <w:tcPr>
            <w:tcW w:w="482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1520" w:type="dxa"/>
            <w:vAlign w:val="bottom"/>
            <w:gridSpan w:val="2"/>
          </w:tcPr>
          <w:p>
            <w:pPr>
              <w:ind w:left="1100"/>
              <w:spacing w:after="0"/>
              <w:rPr>
                <w:sz w:val="20"/>
                <w:szCs w:val="20"/>
                <w:color w:val="auto"/>
              </w:rPr>
            </w:pPr>
            <w:r>
              <w:rPr>
                <w:rFonts w:ascii="Arial" w:cs="Arial" w:eastAsia="Arial" w:hAnsi="Arial"/>
                <w:sz w:val="17"/>
                <w:szCs w:val="17"/>
                <w:color w:val="auto"/>
              </w:rPr>
              <w:t>N/A</w:t>
            </w:r>
          </w:p>
        </w:tc>
        <w:tc>
          <w:tcPr>
            <w:tcW w:w="1560" w:type="dxa"/>
            <w:vAlign w:val="bottom"/>
          </w:tcPr>
          <w:p>
            <w:pPr>
              <w:jc w:val="right"/>
              <w:spacing w:after="0"/>
              <w:rPr>
                <w:sz w:val="20"/>
                <w:szCs w:val="20"/>
                <w:color w:val="auto"/>
              </w:rPr>
            </w:pPr>
            <w:r>
              <w:rPr>
                <w:rFonts w:ascii="Arial" w:cs="Arial" w:eastAsia="Arial" w:hAnsi="Arial"/>
                <w:sz w:val="17"/>
                <w:szCs w:val="17"/>
                <w:color w:val="auto"/>
              </w:rPr>
              <w:t>0.90 %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1.63 %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0.88 %</w:t>
            </w:r>
          </w:p>
        </w:tc>
      </w:tr>
      <w:tr>
        <w:trPr>
          <w:trHeight w:val="220"/>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152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N/A</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79 %</w:t>
            </w:r>
          </w:p>
        </w:tc>
      </w:tr>
      <w:tr>
        <w:trPr>
          <w:trHeight w:val="220"/>
        </w:trPr>
        <w:tc>
          <w:tcPr>
            <w:tcW w:w="482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1520" w:type="dxa"/>
            <w:vAlign w:val="bottom"/>
            <w:gridSpan w:val="2"/>
          </w:tcPr>
          <w:p>
            <w:pPr>
              <w:ind w:left="1100"/>
              <w:spacing w:after="0"/>
              <w:rPr>
                <w:sz w:val="20"/>
                <w:szCs w:val="20"/>
                <w:color w:val="auto"/>
              </w:rPr>
            </w:pPr>
            <w:r>
              <w:rPr>
                <w:rFonts w:ascii="Arial" w:cs="Arial" w:eastAsia="Arial" w:hAnsi="Arial"/>
                <w:sz w:val="17"/>
                <w:szCs w:val="17"/>
                <w:color w:val="auto"/>
              </w:rPr>
              <w:t>N/A</w:t>
            </w:r>
          </w:p>
        </w:tc>
        <w:tc>
          <w:tcPr>
            <w:tcW w:w="168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6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56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789"/>
        </w:trPr>
        <w:tc>
          <w:tcPr>
            <w:tcW w:w="4820" w:type="dxa"/>
            <w:vAlign w:val="bottom"/>
          </w:tcPr>
          <w:p>
            <w:pPr>
              <w:spacing w:after="0"/>
              <w:rPr>
                <w:sz w:val="24"/>
                <w:szCs w:val="24"/>
                <w:color w:val="auto"/>
              </w:rPr>
            </w:pPr>
          </w:p>
        </w:tc>
        <w:tc>
          <w:tcPr>
            <w:tcW w:w="1420" w:type="dxa"/>
            <w:vAlign w:val="bottom"/>
          </w:tcPr>
          <w:p>
            <w:pPr>
              <w:ind w:left="720"/>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09"/>
        </w:trPr>
        <w:tc>
          <w:tcPr>
            <w:tcW w:w="48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restricted stock unit activity for the nine months ended September 30, 2022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Number of Shares</w:t>
            </w:r>
          </w:p>
        </w:tc>
        <w:tc>
          <w:tcPr>
            <w:tcW w:w="2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Weighted-Average Grant</w:t>
            </w:r>
          </w:p>
        </w:tc>
        <w:tc>
          <w:tcPr>
            <w:tcW w:w="0" w:type="dxa"/>
            <w:vAlign w:val="bottom"/>
          </w:tcPr>
          <w:p>
            <w:pPr>
              <w:spacing w:after="0"/>
              <w:rPr>
                <w:sz w:val="1"/>
                <w:szCs w:val="1"/>
                <w:color w:val="auto"/>
              </w:rPr>
            </w:pPr>
          </w:p>
        </w:tc>
      </w:tr>
      <w:tr>
        <w:trPr>
          <w:trHeight w:val="185"/>
        </w:trPr>
        <w:tc>
          <w:tcPr>
            <w:tcW w:w="776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85"/>
        </w:trPr>
        <w:tc>
          <w:tcPr>
            <w:tcW w:w="776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 outstanding at December 31, 2021</w:t>
            </w:r>
          </w:p>
        </w:tc>
        <w:tc>
          <w:tcPr>
            <w:tcW w:w="1600" w:type="dxa"/>
            <w:vAlign w:val="bottom"/>
            <w:shd w:val="clear" w:color="auto" w:fill="CCEEFF"/>
          </w:tcPr>
          <w:p>
            <w:pPr>
              <w:jc w:val="center"/>
              <w:ind w:left="978"/>
              <w:spacing w:after="0"/>
              <w:rPr>
                <w:sz w:val="20"/>
                <w:szCs w:val="20"/>
                <w:color w:val="auto"/>
              </w:rPr>
            </w:pPr>
            <w:r>
              <w:rPr>
                <w:rFonts w:ascii="Arial" w:cs="Arial" w:eastAsia="Arial" w:hAnsi="Arial"/>
                <w:sz w:val="17"/>
                <w:szCs w:val="17"/>
                <w:color w:val="auto"/>
                <w:w w:val="89"/>
              </w:rPr>
              <w:t>6,634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18.39</w:t>
            </w:r>
          </w:p>
        </w:tc>
        <w:tc>
          <w:tcPr>
            <w:tcW w:w="0" w:type="dxa"/>
            <w:vAlign w:val="bottom"/>
          </w:tcPr>
          <w:p>
            <w:pPr>
              <w:spacing w:after="0"/>
              <w:rPr>
                <w:sz w:val="1"/>
                <w:szCs w:val="1"/>
                <w:color w:val="auto"/>
              </w:rPr>
            </w:pPr>
          </w:p>
        </w:tc>
      </w:tr>
      <w:tr>
        <w:trPr>
          <w:trHeight w:val="220"/>
        </w:trPr>
        <w:tc>
          <w:tcPr>
            <w:tcW w:w="7760" w:type="dxa"/>
            <w:vAlign w:val="bottom"/>
          </w:tcPr>
          <w:p>
            <w:pPr>
              <w:ind w:left="20"/>
              <w:spacing w:after="0"/>
              <w:rPr>
                <w:sz w:val="20"/>
                <w:szCs w:val="20"/>
                <w:color w:val="auto"/>
              </w:rPr>
            </w:pPr>
            <w:r>
              <w:rPr>
                <w:rFonts w:ascii="Arial" w:cs="Arial" w:eastAsia="Arial" w:hAnsi="Arial"/>
                <w:sz w:val="17"/>
                <w:szCs w:val="17"/>
                <w:color w:val="auto"/>
              </w:rPr>
              <w:t>Granted</w:t>
            </w:r>
          </w:p>
        </w:tc>
        <w:tc>
          <w:tcPr>
            <w:tcW w:w="1600" w:type="dxa"/>
            <w:vAlign w:val="bottom"/>
          </w:tcPr>
          <w:p>
            <w:pPr>
              <w:jc w:val="center"/>
              <w:ind w:left="978"/>
              <w:spacing w:after="0"/>
              <w:rPr>
                <w:sz w:val="20"/>
                <w:szCs w:val="20"/>
                <w:color w:val="auto"/>
              </w:rPr>
            </w:pPr>
            <w:r>
              <w:rPr>
                <w:rFonts w:ascii="Arial" w:cs="Arial" w:eastAsia="Arial" w:hAnsi="Arial"/>
                <w:sz w:val="17"/>
                <w:szCs w:val="17"/>
                <w:color w:val="auto"/>
                <w:w w:val="89"/>
              </w:rPr>
              <w:t>7,368</w:t>
            </w:r>
          </w:p>
        </w:tc>
        <w:tc>
          <w:tcPr>
            <w:tcW w:w="2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13.43</w:t>
            </w: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Canceled</w:t>
            </w:r>
          </w:p>
        </w:tc>
        <w:tc>
          <w:tcPr>
            <w:tcW w:w="1600" w:type="dxa"/>
            <w:vAlign w:val="bottom"/>
            <w:shd w:val="clear" w:color="auto" w:fill="CCEEFF"/>
          </w:tcPr>
          <w:p>
            <w:pPr>
              <w:jc w:val="center"/>
              <w:ind w:left="958"/>
              <w:spacing w:after="0"/>
              <w:rPr>
                <w:sz w:val="20"/>
                <w:szCs w:val="20"/>
                <w:color w:val="auto"/>
              </w:rPr>
            </w:pPr>
            <w:r>
              <w:rPr>
                <w:rFonts w:ascii="Arial" w:cs="Arial" w:eastAsia="Arial" w:hAnsi="Arial"/>
                <w:sz w:val="17"/>
                <w:szCs w:val="17"/>
                <w:color w:val="auto"/>
                <w:w w:val="96"/>
              </w:rPr>
              <w:t>(1,362)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0" w:type="dxa"/>
            <w:vAlign w:val="bottom"/>
          </w:tcPr>
          <w:p>
            <w:pPr>
              <w:spacing w:after="0"/>
              <w:rPr>
                <w:sz w:val="1"/>
                <w:szCs w:val="1"/>
                <w:color w:val="auto"/>
              </w:rPr>
            </w:pPr>
          </w:p>
        </w:tc>
      </w:tr>
      <w:tr>
        <w:trPr>
          <w:trHeight w:val="22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Vested and released</w:t>
            </w:r>
          </w:p>
        </w:tc>
        <w:tc>
          <w:tcPr>
            <w:tcW w:w="1600" w:type="dxa"/>
            <w:vAlign w:val="bottom"/>
            <w:tcBorders>
              <w:bottom w:val="single" w:sz="8" w:color="auto"/>
            </w:tcBorders>
          </w:tcPr>
          <w:p>
            <w:pPr>
              <w:jc w:val="center"/>
              <w:ind w:left="958"/>
              <w:spacing w:after="0"/>
              <w:rPr>
                <w:sz w:val="20"/>
                <w:szCs w:val="20"/>
                <w:color w:val="auto"/>
              </w:rPr>
            </w:pPr>
            <w:r>
              <w:rPr>
                <w:rFonts w:ascii="Arial" w:cs="Arial" w:eastAsia="Arial" w:hAnsi="Arial"/>
                <w:sz w:val="17"/>
                <w:szCs w:val="17"/>
                <w:color w:val="auto"/>
                <w:w w:val="96"/>
              </w:rPr>
              <w:t>(2,670)</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jc w:val="right"/>
              <w:ind w:right="36"/>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15.83</w:t>
            </w:r>
          </w:p>
        </w:tc>
        <w:tc>
          <w:tcPr>
            <w:tcW w:w="0" w:type="dxa"/>
            <w:vAlign w:val="bottom"/>
          </w:tcPr>
          <w:p>
            <w:pPr>
              <w:spacing w:after="0"/>
              <w:rPr>
                <w:sz w:val="1"/>
                <w:szCs w:val="1"/>
                <w:color w:val="auto"/>
              </w:rPr>
            </w:pP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stock units outstanding at September 30, 2022</w:t>
            </w:r>
          </w:p>
        </w:tc>
        <w:tc>
          <w:tcPr>
            <w:tcW w:w="1600" w:type="dxa"/>
            <w:vAlign w:val="bottom"/>
            <w:tcBorders>
              <w:bottom w:val="single" w:sz="8" w:color="auto"/>
            </w:tcBorders>
            <w:shd w:val="clear" w:color="auto" w:fill="CCEEFF"/>
          </w:tcPr>
          <w:p>
            <w:pPr>
              <w:jc w:val="center"/>
              <w:ind w:left="978"/>
              <w:spacing w:after="0"/>
              <w:rPr>
                <w:sz w:val="20"/>
                <w:szCs w:val="20"/>
                <w:color w:val="auto"/>
              </w:rPr>
            </w:pPr>
            <w:r>
              <w:rPr>
                <w:rFonts w:ascii="Arial" w:cs="Arial" w:eastAsia="Arial" w:hAnsi="Arial"/>
                <w:sz w:val="17"/>
                <w:szCs w:val="17"/>
                <w:color w:val="auto"/>
                <w:w w:val="89"/>
              </w:rPr>
              <w:t>9,970</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15.78</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Restricted stock units outstanding and unvested*</w:t>
            </w: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4"/>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bottom w:val="single" w:sz="8" w:color="CCEEFF"/>
            </w:tcBorders>
            <w:vMerge w:val="restart"/>
          </w:tcPr>
          <w:p>
            <w:pPr>
              <w:jc w:val="right"/>
              <w:ind w:right="36"/>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15.79</w:t>
            </w:r>
          </w:p>
        </w:tc>
        <w:tc>
          <w:tcPr>
            <w:tcW w:w="0" w:type="dxa"/>
            <w:vAlign w:val="bottom"/>
          </w:tcPr>
          <w:p>
            <w:pPr>
              <w:spacing w:after="0" w:line="20" w:lineRule="exact"/>
              <w:rPr>
                <w:sz w:val="1"/>
                <w:szCs w:val="1"/>
                <w:color w:val="auto"/>
              </w:rPr>
            </w:pPr>
          </w:p>
        </w:tc>
      </w:tr>
      <w:tr>
        <w:trPr>
          <w:trHeight w:val="192"/>
        </w:trPr>
        <w:tc>
          <w:tcPr>
            <w:tcW w:w="7760" w:type="dxa"/>
            <w:vAlign w:val="bottom"/>
            <w:vMerge w:val="continue"/>
          </w:tcPr>
          <w:p>
            <w:pPr>
              <w:spacing w:after="0"/>
              <w:rPr>
                <w:sz w:val="16"/>
                <w:szCs w:val="16"/>
                <w:color w:val="auto"/>
              </w:rPr>
            </w:pPr>
          </w:p>
        </w:tc>
        <w:tc>
          <w:tcPr>
            <w:tcW w:w="1600" w:type="dxa"/>
            <w:vAlign w:val="bottom"/>
          </w:tcPr>
          <w:p>
            <w:pPr>
              <w:jc w:val="center"/>
              <w:ind w:left="978"/>
              <w:spacing w:after="0" w:line="192" w:lineRule="exact"/>
              <w:rPr>
                <w:sz w:val="20"/>
                <w:szCs w:val="20"/>
                <w:color w:val="auto"/>
              </w:rPr>
            </w:pPr>
            <w:r>
              <w:rPr>
                <w:rFonts w:ascii="Arial" w:cs="Arial" w:eastAsia="Arial" w:hAnsi="Arial"/>
                <w:sz w:val="17"/>
                <w:szCs w:val="17"/>
                <w:color w:val="auto"/>
                <w:w w:val="89"/>
              </w:rPr>
              <w:t>9,952</w:t>
            </w:r>
          </w:p>
        </w:tc>
        <w:tc>
          <w:tcPr>
            <w:tcW w:w="2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080250" cy="1727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80250" cy="172720"/>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*At September 30, 2022, outstanding restricted stock units included 18,436 units that were vested but deferred.</w:t>
      </w:r>
    </w:p>
    <w:p>
      <w:pPr>
        <w:spacing w:after="0" w:line="181" w:lineRule="exact"/>
        <w:rPr>
          <w:sz w:val="20"/>
          <w:szCs w:val="20"/>
          <w:color w:val="auto"/>
        </w:rPr>
      </w:pPr>
    </w:p>
    <w:p>
      <w:pPr>
        <w:jc w:val="both"/>
        <w:ind w:right="20" w:firstLine="621"/>
        <w:spacing w:after="0" w:line="309" w:lineRule="auto"/>
        <w:rPr>
          <w:sz w:val="20"/>
          <w:szCs w:val="20"/>
          <w:color w:val="auto"/>
        </w:rPr>
      </w:pPr>
      <w:r>
        <w:rPr>
          <w:rFonts w:ascii="Arial" w:cs="Arial" w:eastAsia="Arial" w:hAnsi="Arial"/>
          <w:sz w:val="15"/>
          <w:szCs w:val="15"/>
          <w:color w:val="auto"/>
        </w:rPr>
        <w:t>The weighted-average grant date fair value per share of restricted stock units granted during the nine months ended September 30, 2022 was $13.43. The aggregate fair value of restricted stock units that vested during the nine months ended September 30, 2022 was $30.3 million. At September 30, 2022, the intrinsic value of unvested restricted stock units was $65.4 million. At September 30, 2022, the Company had unrecognized stock-based compensation expense relating to unvested restricted stock units of approximately $135.1 million, which is expected to be recognized over a weighted-average period of 2.8 years.</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Performance Stock Units</w:t>
      </w:r>
    </w:p>
    <w:p>
      <w:pPr>
        <w:spacing w:after="0" w:line="102" w:lineRule="exact"/>
        <w:rPr>
          <w:sz w:val="20"/>
          <w:szCs w:val="20"/>
          <w:color w:val="auto"/>
        </w:rPr>
      </w:pPr>
    </w:p>
    <w:p>
      <w:pPr>
        <w:ind w:firstLine="621"/>
        <w:spacing w:after="0" w:line="279" w:lineRule="auto"/>
        <w:rPr>
          <w:sz w:val="20"/>
          <w:szCs w:val="20"/>
          <w:color w:val="auto"/>
        </w:rPr>
      </w:pPr>
      <w:r>
        <w:rPr>
          <w:rFonts w:ascii="Arial" w:cs="Arial" w:eastAsia="Arial" w:hAnsi="Arial"/>
          <w:sz w:val="16"/>
          <w:szCs w:val="16"/>
          <w:color w:val="auto"/>
        </w:rPr>
        <w:t>In April 2020, April 2021, and February 2022, the Company granted the Company's CEO 146,341, 26,291, and 86,806 performance stock units that vest based on share price metrics tied to total shareholder return over a three-year period with a fair value of $0.9 million, $1.4 million, and $1.5 million, respectively. The grant date fair value per share of these grants was $6.15, $52.49, and $17.28, respectively, which was estimated using a Monte-Carlo lattice model. At September 30, 2022, the Company had unrecognized employee stock-based compensation expense for the April 2020, April 2021, and February 2022 grants of approximately $0.2 million, $0.7 million, and $1.2 million, which is expected to be recognized over the remaining 0.5 years, 1.5 years, and 2.3 years, respectively. Between 0% and 150% of the performance stock units will vest on the third anniversary of its grant date.</w:t>
      </w:r>
    </w:p>
    <w:p>
      <w:pPr>
        <w:spacing w:after="0" w:line="36" w:lineRule="exact"/>
        <w:rPr>
          <w:sz w:val="20"/>
          <w:szCs w:val="20"/>
          <w:color w:val="auto"/>
        </w:rPr>
      </w:pPr>
    </w:p>
    <w:p>
      <w:pPr>
        <w:ind w:right="40" w:firstLine="621"/>
        <w:spacing w:after="0" w:line="301" w:lineRule="auto"/>
        <w:rPr>
          <w:sz w:val="20"/>
          <w:szCs w:val="20"/>
          <w:color w:val="auto"/>
        </w:rPr>
      </w:pPr>
      <w:r>
        <w:rPr>
          <w:rFonts w:ascii="Arial" w:cs="Arial" w:eastAsia="Arial" w:hAnsi="Arial"/>
          <w:sz w:val="15"/>
          <w:szCs w:val="15"/>
          <w:color w:val="auto"/>
        </w:rPr>
        <w:t>In August 2021, the Company granted the Company's CEO 379,635 performance stock units, which are subject to both time-based and performance-based vesting conditions. The performance stock units consist of three equal tranches (each, a "Performance Tranche"), based on achievement of a share price condition if the Company achieves share price targets of $60.00, $80.00, and $100.00, respectively, over 60 consecutive trading days during a performance period commencing on August 26, 2022 and ending on August 26, 2026. To the extent any of the performance-based requirements are met, the Company's CEO must also provide continued service to the Company through at least August 26, 2024 to receive any shares of common stock underlying the grant and through August 26, 2026 to receive all of the shares of common stock underlying the performance units that have satisfied the applicable performance-based requirement.</w:t>
      </w:r>
    </w:p>
    <w:p>
      <w:pPr>
        <w:spacing w:after="0" w:line="34" w:lineRule="exact"/>
        <w:rPr>
          <w:sz w:val="20"/>
          <w:szCs w:val="20"/>
          <w:color w:val="auto"/>
        </w:rPr>
      </w:pPr>
    </w:p>
    <w:p>
      <w:pPr>
        <w:ind w:right="140" w:firstLine="621"/>
        <w:spacing w:after="0" w:line="261" w:lineRule="auto"/>
        <w:rPr>
          <w:sz w:val="20"/>
          <w:szCs w:val="20"/>
          <w:color w:val="auto"/>
        </w:rPr>
      </w:pPr>
      <w:r>
        <w:rPr>
          <w:rFonts w:ascii="Arial" w:cs="Arial" w:eastAsia="Arial" w:hAnsi="Arial"/>
          <w:sz w:val="17"/>
          <w:szCs w:val="17"/>
          <w:color w:val="auto"/>
        </w:rPr>
        <w:t>The fair value of each of the Performance Tranches was $3.0 million, $2.8 million, and $2.6 million, respectively, and have a grant date fair value per share of restricted stock of $23.94, $21.93, and $20.30, respectively, which was estimated using a Monte-Carlo lattice model. At September 30, 2022, the Company had unrecognized employee stock-based compensation expense of approximately $1.9 million, $2.0 million, and $2.0 million, which is expected to be recognized over the remaining 1.9 years, 2.9 years, and 3.9 years, respectively. Between 0% and 100% of the performance stock units will vest on each of the tranche dates.</w:t>
      </w:r>
    </w:p>
    <w:p>
      <w:pPr>
        <w:spacing w:after="0" w:line="63" w:lineRule="exact"/>
        <w:rPr>
          <w:sz w:val="20"/>
          <w:szCs w:val="20"/>
          <w:color w:val="auto"/>
        </w:rPr>
      </w:pPr>
    </w:p>
    <w:p>
      <w:pPr>
        <w:ind w:right="80" w:firstLine="621"/>
        <w:spacing w:after="0" w:line="285" w:lineRule="auto"/>
        <w:rPr>
          <w:sz w:val="20"/>
          <w:szCs w:val="20"/>
          <w:color w:val="auto"/>
        </w:rPr>
      </w:pPr>
      <w:r>
        <w:rPr>
          <w:rFonts w:ascii="Arial" w:cs="Arial" w:eastAsia="Arial" w:hAnsi="Arial"/>
          <w:sz w:val="16"/>
          <w:szCs w:val="16"/>
          <w:color w:val="auto"/>
        </w:rPr>
        <w:t>During the three months ended September 30, 2022 and 2021, the Company recognized $0.9 million and $0.4 million, respectively, of stock-based compensation related to these performance stock units. During the nine months ended September 30, 2022 and 2021, the Company recognized $2.6 million and $0.7 million, respectively, of stock-based compensation related to these performance stock units. Stock-based compensation expense for these awards is based on a performance measurement of 100%. The compensation expense will not be reversed if the performance metrics are not met.</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02" w:lineRule="exact"/>
        <w:rPr>
          <w:sz w:val="20"/>
          <w:szCs w:val="20"/>
          <w:color w:val="auto"/>
        </w:rPr>
      </w:pPr>
    </w:p>
    <w:p>
      <w:pPr>
        <w:ind w:right="80" w:firstLine="621"/>
        <w:spacing w:after="0" w:line="264" w:lineRule="auto"/>
        <w:rPr>
          <w:sz w:val="20"/>
          <w:szCs w:val="20"/>
          <w:color w:val="auto"/>
        </w:rPr>
      </w:pPr>
      <w:r>
        <w:rPr>
          <w:rFonts w:ascii="Arial" w:cs="Arial" w:eastAsia="Arial" w:hAnsi="Arial"/>
          <w:sz w:val="17"/>
          <w:szCs w:val="17"/>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Company's common stock on the first trading day of the offering period or on the last trading day of the offering period. Offering periods generally commence and end in May and November of each year.</w:t>
      </w:r>
    </w:p>
    <w:p>
      <w:pPr>
        <w:spacing w:after="0" w:line="31" w:lineRule="exact"/>
        <w:rPr>
          <w:sz w:val="20"/>
          <w:szCs w:val="20"/>
          <w:color w:val="auto"/>
        </w:rPr>
      </w:pPr>
    </w:p>
    <w:p>
      <w:pPr>
        <w:jc w:val="both"/>
        <w:ind w:right="260" w:firstLine="621"/>
        <w:spacing w:after="0" w:line="264" w:lineRule="auto"/>
        <w:rPr>
          <w:sz w:val="20"/>
          <w:szCs w:val="20"/>
          <w:color w:val="auto"/>
        </w:rPr>
      </w:pPr>
      <w:r>
        <w:rPr>
          <w:rFonts w:ascii="Arial" w:cs="Arial" w:eastAsia="Arial" w:hAnsi="Arial"/>
          <w:sz w:val="17"/>
          <w:szCs w:val="17"/>
          <w:color w:val="auto"/>
        </w:rPr>
        <w:t>As of September 30, 2022, the Company has reserved 4,018,635 shares of its common stock for issuance under the ESPP. The ESPP has an evergreen provision pursuant to which the share reserve will automatically increase on January 1st of each year in an amount equal to 1% of the total number of shares of capital stock outstanding on December 31st of the preceding calendar year, although the Company’s board of directors may provide for a lesser increase, or no increase, in any year.</w:t>
      </w:r>
    </w:p>
    <w:p>
      <w:pPr>
        <w:spacing w:after="0" w:line="5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Total stock-based compensation expense recorded in the condensed consolidated statements of operations was as follows:</w:t>
      </w:r>
    </w:p>
    <w:p>
      <w:pPr>
        <w:spacing w:after="0" w:line="118" w:lineRule="exact"/>
        <w:rPr>
          <w:sz w:val="20"/>
          <w:szCs w:val="20"/>
          <w:color w:val="auto"/>
        </w:rPr>
      </w:pPr>
    </w:p>
    <w:p>
      <w:pPr>
        <w:ind w:left="6200"/>
        <w:spacing w:after="0"/>
        <w:tabs>
          <w:tab w:leader="none" w:pos="920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1"/>
          <w:szCs w:val="11"/>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27305</wp:posOffset>
            </wp:positionV>
            <wp:extent cx="37128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71284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46" w:lineRule="exact"/>
        <w:rPr>
          <w:sz w:val="20"/>
          <w:szCs w:val="20"/>
          <w:color w:val="auto"/>
        </w:rPr>
      </w:pPr>
    </w:p>
    <w:p>
      <w:pPr>
        <w:ind w:left="5520"/>
        <w:spacing w:after="0"/>
        <w:tabs>
          <w:tab w:leader="none" w:pos="6980" w:val="left"/>
        </w:tabs>
        <w:rPr>
          <w:sz w:val="20"/>
          <w:szCs w:val="20"/>
          <w:color w:val="auto"/>
        </w:rPr>
      </w:pPr>
      <w:r>
        <w:rPr>
          <w:rFonts w:ascii="Arial" w:cs="Arial" w:eastAsia="Arial" w:hAnsi="Arial"/>
          <w:sz w:val="14"/>
          <w:szCs w:val="14"/>
          <w:b w:val="1"/>
          <w:bCs w:val="1"/>
          <w:color w:val="auto"/>
        </w:rPr>
        <w:t>September 30, 2022</w:t>
      </w:r>
      <w:r>
        <w:rPr>
          <w:sz w:val="20"/>
          <w:szCs w:val="20"/>
          <w:color w:val="auto"/>
        </w:rPr>
        <w:tab/>
      </w:r>
      <w:r>
        <w:rPr>
          <w:rFonts w:ascii="Arial" w:cs="Arial" w:eastAsia="Arial" w:hAnsi="Arial"/>
          <w:sz w:val="11"/>
          <w:szCs w:val="11"/>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27305</wp:posOffset>
            </wp:positionV>
            <wp:extent cx="18237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26"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b w:val="1"/>
          <w:bCs w:val="1"/>
          <w:color w:val="auto"/>
        </w:rPr>
        <w:t>September 30, 2022</w:t>
      </w:r>
      <w:r>
        <w:rPr>
          <w:sz w:val="20"/>
          <w:szCs w:val="20"/>
          <w:color w:val="auto"/>
        </w:rPr>
        <w:tab/>
      </w:r>
      <w:r>
        <w:rPr>
          <w:rFonts w:ascii="Arial" w:cs="Arial" w:eastAsia="Arial" w:hAnsi="Arial"/>
          <w:sz w:val="11"/>
          <w:szCs w:val="11"/>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27305</wp:posOffset>
            </wp:positionV>
            <wp:extent cx="18237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(in thousands)</w:t>
      </w:r>
    </w:p>
    <w:p>
      <w:pPr>
        <w:spacing w:after="0" w:line="43" w:lineRule="exact"/>
        <w:rPr>
          <w:sz w:val="20"/>
          <w:szCs w:val="20"/>
          <w:color w:val="auto"/>
        </w:rPr>
      </w:pPr>
    </w:p>
    <w:p>
      <w:pPr>
        <w:sectPr>
          <w:pgSz w:w="11900" w:h="16838" w:orient="portrait"/>
          <w:cols w:equalWidth="0" w:num="2">
            <w:col w:w="8160" w:space="320"/>
            <w:col w:w="276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w:t>
            </w: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Sales and marketing</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5,491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4,583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16,257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10,426</w:t>
            </w: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Technology and development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8,195</w:t>
            </w: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3,087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14,096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8,299</w:t>
            </w: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Merger, acquisition, and restructuring costs</w:t>
            </w: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w:t>
            </w:r>
          </w:p>
        </w:tc>
      </w:tr>
      <w:tr>
        <w:trPr>
          <w:trHeight w:val="213"/>
        </w:trPr>
        <w:tc>
          <w:tcPr>
            <w:tcW w:w="5400" w:type="dxa"/>
            <w:vAlign w:val="bottom"/>
          </w:tcPr>
          <w:p>
            <w:pPr>
              <w:ind w:left="20"/>
              <w:spacing w:after="0"/>
              <w:rPr>
                <w:sz w:val="20"/>
                <w:szCs w:val="20"/>
                <w:color w:val="auto"/>
              </w:rPr>
            </w:pPr>
            <w:r>
              <w:rPr>
                <w:rFonts w:ascii="Arial" w:cs="Arial" w:eastAsia="Arial" w:hAnsi="Arial"/>
                <w:sz w:val="17"/>
                <w:szCs w:val="17"/>
                <w:color w:val="auto"/>
              </w:rPr>
              <w:t>Total stock-based compensation expense</w:t>
            </w: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17,402</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11,824</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50,193</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28,521</w:t>
            </w:r>
          </w:p>
        </w:tc>
      </w:tr>
      <w:tr>
        <w:trPr>
          <w:trHeight w:val="20"/>
        </w:trPr>
        <w:tc>
          <w:tcPr>
            <w:tcW w:w="5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10—Income Taxes</w:t>
      </w:r>
    </w:p>
    <w:p>
      <w:pPr>
        <w:spacing w:after="0" w:line="108" w:lineRule="exact"/>
        <w:rPr>
          <w:sz w:val="20"/>
          <w:szCs w:val="20"/>
          <w:color w:val="auto"/>
        </w:rPr>
      </w:pPr>
    </w:p>
    <w:p>
      <w:pPr>
        <w:ind w:right="60" w:firstLine="621"/>
        <w:spacing w:after="0" w:line="268" w:lineRule="auto"/>
        <w:rPr>
          <w:sz w:val="20"/>
          <w:szCs w:val="20"/>
          <w:color w:val="auto"/>
        </w:rPr>
      </w:pPr>
      <w:r>
        <w:rPr>
          <w:rFonts w:ascii="Arial" w:cs="Arial" w:eastAsia="Arial" w:hAnsi="Arial"/>
          <w:sz w:val="17"/>
          <w:szCs w:val="17"/>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deductible stock option expenses, nondeductible executive compensation, and changes in the Company's valuation allowance.</w:t>
      </w:r>
    </w:p>
    <w:p>
      <w:pPr>
        <w:spacing w:after="0" w:line="57" w:lineRule="exact"/>
        <w:rPr>
          <w:sz w:val="20"/>
          <w:szCs w:val="20"/>
          <w:color w:val="auto"/>
        </w:rPr>
      </w:pPr>
    </w:p>
    <w:p>
      <w:pPr>
        <w:ind w:right="120" w:firstLine="621"/>
        <w:spacing w:after="0" w:line="277" w:lineRule="auto"/>
        <w:rPr>
          <w:sz w:val="20"/>
          <w:szCs w:val="20"/>
          <w:color w:val="auto"/>
        </w:rPr>
      </w:pPr>
      <w:r>
        <w:rPr>
          <w:rFonts w:ascii="Arial" w:cs="Arial" w:eastAsia="Arial" w:hAnsi="Arial"/>
          <w:sz w:val="16"/>
          <w:szCs w:val="16"/>
          <w:color w:val="auto"/>
        </w:rPr>
        <w:t>The Company recorded an income tax benefit of $0.4 million and $4.7 million for the three months ended September 30, 2022 and 2021, respectively, and an income tax benefit of $2.5 million and $92.2 million for the nine months ended September 30, 2022 and 2021, respectively. The tax benefit for the three and nine months ended September 30, 2022 is primarily the result of recognizing the benefit of DTAs previously subject to the domestic valuation allowance and the foreign income tax provision. The tax benefit for the three and nine months ended September 30, 2021 was primarily the result of the deferred tax liability associated with acquisitions that occurred during the year and the tax liability associated with foreign subsidiaries. The net deferred tax liabilities recorded in connection with the prior year acquisitions and our current year taxable income provided additional sources of taxable income to support the realizability of pre-existing DTAs. The Company continues to maintain a partial valuation allowance for the domestic DTAs.</w:t>
      </w:r>
    </w:p>
    <w:p>
      <w:pPr>
        <w:spacing w:after="0" w:line="40" w:lineRule="exact"/>
        <w:rPr>
          <w:sz w:val="20"/>
          <w:szCs w:val="20"/>
          <w:color w:val="auto"/>
        </w:rPr>
      </w:pPr>
    </w:p>
    <w:p>
      <w:pPr>
        <w:ind w:right="140" w:firstLine="621"/>
        <w:spacing w:after="0" w:line="281" w:lineRule="auto"/>
        <w:rPr>
          <w:sz w:val="20"/>
          <w:szCs w:val="20"/>
          <w:color w:val="auto"/>
        </w:rPr>
      </w:pPr>
      <w:r>
        <w:rPr>
          <w:rFonts w:ascii="Arial" w:cs="Arial" w:eastAsia="Arial" w:hAnsi="Arial"/>
          <w:sz w:val="16"/>
          <w:szCs w:val="16"/>
          <w:color w:val="auto"/>
        </w:rPr>
        <w:t>On August 16, 2022, President Biden signed the Inflation Reduction Act of 2022 (the “IRA”) into law. The IRA includes a new corporate alternative minimum tax (the “Corporate AMT”) of 15% on the adjusted financial statement income (the “AFSI”) of corporations with average AFSI exceeding $1.0 billion over a three-year period. The Corporate AMT is effective for tax years beginning after December 31, 2022 and is not expected to impact the Company. Additionally, the IRA imposes an excise tax of 1% on the fair market value of net stock repurchases made after December 31, 2022. The impact of this latter provision to the Company will be dependent upon the extent of share repurchases made in future periods.</w:t>
      </w:r>
    </w:p>
    <w:p>
      <w:pPr>
        <w:spacing w:after="0" w:line="48" w:lineRule="exact"/>
        <w:rPr>
          <w:sz w:val="20"/>
          <w:szCs w:val="20"/>
          <w:color w:val="auto"/>
        </w:rPr>
      </w:pPr>
    </w:p>
    <w:p>
      <w:pPr>
        <w:ind w:right="180" w:firstLine="621"/>
        <w:spacing w:after="0" w:line="264" w:lineRule="auto"/>
        <w:rPr>
          <w:sz w:val="20"/>
          <w:szCs w:val="20"/>
          <w:color w:val="auto"/>
        </w:rPr>
      </w:pPr>
      <w:r>
        <w:rPr>
          <w:rFonts w:ascii="Arial" w:cs="Arial" w:eastAsia="Arial" w:hAnsi="Arial"/>
          <w:sz w:val="17"/>
          <w:szCs w:val="17"/>
          <w:color w:val="auto"/>
        </w:rPr>
        <w:t>Due to uncertainty as to the realization of benefits from the Company's domestic and certain international DTAs, including net operating loss carryforwards and research and development tax credits, the Company has a partial valuation allowance reserved against such assets. The Company intends to continue to maintain a partial valuation allowance on the DTAs until there is sufficient evidence to support the reversal of all or some additional portion of these allowances.</w:t>
      </w:r>
    </w:p>
    <w:p>
      <w:pPr>
        <w:spacing w:after="0" w:line="58" w:lineRule="exact"/>
        <w:rPr>
          <w:sz w:val="20"/>
          <w:szCs w:val="20"/>
          <w:color w:val="auto"/>
        </w:rPr>
      </w:pPr>
    </w:p>
    <w:p>
      <w:pPr>
        <w:ind w:right="120" w:firstLine="621"/>
        <w:spacing w:after="0" w:line="260" w:lineRule="auto"/>
        <w:rPr>
          <w:sz w:val="20"/>
          <w:szCs w:val="20"/>
          <w:color w:val="auto"/>
        </w:rPr>
      </w:pPr>
      <w:r>
        <w:rPr>
          <w:rFonts w:ascii="Arial" w:cs="Arial" w:eastAsia="Arial" w:hAnsi="Arial"/>
          <w:sz w:val="17"/>
          <w:szCs w:val="17"/>
          <w:color w:val="auto"/>
        </w:rPr>
        <w:t>Due to the net operating loss carryforwards, all of the Company's United States federal and a majority of its state returns are open to examination by the Internal Revenue Service and state jurisdictions for all years since inception. The 2017 U.S. Income Tax Return for Telaria, Inc. was under examination by the IRS, which was closed during the period ended June 30, 2021 with no change to tax as reported. For the Netherlands and the United Kingdom, all tax years remain open for examination by the local country tax authorities, for France only 2018 forward are open for examination, for Singapore 2017 and forward are open for examination, for Australia, Brazil, Canada, Germany, Italy, New Zealand, and Malaysia 2016 and forward are open for examination, and for Japan 2014 and forward remain open for examination.</w:t>
      </w:r>
    </w:p>
    <w:p>
      <w:pPr>
        <w:spacing w:after="0" w:line="49" w:lineRule="exact"/>
        <w:rPr>
          <w:sz w:val="20"/>
          <w:szCs w:val="20"/>
          <w:color w:val="auto"/>
        </w:rPr>
      </w:pPr>
    </w:p>
    <w:p>
      <w:pPr>
        <w:ind w:right="260" w:firstLine="621"/>
        <w:spacing w:after="0" w:line="283" w:lineRule="auto"/>
        <w:rPr>
          <w:sz w:val="20"/>
          <w:szCs w:val="20"/>
          <w:color w:val="auto"/>
        </w:rPr>
      </w:pPr>
      <w:r>
        <w:rPr>
          <w:rFonts w:ascii="Arial" w:cs="Arial" w:eastAsia="Arial" w:hAnsi="Arial"/>
          <w:sz w:val="17"/>
          <w:szCs w:val="17"/>
          <w:color w:val="auto"/>
        </w:rPr>
        <w:t>Pursuant to Section 382 of the Internal Revenue Code, the Company and Telaria, Inc. both underwent ownership changes for tax purposes (i.e. a more than 50% change in stock ownership in aggregated 5% shareholders) on April 1, 2020 due to the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Telaria Merger. As a result, the use of our total domestic NOL carryforwards and tax credits generated prior to the ownership change will be subject to annual use limitations under Section 382 and Section 383 of the Code and comparable state income tax laws. The Company believes that the ownership change will not impact our ability to utilize substantially all of our NOLs and state research and development carryforward tax credits to the extent it will generate taxable income that can be offset by such losses. The Company reasonably expects its pre-2021 federal research and development carryforward tax credits will not be recovered prior to expiration.</w:t>
      </w:r>
    </w:p>
    <w:p>
      <w:pPr>
        <w:spacing w:after="0" w:line="50" w:lineRule="exact"/>
        <w:rPr>
          <w:sz w:val="20"/>
          <w:szCs w:val="20"/>
          <w:color w:val="auto"/>
        </w:rPr>
      </w:pPr>
    </w:p>
    <w:p>
      <w:pPr>
        <w:ind w:right="360" w:firstLine="621"/>
        <w:spacing w:after="0" w:line="283" w:lineRule="auto"/>
        <w:rPr>
          <w:sz w:val="20"/>
          <w:szCs w:val="20"/>
          <w:color w:val="auto"/>
        </w:rPr>
      </w:pPr>
      <w:r>
        <w:rPr>
          <w:rFonts w:ascii="Arial" w:cs="Arial" w:eastAsia="Arial" w:hAnsi="Arial"/>
          <w:sz w:val="17"/>
          <w:szCs w:val="17"/>
          <w:color w:val="auto"/>
        </w:rPr>
        <w:t>There was no material change to the Company's unrecognized tax benefits in the nine months ended September 30, 2022 and the Company does not expect to have any material changes to unrecognized tax benefits through the end of the fiscal year.</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11—Lease Obligations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 the three months ended September 30, 2022 and 2021, the Company recognized $5.9 million and $4.9 million, respectively, and $17.0 million and</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$15.7 million during the nine months ended September 30, 2022 and 2021, respectively, of lease expense under ASC 842, which included operating lease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expenses associated with leases included in the lease liability and right of use ("ROU") asset on the condensed consolidated balance sheets. For short-term leases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not included in the Company's ROU asset and lease liability balances, the Company recognized $0.3 million and $0.4 million during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2022 and 2021, respectively, and $0.9 million and $1.0 million during the nine months ended September 30, 2022 and 2021, respectively, of lease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expense. In addition, the Company recognized $15.1 million and $9.9 million during the three months ended September 30, 2022 and 2021, respectively, and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$39.3 million and $24.6 million during the nine months ended September 30, 2022 and 2021, respectively, of variable and cloud-based services expense related to</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data centers that are not included in the ROU asset or lease liability balances.</w:t>
      </w:r>
    </w:p>
    <w:p>
      <w:pPr>
        <w:spacing w:after="0" w:line="89" w:lineRule="exact"/>
        <w:rPr>
          <w:sz w:val="20"/>
          <w:szCs w:val="20"/>
          <w:color w:val="auto"/>
        </w:rPr>
      </w:pPr>
    </w:p>
    <w:p>
      <w:pPr>
        <w:ind w:firstLine="621"/>
        <w:spacing w:after="0" w:line="268" w:lineRule="auto"/>
        <w:rPr>
          <w:sz w:val="20"/>
          <w:szCs w:val="20"/>
          <w:color w:val="auto"/>
        </w:rPr>
      </w:pPr>
      <w:r>
        <w:rPr>
          <w:rFonts w:ascii="Arial" w:cs="Arial" w:eastAsia="Arial" w:hAnsi="Arial"/>
          <w:sz w:val="17"/>
          <w:szCs w:val="17"/>
          <w:color w:val="auto"/>
        </w:rPr>
        <w:t>The Company also received rental income of $1.3 million and $1.0 million for real estate leases for which it subleases the property to third parties during the three months ended September 30, 2022 and 2021, respectively, and $3.9 million and $3.3 million during the nine months ended September 30, 2022 and 2021, respectively.</w:t>
      </w:r>
    </w:p>
    <w:p>
      <w:pPr>
        <w:spacing w:after="0" w:line="44" w:lineRule="exact"/>
        <w:rPr>
          <w:sz w:val="20"/>
          <w:szCs w:val="20"/>
          <w:color w:val="auto"/>
        </w:rPr>
      </w:pPr>
    </w:p>
    <w:p>
      <w:pPr>
        <w:jc w:val="both"/>
        <w:ind w:right="80" w:firstLine="621"/>
        <w:spacing w:after="0" w:line="293" w:lineRule="auto"/>
        <w:rPr>
          <w:sz w:val="20"/>
          <w:szCs w:val="20"/>
          <w:color w:val="auto"/>
        </w:rPr>
      </w:pPr>
      <w:r>
        <w:rPr>
          <w:rFonts w:ascii="Arial" w:cs="Arial" w:eastAsia="Arial" w:hAnsi="Arial"/>
          <w:sz w:val="16"/>
          <w:szCs w:val="16"/>
          <w:color w:val="auto"/>
        </w:rPr>
        <w:t>As of September 30, 2022, a weighted average discount rate of 5.83% has been applied to the remaining lease payments to calculate the lease liabilities included within the condensed consolidated balance sheet. The lease terms of the Company’s operating leases generally range from one year to ten years, and the weighted average remaining lease term of leases included in the lease liability is 5.9 years as of September 30, 2022.</w:t>
      </w:r>
    </w:p>
    <w:p>
      <w:pPr>
        <w:spacing w:after="0" w:line="38" w:lineRule="exact"/>
        <w:rPr>
          <w:sz w:val="20"/>
          <w:szCs w:val="20"/>
          <w:color w:val="auto"/>
        </w:rPr>
      </w:pPr>
    </w:p>
    <w:p>
      <w:pPr>
        <w:ind w:right="140" w:firstLine="621"/>
        <w:spacing w:after="0" w:line="283" w:lineRule="auto"/>
        <w:rPr>
          <w:sz w:val="20"/>
          <w:szCs w:val="20"/>
          <w:color w:val="auto"/>
        </w:rPr>
      </w:pPr>
      <w:r>
        <w:rPr>
          <w:rFonts w:ascii="Arial" w:cs="Arial" w:eastAsia="Arial" w:hAnsi="Arial"/>
          <w:sz w:val="17"/>
          <w:szCs w:val="17"/>
          <w:color w:val="auto"/>
        </w:rPr>
        <w:t>The maturity of the Company's lease liabilities associated with leases included in the lease liability and ROU asset were as follows as of September 30, 2022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60" w:type="dxa"/>
            <w:vAlign w:val="bottom"/>
          </w:tcPr>
          <w:p>
            <w:pPr>
              <w:ind w:left="20"/>
              <w:spacing w:after="0"/>
              <w:rPr>
                <w:sz w:val="20"/>
                <w:szCs w:val="20"/>
                <w:color w:val="auto"/>
              </w:rPr>
            </w:pPr>
            <w:r>
              <w:rPr>
                <w:rFonts w:ascii="Arial" w:cs="Arial" w:eastAsia="Arial" w:hAnsi="Arial"/>
                <w:sz w:val="16"/>
                <w:szCs w:val="16"/>
                <w:b w:val="1"/>
                <w:bCs w:val="1"/>
                <w:color w:val="auto"/>
              </w:rPr>
              <w:t>Fiscal Year</w:t>
            </w: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2022</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6,183</w:t>
            </w:r>
          </w:p>
        </w:tc>
      </w:tr>
      <w:tr>
        <w:trPr>
          <w:trHeight w:val="220"/>
        </w:trPr>
        <w:tc>
          <w:tcPr>
            <w:tcW w:w="9260" w:type="dxa"/>
            <w:vAlign w:val="bottom"/>
          </w:tcPr>
          <w:p>
            <w:pPr>
              <w:ind w:left="20"/>
              <w:spacing w:after="0"/>
              <w:rPr>
                <w:sz w:val="20"/>
                <w:szCs w:val="20"/>
                <w:color w:val="auto"/>
              </w:rPr>
            </w:pPr>
            <w:r>
              <w:rPr>
                <w:rFonts w:ascii="Arial" w:cs="Arial" w:eastAsia="Arial" w:hAnsi="Arial"/>
                <w:sz w:val="17"/>
                <w:szCs w:val="17"/>
                <w:color w:val="auto"/>
              </w:rPr>
              <w:t>2023</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22,676</w:t>
            </w:r>
          </w:p>
        </w:tc>
      </w:tr>
      <w:tr>
        <w:trPr>
          <w:trHeight w:val="220"/>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19,806</w:t>
            </w:r>
          </w:p>
        </w:tc>
      </w:tr>
      <w:tr>
        <w:trPr>
          <w:trHeight w:val="220"/>
        </w:trPr>
        <w:tc>
          <w:tcPr>
            <w:tcW w:w="9260" w:type="dxa"/>
            <w:vAlign w:val="bottom"/>
          </w:tcPr>
          <w:p>
            <w:pPr>
              <w:ind w:left="20"/>
              <w:spacing w:after="0"/>
              <w:rPr>
                <w:sz w:val="20"/>
                <w:szCs w:val="20"/>
                <w:color w:val="auto"/>
              </w:rPr>
            </w:pPr>
            <w:r>
              <w:rPr>
                <w:rFonts w:ascii="Arial" w:cs="Arial" w:eastAsia="Arial" w:hAnsi="Arial"/>
                <w:sz w:val="17"/>
                <w:szCs w:val="17"/>
                <w:color w:val="auto"/>
              </w:rPr>
              <w:t>2025</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12,057</w:t>
            </w:r>
          </w:p>
        </w:tc>
      </w:tr>
      <w:tr>
        <w:trPr>
          <w:trHeight w:val="220"/>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9,976</w:t>
            </w:r>
          </w:p>
        </w:tc>
      </w:tr>
      <w:tr>
        <w:trPr>
          <w:trHeight w:val="22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28,164</w:t>
            </w:r>
          </w:p>
        </w:tc>
      </w:tr>
      <w:tr>
        <w:trPr>
          <w:trHeight w:val="213"/>
        </w:trPr>
        <w:tc>
          <w:tcPr>
            <w:tcW w:w="9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lease payments (undiscounted)</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98,862</w:t>
            </w:r>
          </w:p>
        </w:tc>
      </w:tr>
      <w:tr>
        <w:trPr>
          <w:trHeight w:val="22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(15,122)</w:t>
            </w:r>
          </w:p>
        </w:tc>
      </w:tr>
      <w:tr>
        <w:trPr>
          <w:trHeight w:val="238"/>
        </w:trPr>
        <w:tc>
          <w:tcPr>
            <w:tcW w:w="9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Lease liabilities—total (discounted)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83,740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right="80" w:firstLine="621"/>
        <w:spacing w:after="0" w:line="264" w:lineRule="auto"/>
        <w:rPr>
          <w:sz w:val="20"/>
          <w:szCs w:val="20"/>
          <w:color w:val="auto"/>
        </w:rPr>
      </w:pPr>
      <w:r>
        <w:rPr>
          <w:rFonts w:ascii="Arial" w:cs="Arial" w:eastAsia="Arial" w:hAnsi="Arial"/>
          <w:sz w:val="17"/>
          <w:szCs w:val="17"/>
          <w:color w:val="auto"/>
        </w:rPr>
        <w:t>In addition to the lease liabilities included in these condensed consolidated financial statements at September 30, 2022, during the nine months ended September 30, 2022, the Company entered into agreements for office space and data centers that have not commenced as of September 30, 2022; therefore, they are not included in the lease liability on the balance sheet as of September 30, 2022. The Company has future commitments totaling $6.8 million with a weighted average term of 3.2 years.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12—Commitments and Contingencies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Commitments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has commitments under non-cancelable operating leases for facilities, certain equipment, and its managed data center facilities (Note 11).</w:t>
      </w:r>
    </w:p>
    <w:p>
      <w:pPr>
        <w:spacing w:after="0" w:line="125" w:lineRule="exact"/>
        <w:rPr>
          <w:sz w:val="20"/>
          <w:szCs w:val="20"/>
          <w:color w:val="auto"/>
        </w:rPr>
      </w:pPr>
    </w:p>
    <w:p>
      <w:pPr>
        <w:ind w:right="380" w:firstLine="621"/>
        <w:spacing w:after="0" w:line="283" w:lineRule="auto"/>
        <w:rPr>
          <w:sz w:val="20"/>
          <w:szCs w:val="20"/>
          <w:color w:val="auto"/>
        </w:rPr>
      </w:pPr>
      <w:r>
        <w:rPr>
          <w:rFonts w:ascii="Arial" w:cs="Arial" w:eastAsia="Arial" w:hAnsi="Arial"/>
          <w:sz w:val="17"/>
          <w:szCs w:val="17"/>
          <w:color w:val="auto"/>
        </w:rPr>
        <w:t>As of September 30, 2022 and December 31, 2021, the Company had $5.3 million and $5.1 million, respectively, of letters of credit associated with office leases available for borrowing, of which there were no outstanding borrowings as of either date.</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360" w:firstLine="621"/>
        <w:spacing w:after="0" w:line="320" w:lineRule="auto"/>
        <w:rPr>
          <w:sz w:val="20"/>
          <w:szCs w:val="20"/>
          <w:color w:val="auto"/>
        </w:rPr>
      </w:pPr>
      <w:r>
        <w:rPr>
          <w:rFonts w:ascii="Arial" w:cs="Arial" w:eastAsia="Arial" w:hAnsi="Arial"/>
          <w:sz w:val="15"/>
          <w:szCs w:val="15"/>
          <w:color w:val="auto"/>
        </w:rPr>
        <w:t>In the normal course of business, the Company enters into non-cancelable contractual obligations with various parties, primarily related to software services agreements and data center providers that are not included in the Company's lease liability obligations and ROU assets. As of September 30, 2022, the Company's outstanding non-cancelable contractual obligations with a remaining term of one year or longer consist of the following (in thousands):</w:t>
      </w:r>
    </w:p>
    <w:p>
      <w:pPr>
        <w:spacing w:after="0" w:line="47" w:lineRule="exact"/>
        <w:rPr>
          <w:sz w:val="20"/>
          <w:szCs w:val="20"/>
          <w:color w:val="auto"/>
        </w:rPr>
      </w:pPr>
    </w:p>
    <w:tbl>
      <w:tblPr>
        <w:tblLayout w:type="fixed"/>
        <w:tblInd w:w="620" w:type="dxa"/>
        <w:tblCellMar>
          <w:top w:w="0" w:type="dxa"/>
          <w:left w:w="0" w:type="dxa"/>
          <w:bottom w:w="0" w:type="dxa"/>
          <w:right w:w="0" w:type="dxa"/>
        </w:tblCellMar>
      </w:tblPr>
      <w:tr>
        <w:trPr>
          <w:trHeight w:val="219"/>
        </w:trPr>
        <w:tc>
          <w:tcPr>
            <w:tcW w:w="9260" w:type="dxa"/>
            <w:vAlign w:val="bottom"/>
          </w:tcPr>
          <w:p>
            <w:pPr>
              <w:ind w:left="20"/>
              <w:spacing w:after="0"/>
              <w:rPr>
                <w:sz w:val="20"/>
                <w:szCs w:val="20"/>
                <w:color w:val="auto"/>
              </w:rPr>
            </w:pPr>
            <w:r>
              <w:rPr>
                <w:rFonts w:ascii="Arial" w:cs="Arial" w:eastAsia="Arial" w:hAnsi="Arial"/>
                <w:sz w:val="17"/>
                <w:szCs w:val="17"/>
                <w:color w:val="auto"/>
              </w:rPr>
              <w:t>Fiscal Year</w:t>
            </w: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2022</w:t>
            </w: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w:t>
            </w:r>
          </w:p>
        </w:tc>
      </w:tr>
      <w:tr>
        <w:trPr>
          <w:trHeight w:val="220"/>
        </w:trPr>
        <w:tc>
          <w:tcPr>
            <w:tcW w:w="9260" w:type="dxa"/>
            <w:vAlign w:val="bottom"/>
          </w:tcPr>
          <w:p>
            <w:pPr>
              <w:ind w:left="20"/>
              <w:spacing w:after="0"/>
              <w:rPr>
                <w:sz w:val="20"/>
                <w:szCs w:val="20"/>
                <w:color w:val="auto"/>
              </w:rPr>
            </w:pPr>
            <w:r>
              <w:rPr>
                <w:rFonts w:ascii="Arial" w:cs="Arial" w:eastAsia="Arial" w:hAnsi="Arial"/>
                <w:sz w:val="17"/>
                <w:szCs w:val="17"/>
                <w:color w:val="auto"/>
              </w:rPr>
              <w:t>2023</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7,509</w:t>
            </w:r>
          </w:p>
        </w:tc>
      </w:tr>
      <w:tr>
        <w:trPr>
          <w:trHeight w:val="220"/>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5,478</w:t>
            </w:r>
          </w:p>
        </w:tc>
      </w:tr>
      <w:tr>
        <w:trPr>
          <w:trHeight w:val="22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2025</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1,177</w:t>
            </w:r>
          </w:p>
        </w:tc>
      </w:tr>
      <w:tr>
        <w:trPr>
          <w:trHeight w:val="238"/>
        </w:trPr>
        <w:tc>
          <w:tcPr>
            <w:tcW w:w="9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14,972</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right="120" w:firstLine="621"/>
        <w:spacing w:after="0" w:line="262" w:lineRule="auto"/>
        <w:rPr>
          <w:sz w:val="20"/>
          <w:szCs w:val="20"/>
          <w:color w:val="auto"/>
        </w:rPr>
      </w:pPr>
      <w:r>
        <w:rPr>
          <w:rFonts w:ascii="Arial" w:cs="Arial" w:eastAsia="Arial" w:hAnsi="Arial"/>
          <w:sz w:val="16"/>
          <w:szCs w:val="16"/>
          <w:color w:val="auto"/>
        </w:rPr>
        <w:t>Additionally, as of September 30, 2022, the Company has an agreement for third-party cloud-managed services containing commitments that are variable in nature. Under this agreement, the Company has a non-cancelable minimum spend commitment from July 2023 to June 2025 based on actual spend, as defined in the agreement, with the third-party provider from July 2022 to June 2023. The estimated non-cancelable minimum obligation for July 2023 to June 2025 is $21 million based on spend in the three months ended September 30, 2022. Per the agreement, the commitment from July 2023 to June 2025 will generally increase as the amount of spend during the period from July 2022 to June 2023 increases. Because the Company expects to continue to spend under this agreement through June 2023, the Company also expects that the minimum future commitment will increase as a result of the higher level of spend.</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Guarantees and Indemnification</w:t>
      </w:r>
    </w:p>
    <w:p>
      <w:pPr>
        <w:spacing w:after="0" w:line="89" w:lineRule="exact"/>
        <w:rPr>
          <w:sz w:val="20"/>
          <w:szCs w:val="20"/>
          <w:color w:val="auto"/>
        </w:rPr>
      </w:pPr>
    </w:p>
    <w:p>
      <w:pPr>
        <w:ind w:right="100" w:firstLine="621"/>
        <w:spacing w:after="0" w:line="273" w:lineRule="auto"/>
        <w:rPr>
          <w:sz w:val="20"/>
          <w:szCs w:val="20"/>
          <w:color w:val="auto"/>
        </w:rPr>
      </w:pPr>
      <w:r>
        <w:rPr>
          <w:rFonts w:ascii="Arial" w:cs="Arial" w:eastAsia="Arial" w:hAnsi="Arial"/>
          <w:sz w:val="16"/>
          <w:szCs w:val="16"/>
          <w:color w:val="auto"/>
        </w:rPr>
        <w:t>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consolidated financial statements.</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Litigation</w:t>
      </w:r>
    </w:p>
    <w:p>
      <w:pPr>
        <w:spacing w:after="0" w:line="102" w:lineRule="exact"/>
        <w:rPr>
          <w:sz w:val="20"/>
          <w:szCs w:val="20"/>
          <w:color w:val="auto"/>
        </w:rPr>
      </w:pPr>
    </w:p>
    <w:p>
      <w:pPr>
        <w:ind w:right="120" w:firstLine="621"/>
        <w:spacing w:after="0" w:line="276" w:lineRule="auto"/>
        <w:rPr>
          <w:sz w:val="20"/>
          <w:szCs w:val="20"/>
          <w:color w:val="auto"/>
        </w:rPr>
      </w:pPr>
      <w:r>
        <w:rPr>
          <w:rFonts w:ascii="Arial" w:cs="Arial" w:eastAsia="Arial" w:hAnsi="Arial"/>
          <w:sz w:val="16"/>
          <w:szCs w:val="16"/>
          <w:color w:val="auto"/>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September 30, 2022. However, based on management’s knowledge as of September 30, 2022, management believes that the final resolution of these matters known at such date, individually and in the aggregate, will not have a material adverse effect upon the Company’s consolidated financial position, results of operations or cash flows.</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Employment Contracts</w:t>
      </w:r>
    </w:p>
    <w:p>
      <w:pPr>
        <w:spacing w:after="0" w:line="102" w:lineRule="exact"/>
        <w:rPr>
          <w:sz w:val="20"/>
          <w:szCs w:val="20"/>
          <w:color w:val="auto"/>
        </w:rPr>
      </w:pPr>
    </w:p>
    <w:p>
      <w:pPr>
        <w:ind w:right="100" w:firstLine="621"/>
        <w:spacing w:after="0" w:line="283" w:lineRule="auto"/>
        <w:rPr>
          <w:sz w:val="20"/>
          <w:szCs w:val="20"/>
          <w:color w:val="auto"/>
        </w:rPr>
      </w:pPr>
      <w:r>
        <w:rPr>
          <w:rFonts w:ascii="Arial" w:cs="Arial" w:eastAsia="Arial" w:hAnsi="Arial"/>
          <w:sz w:val="17"/>
          <w:szCs w:val="17"/>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13—Debt</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Long term debt as of September 30, 2022 and December 31, 2021 consisted of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0"/>
              </w:rPr>
              <w:t>September 30, 2022</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1"/>
              </w:rPr>
              <w:t>December 31, 2021</w:t>
            </w:r>
          </w:p>
        </w:tc>
      </w:tr>
      <w:tr>
        <w:trPr>
          <w:trHeight w:val="25"/>
        </w:trPr>
        <w:tc>
          <w:tcPr>
            <w:tcW w:w="8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r>
      <w:tr>
        <w:trPr>
          <w:trHeight w:val="179"/>
        </w:trPr>
        <w:tc>
          <w:tcPr>
            <w:tcW w:w="8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20" w:type="dxa"/>
            <w:vAlign w:val="bottom"/>
            <w:gridSpan w:val="4"/>
          </w:tcPr>
          <w:p>
            <w:pPr>
              <w:jc w:val="right"/>
              <w:ind w:right="1075"/>
              <w:spacing w:after="0"/>
              <w:rPr>
                <w:sz w:val="20"/>
                <w:szCs w:val="20"/>
                <w:color w:val="auto"/>
              </w:rPr>
            </w:pPr>
            <w:r>
              <w:rPr>
                <w:rFonts w:ascii="Arial" w:cs="Arial" w:eastAsia="Arial" w:hAnsi="Arial"/>
                <w:sz w:val="14"/>
                <w:szCs w:val="14"/>
                <w:b w:val="1"/>
                <w:bCs w:val="1"/>
                <w:color w:val="auto"/>
              </w:rPr>
              <w:t>(in thousands)</w:t>
            </w:r>
          </w:p>
        </w:tc>
      </w:tr>
      <w:tr>
        <w:trPr>
          <w:trHeight w:val="227"/>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Senior Notes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w:t>
            </w:r>
          </w:p>
        </w:tc>
      </w:tr>
      <w:tr>
        <w:trPr>
          <w:trHeight w:val="22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Unamortized debt issuance cost</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(9,643)</w:t>
            </w:r>
          </w:p>
        </w:tc>
      </w:tr>
      <w:tr>
        <w:trPr>
          <w:trHeight w:val="213"/>
        </w:trPr>
        <w:tc>
          <w:tcPr>
            <w:tcW w:w="8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392,073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390,357</w:t>
            </w:r>
          </w:p>
        </w:tc>
      </w:tr>
      <w:tr>
        <w:trPr>
          <w:trHeight w:val="220"/>
        </w:trPr>
        <w:tc>
          <w:tcPr>
            <w:tcW w:w="8080" w:type="dxa"/>
            <w:vAlign w:val="bottom"/>
          </w:tcPr>
          <w:p>
            <w:pPr>
              <w:ind w:left="20"/>
              <w:spacing w:after="0"/>
              <w:rPr>
                <w:sz w:val="20"/>
                <w:szCs w:val="20"/>
                <w:color w:val="auto"/>
              </w:rPr>
            </w:pPr>
            <w:r>
              <w:rPr>
                <w:rFonts w:ascii="Arial" w:cs="Arial" w:eastAsia="Arial" w:hAnsi="Arial"/>
                <w:sz w:val="17"/>
                <w:szCs w:val="17"/>
                <w:color w:val="auto"/>
              </w:rPr>
              <w:t>Term Loan B Facility</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355,500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358,200</w:t>
            </w:r>
          </w:p>
        </w:tc>
      </w:tr>
      <w:tr>
        <w:trPr>
          <w:trHeight w:val="220"/>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Unamortized discount and debt issuance cost</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(21,896)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(24,934)</w:t>
            </w:r>
          </w:p>
        </w:tc>
      </w:tr>
      <w:tr>
        <w:trPr>
          <w:trHeight w:val="213"/>
        </w:trPr>
        <w:tc>
          <w:tcPr>
            <w:tcW w:w="8080" w:type="dxa"/>
            <w:vAlign w:val="bottom"/>
          </w:tcPr>
          <w:p>
            <w:pPr>
              <w:ind w:left="220"/>
              <w:spacing w:after="0"/>
              <w:rPr>
                <w:sz w:val="20"/>
                <w:szCs w:val="20"/>
                <w:color w:val="auto"/>
              </w:rPr>
            </w:pPr>
            <w:r>
              <w:rPr>
                <w:rFonts w:ascii="Arial" w:cs="Arial" w:eastAsia="Arial" w:hAnsi="Arial"/>
                <w:sz w:val="17"/>
                <w:szCs w:val="17"/>
                <w:color w:val="auto"/>
              </w:rPr>
              <w:t>Net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333,604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333,266</w:t>
            </w:r>
          </w:p>
        </w:tc>
      </w:tr>
      <w:tr>
        <w:trPr>
          <w:trHeight w:val="220"/>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Current portion</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(3,600)</w:t>
            </w:r>
          </w:p>
        </w:tc>
      </w:tr>
      <w:tr>
        <w:trPr>
          <w:trHeight w:val="213"/>
        </w:trPr>
        <w:tc>
          <w:tcPr>
            <w:tcW w:w="8080" w:type="dxa"/>
            <w:vAlign w:val="bottom"/>
          </w:tcPr>
          <w:p>
            <w:pPr>
              <w:ind w:left="220"/>
              <w:spacing w:after="0"/>
              <w:rPr>
                <w:sz w:val="20"/>
                <w:szCs w:val="20"/>
                <w:color w:val="auto"/>
              </w:rPr>
            </w:pPr>
            <w:r>
              <w:rPr>
                <w:rFonts w:ascii="Arial" w:cs="Arial" w:eastAsia="Arial" w:hAnsi="Arial"/>
                <w:sz w:val="17"/>
                <w:szCs w:val="17"/>
                <w:color w:val="auto"/>
              </w:rPr>
              <w:t>Total non-current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722,077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720,023</w:t>
            </w:r>
          </w:p>
        </w:tc>
      </w:tr>
      <w:tr>
        <w:trPr>
          <w:trHeight w:val="20"/>
        </w:trPr>
        <w:tc>
          <w:tcPr>
            <w:tcW w:w="80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67"/>
        </w:trPr>
        <w:tc>
          <w:tcPr>
            <w:tcW w:w="9700" w:type="dxa"/>
            <w:vAlign w:val="bottom"/>
            <w:gridSpan w:val="4"/>
          </w:tcPr>
          <w:p>
            <w:pPr>
              <w:ind w:left="620"/>
              <w:spacing w:after="0"/>
              <w:rPr>
                <w:sz w:val="20"/>
                <w:szCs w:val="20"/>
                <w:color w:val="auto"/>
              </w:rPr>
            </w:pPr>
            <w:r>
              <w:rPr>
                <w:rFonts w:ascii="Arial" w:cs="Arial" w:eastAsia="Arial" w:hAnsi="Arial"/>
                <w:sz w:val="17"/>
                <w:szCs w:val="17"/>
                <w:color w:val="auto"/>
                <w:w w:val="97"/>
              </w:rPr>
              <w:t>Maturities of the principal amount of the Company's long-term debt as of September 30, 2022 are as follows (in thousands):</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8"/>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Fiscal Year</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2022</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r>
      <w:tr>
        <w:trPr>
          <w:trHeight w:val="220"/>
        </w:trPr>
        <w:tc>
          <w:tcPr>
            <w:tcW w:w="8080" w:type="dxa"/>
            <w:vAlign w:val="bottom"/>
          </w:tcPr>
          <w:p>
            <w:pPr>
              <w:ind w:left="20"/>
              <w:spacing w:after="0"/>
              <w:rPr>
                <w:sz w:val="20"/>
                <w:szCs w:val="20"/>
                <w:color w:val="auto"/>
              </w:rPr>
            </w:pPr>
            <w:r>
              <w:rPr>
                <w:rFonts w:ascii="Arial" w:cs="Arial" w:eastAsia="Arial" w:hAnsi="Arial"/>
                <w:sz w:val="17"/>
                <w:szCs w:val="17"/>
                <w:color w:val="auto"/>
              </w:rPr>
              <w:t>2023</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3,600</w:t>
            </w:r>
          </w:p>
        </w:tc>
      </w:tr>
      <w:tr>
        <w:trPr>
          <w:trHeight w:val="220"/>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w:t>
            </w:r>
          </w:p>
        </w:tc>
      </w:tr>
      <w:tr>
        <w:trPr>
          <w:trHeight w:val="220"/>
        </w:trPr>
        <w:tc>
          <w:tcPr>
            <w:tcW w:w="8080" w:type="dxa"/>
            <w:vAlign w:val="bottom"/>
          </w:tcPr>
          <w:p>
            <w:pPr>
              <w:ind w:left="20"/>
              <w:spacing w:after="0"/>
              <w:rPr>
                <w:sz w:val="20"/>
                <w:szCs w:val="20"/>
                <w:color w:val="auto"/>
              </w:rPr>
            </w:pPr>
            <w:r>
              <w:rPr>
                <w:rFonts w:ascii="Arial" w:cs="Arial" w:eastAsia="Arial" w:hAnsi="Arial"/>
                <w:sz w:val="17"/>
                <w:szCs w:val="17"/>
                <w:color w:val="auto"/>
              </w:rPr>
              <w:t>2025</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3,600</w:t>
            </w:r>
          </w:p>
        </w:tc>
      </w:tr>
      <w:tr>
        <w:trPr>
          <w:trHeight w:val="220"/>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403,600</w:t>
            </w:r>
          </w:p>
        </w:tc>
      </w:tr>
      <w:tr>
        <w:trPr>
          <w:trHeight w:val="22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340,200</w:t>
            </w:r>
          </w:p>
        </w:tc>
      </w:tr>
      <w:tr>
        <w:trPr>
          <w:trHeight w:val="238"/>
        </w:trPr>
        <w:tc>
          <w:tcPr>
            <w:tcW w:w="8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755,500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right="60" w:firstLine="621"/>
        <w:spacing w:after="0" w:line="250" w:lineRule="auto"/>
        <w:rPr>
          <w:sz w:val="20"/>
          <w:szCs w:val="20"/>
          <w:color w:val="auto"/>
        </w:rPr>
      </w:pPr>
      <w:r>
        <w:rPr>
          <w:rFonts w:ascii="Arial" w:cs="Arial" w:eastAsia="Arial" w:hAnsi="Arial"/>
          <w:sz w:val="17"/>
          <w:szCs w:val="17"/>
          <w:color w:val="auto"/>
        </w:rPr>
        <w:t>Amortization of the debt issuance cost and the discount associated with our indebtedness totaled $1.6 million and $4.8 million for the three and nine months ended September 30, 2022, respectively, and $1.6 million and $2.9 million for the three and nine months ended September 30, 2021, respectively. Amortization of debt issuance costs is computed using the effective interest method and is included in interest expense. In addition, amortization of deferred financing costs was $0.1 million and $0.3 million for the three and nine months ended September 30, 2022, respectively, and $0.1 million and $0.3 million for the three and nine months ended September 30, 2021, respectively. Deferred financing costs are included within prepaid expenses and other current assets and other assets, non-current assets.</w:t>
      </w:r>
    </w:p>
    <w:p>
      <w:pPr>
        <w:spacing w:after="0" w:line="36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Convertible Senior Notes and Capped Call Transactions</w:t>
      </w:r>
    </w:p>
    <w:p>
      <w:pPr>
        <w:spacing w:after="0" w:line="89" w:lineRule="exact"/>
        <w:rPr>
          <w:sz w:val="20"/>
          <w:szCs w:val="20"/>
          <w:color w:val="auto"/>
        </w:rPr>
      </w:pPr>
    </w:p>
    <w:p>
      <w:pPr>
        <w:jc w:val="both"/>
        <w:ind w:right="380" w:firstLine="621"/>
        <w:spacing w:after="0" w:line="281" w:lineRule="auto"/>
        <w:rPr>
          <w:sz w:val="20"/>
          <w:szCs w:val="20"/>
          <w:color w:val="auto"/>
        </w:rPr>
      </w:pPr>
      <w:r>
        <w:rPr>
          <w:rFonts w:ascii="Arial" w:cs="Arial" w:eastAsia="Arial" w:hAnsi="Arial"/>
          <w:sz w:val="16"/>
          <w:szCs w:val="16"/>
          <w:color w:val="auto"/>
        </w:rPr>
        <w:t>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The Convertible Senior Notes will mature on March 15, 2026, unless earlier repurchased, redeemed or converted. The total net proceeds from the offering, after deducting debt issuance costs, paid by the Company, were approximately $388.6 million. The Company used approximately $39.0 million of the net proceeds from the offering to pay for the Capped Call Transactions (as described below).</w:t>
      </w:r>
    </w:p>
    <w:p>
      <w:pPr>
        <w:spacing w:after="0" w:line="48" w:lineRule="exact"/>
        <w:rPr>
          <w:sz w:val="20"/>
          <w:szCs w:val="20"/>
          <w:color w:val="auto"/>
        </w:rPr>
      </w:pPr>
    </w:p>
    <w:p>
      <w:pPr>
        <w:ind w:right="80" w:firstLine="621"/>
        <w:spacing w:after="0" w:line="260" w:lineRule="auto"/>
        <w:rPr>
          <w:sz w:val="20"/>
          <w:szCs w:val="20"/>
          <w:color w:val="auto"/>
        </w:rPr>
      </w:pPr>
      <w:r>
        <w:rPr>
          <w:rFonts w:ascii="Arial" w:cs="Arial" w:eastAsia="Arial" w:hAnsi="Arial"/>
          <w:sz w:val="17"/>
          <w:szCs w:val="17"/>
          <w:color w:val="auto"/>
        </w:rPr>
        <w:t>The Convertible Senior Notes are senior, unsecured obligations and are (i) equal in right of payment with the existing and future senior, unsecured indebtedness; (ii) senior in right of payment to any of the Company’s future indebtedness that is expressly subordinated to the Convertible Senior Notes; (iii) effectively subordinated to the Company’s existing and future secured indebtedness, to the extent of the value of the collateral securing that indebtedness, including amounts outstanding under our Loan Agreement or our new Credit Agreement (see section below); and (iv) structurally subordinated to all existing and future indebtedness and other liabilities, including trade payables, and (to the extent we are not a holder thereof) preferred equity, if any, of the Company’s subsidiaries that do not guarantee the Convertible Senior Notes.</w:t>
      </w:r>
    </w:p>
    <w:p>
      <w:pPr>
        <w:spacing w:after="0" w:line="62" w:lineRule="exact"/>
        <w:rPr>
          <w:sz w:val="20"/>
          <w:szCs w:val="20"/>
          <w:color w:val="auto"/>
        </w:rPr>
      </w:pPr>
    </w:p>
    <w:p>
      <w:pPr>
        <w:ind w:right="40" w:firstLine="621"/>
        <w:spacing w:after="0" w:line="293" w:lineRule="auto"/>
        <w:rPr>
          <w:sz w:val="20"/>
          <w:szCs w:val="20"/>
          <w:color w:val="auto"/>
        </w:rPr>
      </w:pPr>
      <w:r>
        <w:rPr>
          <w:rFonts w:ascii="Arial" w:cs="Arial" w:eastAsia="Arial" w:hAnsi="Arial"/>
          <w:sz w:val="16"/>
          <w:szCs w:val="16"/>
          <w:color w:val="auto"/>
        </w:rPr>
        <w:t>The Convertible Senior Notes accrue interest at 0.25% per annum payable semi-annually in arrears on March 15 and September 15 of each year, beginning on September 15, 2021. The Convertible Senior Notes will mature on March 15, 2026 unless they are redeemed, repurchased or converted prior to such date. The Convertible Senior Notes are convertible at the option of holders only during certain periods and upon satisfaction of certain conditions.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60" w:firstLine="621"/>
        <w:spacing w:after="0" w:line="257" w:lineRule="auto"/>
        <w:rPr>
          <w:sz w:val="20"/>
          <w:szCs w:val="20"/>
          <w:color w:val="auto"/>
        </w:rPr>
      </w:pPr>
      <w:r>
        <w:rPr>
          <w:rFonts w:ascii="Arial" w:cs="Arial" w:eastAsia="Arial" w:hAnsi="Arial"/>
          <w:sz w:val="17"/>
          <w:szCs w:val="17"/>
          <w:color w:val="auto"/>
        </w:rPr>
        <w:t>Holders have the right to convert their notes (or any portion of a note in an authorized denomination), in the following circumstances: (i) during any calendar quarter commencing after the calendar quarter ending on June 30, 2021,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(iii) upon the occurrence of certain corporate events or distributions on the Company’s common stock; (iv) if the Company calls such Convertible Senior Notes for redemption; and (v) on or after September 15, 2025, until the close of business on the second scheduled trading day immediately before the maturity date, holders of the Convertible Senior Notes may, at their option, convert all or a portion of their Convertible Senior Notes regardless of the foregoing conditions at any time from, and including, September 15, 2025 until the close of business on the second scheduled trading day immediately before the maturity date.</w:t>
      </w:r>
    </w:p>
    <w:p>
      <w:pPr>
        <w:spacing w:after="0" w:line="52" w:lineRule="exact"/>
        <w:rPr>
          <w:sz w:val="20"/>
          <w:szCs w:val="20"/>
          <w:color w:val="auto"/>
        </w:rPr>
      </w:pPr>
    </w:p>
    <w:p>
      <w:pPr>
        <w:ind w:right="80" w:firstLine="621"/>
        <w:spacing w:after="0" w:line="264" w:lineRule="auto"/>
        <w:rPr>
          <w:sz w:val="20"/>
          <w:szCs w:val="20"/>
          <w:color w:val="auto"/>
        </w:rPr>
      </w:pPr>
      <w:r>
        <w:rPr>
          <w:rFonts w:ascii="Arial" w:cs="Arial" w:eastAsia="Arial" w:hAnsi="Arial"/>
          <w:sz w:val="17"/>
          <w:szCs w:val="17"/>
          <w:color w:val="auto"/>
        </w:rPr>
        <w:t>Upon conversion, the Convertible Senior Notes may be settled in shares of the Company’s common stock, cash or a combination of cash and shares of the Company’s common stock, at the Company’s election. All conversions with a conversion date that occurs on or after September 15, 2025 will be settled using the same settlement method, and the Company will send notice of such settlement method to noteholders no later than the open of business on September 15, 2025.</w:t>
      </w:r>
    </w:p>
    <w:p>
      <w:pPr>
        <w:spacing w:after="0" w:line="58" w:lineRule="exact"/>
        <w:rPr>
          <w:sz w:val="20"/>
          <w:szCs w:val="20"/>
          <w:color w:val="auto"/>
        </w:rPr>
      </w:pPr>
    </w:p>
    <w:p>
      <w:pPr>
        <w:ind w:right="20" w:firstLine="621"/>
        <w:spacing w:after="0" w:line="274" w:lineRule="auto"/>
        <w:rPr>
          <w:sz w:val="20"/>
          <w:szCs w:val="20"/>
          <w:color w:val="auto"/>
        </w:rPr>
      </w:pPr>
      <w:r>
        <w:rPr>
          <w:rFonts w:ascii="Arial" w:cs="Arial" w:eastAsia="Arial" w:hAnsi="Arial"/>
          <w:sz w:val="16"/>
          <w:szCs w:val="16"/>
          <w:color w:val="auto"/>
        </w:rPr>
        <w:t>The Company may not redeem the Convertible Senior Notes at their option at any time before March 20, 2024. Subject to the terms of the indenture agreement, the Company has the right, at its election, to redeem all, or any portion (subject to the partial redemption limitation) in an authorized denomination, of the Convertible Senior Notes, at any time, and from time to time, on a redemption date on or after March 20, 2024 and on or before the 40th scheduled trading day immediately before the maturity date, for cash, but only if the "last reported sale price," as defined under the Offering Memorandum, per share of common stock exceeds 130% of the “conversion price” on (i) each of at least 20 trading days, during the 30 consecutive trading days ending on, and including, the trading day immediately before the date the Company sends the related redemption notice; and (ii) the trading day immediately before the date we send such notice. In addition, calling any note for redemption will constitute a "make-whole fundamental change" (as defined below) with respect to that note, in which case the conversion rate applicable to the conversion of that note will be increased in certain circumstances if it is converted after it is called for redemption. If the Company elects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 described above on account of the redemption, except to the limited extent described further below. No sinking fund is provided for the Convertible Senior Notes, which means that the Company is not required to redeem or retire the Convertible Senior Notes periodically.</w:t>
      </w:r>
    </w:p>
    <w:p>
      <w:pPr>
        <w:spacing w:after="0" w:line="54" w:lineRule="exact"/>
        <w:rPr>
          <w:sz w:val="20"/>
          <w:szCs w:val="20"/>
          <w:color w:val="auto"/>
        </w:rPr>
      </w:pPr>
    </w:p>
    <w:p>
      <w:pPr>
        <w:ind w:firstLine="621"/>
        <w:spacing w:after="0" w:line="268" w:lineRule="auto"/>
        <w:rPr>
          <w:sz w:val="20"/>
          <w:szCs w:val="20"/>
          <w:color w:val="auto"/>
        </w:rPr>
      </w:pPr>
      <w:r>
        <w:rPr>
          <w:rFonts w:ascii="Arial" w:cs="Arial" w:eastAsia="Arial" w:hAnsi="Arial"/>
          <w:sz w:val="17"/>
          <w:szCs w:val="17"/>
          <w:color w:val="auto"/>
        </w:rPr>
        <w:t>If a fundamental change occurs, then each noteholder will have the right to require the Company to repurchase its notes (or any portion thereof in an authorized denomination) for cash on a date (the "fundamental change repurchase date") of the Company’s choosing, which must be a business day that is no more than 45, nor less than 20, business days after the date the Company distributes the related fundamental change notice.</w:t>
      </w:r>
    </w:p>
    <w:p>
      <w:pPr>
        <w:spacing w:after="0" w:line="44" w:lineRule="exact"/>
        <w:rPr>
          <w:sz w:val="20"/>
          <w:szCs w:val="20"/>
          <w:color w:val="auto"/>
        </w:rPr>
      </w:pPr>
    </w:p>
    <w:p>
      <w:pPr>
        <w:ind w:right="120" w:firstLine="621"/>
        <w:spacing w:after="0" w:line="259" w:lineRule="auto"/>
        <w:rPr>
          <w:sz w:val="20"/>
          <w:szCs w:val="20"/>
          <w:color w:val="auto"/>
        </w:rPr>
      </w:pPr>
      <w:r>
        <w:rPr>
          <w:rFonts w:ascii="Arial" w:cs="Arial" w:eastAsia="Arial" w:hAnsi="Arial"/>
          <w:sz w:val="17"/>
          <w:szCs w:val="17"/>
          <w:color w:val="auto"/>
        </w:rPr>
        <w:t>If an event of default, other than a reporting default remedied by special interest as defined in the indenture agreement, occurs with respect to the Company or any guarantor, then the principal amount of, and all accrued and unpaid interest on, all of the notes then outstanding will immediately become due and payable without any further action or notice by any person. If an event of default (other than a reporting event of default described above with respect to the Company or any guarantor and not solely with respect to a significant subsidiary of the Company’s or a guarantor, other than the Company or such guarantor) occurs and is continuing, then, the trustee, by notice to the Company, or noteholders of at least 25% of the aggregate principal amount of notes then outstanding, by written notice to the Company and the trustee, may declare the principal amount of, and all accrued and unpaid interest on, all of the notes then outstanding to become due and payable immediately.</w:t>
      </w:r>
    </w:p>
    <w:p>
      <w:pPr>
        <w:spacing w:after="0" w:line="63" w:lineRule="exact"/>
        <w:rPr>
          <w:sz w:val="20"/>
          <w:szCs w:val="20"/>
          <w:color w:val="auto"/>
        </w:rPr>
      </w:pPr>
    </w:p>
    <w:p>
      <w:pPr>
        <w:ind w:right="140" w:firstLine="621"/>
        <w:spacing w:after="0" w:line="283" w:lineRule="auto"/>
        <w:rPr>
          <w:sz w:val="20"/>
          <w:szCs w:val="20"/>
          <w:color w:val="auto"/>
        </w:rPr>
      </w:pPr>
      <w:r>
        <w:rPr>
          <w:rFonts w:ascii="Arial" w:cs="Arial" w:eastAsia="Arial" w:hAnsi="Arial"/>
          <w:sz w:val="17"/>
          <w:szCs w:val="17"/>
          <w:color w:val="auto"/>
        </w:rPr>
        <w:t>The Convertible Senior Notes have an initial conversion rate of 15.6539 shares of common stock per $1,000 principal amount of the Convertible Senior Notes, which will be subject to customary anti-dilution adjustments in certain circumstances.</w:t>
      </w:r>
    </w:p>
    <w:p>
      <w:pPr>
        <w:spacing w:after="0" w:line="43" w:lineRule="exact"/>
        <w:rPr>
          <w:sz w:val="20"/>
          <w:szCs w:val="20"/>
          <w:color w:val="auto"/>
        </w:rPr>
      </w:pPr>
    </w:p>
    <w:p>
      <w:pPr>
        <w:ind w:right="20" w:firstLine="621"/>
        <w:spacing w:after="0" w:line="257" w:lineRule="auto"/>
        <w:rPr>
          <w:sz w:val="20"/>
          <w:szCs w:val="20"/>
          <w:color w:val="auto"/>
        </w:rPr>
      </w:pPr>
      <w:r>
        <w:rPr>
          <w:rFonts w:ascii="Arial" w:cs="Arial" w:eastAsia="Arial" w:hAnsi="Arial"/>
          <w:sz w:val="17"/>
          <w:szCs w:val="17"/>
          <w:color w:val="auto"/>
        </w:rPr>
        <w:t>In connection with the pricing of the Convertible Senior Notes, the Company entered into privately negotiated capped call transactions with various financial institutions (the "Capped Call Transactions"). The Capped Call Transactions were entered into with third party broker-dealers to limit the potential dilution that would occur if the Company has to settle the conversion value in excess of the principal in shares. This exposure will be covered (i.e., the Company will receive as many shares as are required to be issued between the conversion price of $63.8818 and the maximum price of $91.2600). Any shares required to be issued by the Company over this amount would have net earnings per share dilution impact. By entering into the Capped Call Transactions,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Company paid $39.0 million for the Capped Call Transactions, which was recorded as additional paid-in capital, using a portion of the gross proceeds from the sale of the Convertible Senior Notes. The cost of the Capped Call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Transactions is not expected to be tax deductible as the Company did not elect to integrate the capped call into the Convertible Senior Notes for tax purposes. The cost of the Capped Call Transaction was recorded as a reduction of the Company’s additional paid-in capital in the accompanying condensed consolidated financial statements.</w:t>
      </w:r>
    </w:p>
    <w:p>
      <w:pPr>
        <w:spacing w:after="0" w:line="44" w:lineRule="exact"/>
        <w:rPr>
          <w:sz w:val="20"/>
          <w:szCs w:val="20"/>
          <w:color w:val="auto"/>
        </w:rPr>
      </w:pPr>
    </w:p>
    <w:p>
      <w:pPr>
        <w:ind w:right="20" w:firstLine="621"/>
        <w:spacing w:after="0" w:line="261" w:lineRule="auto"/>
        <w:rPr>
          <w:sz w:val="20"/>
          <w:szCs w:val="20"/>
          <w:color w:val="auto"/>
        </w:rPr>
      </w:pPr>
      <w:r>
        <w:rPr>
          <w:rFonts w:ascii="Arial" w:cs="Arial" w:eastAsia="Arial" w:hAnsi="Arial"/>
          <w:sz w:val="17"/>
          <w:szCs w:val="17"/>
          <w:color w:val="auto"/>
        </w:rPr>
        <w:t>The Company incurred debt issuance costs of $11.4 million in March 2021. The Convertible Senior Notes are presented net of issuance costs on the Company's condensed consolidated balance sheets. The debt issuance costs are amortized on an effective interest basis over the term of the Convertible Senior Notes and are included in interest expense and amortization of debt discount in the accompanying condensed consolidated statements of operations. The following table sets forth interest expense related to the Convertible Senior Notes for the three and nine months ended September 30, 2022 and 2021 (in thousands, except interest rates):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20" w:type="dxa"/>
            <w:vAlign w:val="bottom"/>
            <w:gridSpan w:val="5"/>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900" w:type="dxa"/>
            <w:vAlign w:val="bottom"/>
            <w:gridSpan w:val="4"/>
          </w:tcPr>
          <w:p>
            <w:pPr>
              <w:jc w:val="right"/>
              <w:ind w:right="83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5"/>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0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8"/>
              </w:rPr>
              <w:t>September 30, 2021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7"/>
              </w:rPr>
              <w:t>September 30, 2021</w:t>
            </w:r>
          </w:p>
        </w:tc>
        <w:tc>
          <w:tcPr>
            <w:tcW w:w="0" w:type="dxa"/>
            <w:vAlign w:val="bottom"/>
          </w:tcPr>
          <w:p>
            <w:pPr>
              <w:spacing w:after="0"/>
              <w:rPr>
                <w:sz w:val="1"/>
                <w:szCs w:val="1"/>
                <w:color w:val="auto"/>
              </w:rPr>
            </w:pPr>
          </w:p>
        </w:tc>
      </w:tr>
      <w:tr>
        <w:trPr>
          <w:trHeight w:val="220"/>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Contractual interest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250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750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2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 of debt issuance costs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572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572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1,716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1,227</w:t>
            </w:r>
          </w:p>
        </w:tc>
        <w:tc>
          <w:tcPr>
            <w:tcW w:w="0" w:type="dxa"/>
            <w:vAlign w:val="bottom"/>
          </w:tcPr>
          <w:p>
            <w:pPr>
              <w:spacing w:after="0"/>
              <w:rPr>
                <w:sz w:val="1"/>
                <w:szCs w:val="1"/>
                <w:color w:val="auto"/>
              </w:rPr>
            </w:pPr>
          </w:p>
        </w:tc>
      </w:tr>
      <w:tr>
        <w:trPr>
          <w:trHeight w:val="23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822</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822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2,466</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1,763</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Effective interest rate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line="192" w:lineRule="exact"/>
              <w:rPr>
                <w:sz w:val="20"/>
                <w:szCs w:val="20"/>
                <w:color w:val="auto"/>
              </w:rPr>
            </w:pPr>
            <w:r>
              <w:rPr>
                <w:rFonts w:ascii="Arial" w:cs="Arial" w:eastAsia="Arial" w:hAnsi="Arial"/>
                <w:sz w:val="17"/>
                <w:szCs w:val="17"/>
                <w:color w:val="auto"/>
              </w:rPr>
              <w:t>0.82 %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line="192" w:lineRule="exact"/>
              <w:rPr>
                <w:sz w:val="20"/>
                <w:szCs w:val="20"/>
                <w:color w:val="auto"/>
              </w:rPr>
            </w:pPr>
            <w:r>
              <w:rPr>
                <w:rFonts w:ascii="Arial" w:cs="Arial" w:eastAsia="Arial" w:hAnsi="Arial"/>
                <w:sz w:val="17"/>
                <w:szCs w:val="17"/>
                <w:color w:val="auto"/>
              </w:rPr>
              <w:t>0.82 %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line="192" w:lineRule="exact"/>
              <w:rPr>
                <w:sz w:val="20"/>
                <w:szCs w:val="20"/>
                <w:color w:val="auto"/>
              </w:rPr>
            </w:pPr>
            <w:r>
              <w:rPr>
                <w:rFonts w:ascii="Arial" w:cs="Arial" w:eastAsia="Arial" w:hAnsi="Arial"/>
                <w:sz w:val="17"/>
                <w:szCs w:val="17"/>
                <w:color w:val="auto"/>
              </w:rPr>
              <w:t>0.82 %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line="192" w:lineRule="exact"/>
              <w:rPr>
                <w:sz w:val="20"/>
                <w:szCs w:val="20"/>
                <w:color w:val="auto"/>
              </w:rPr>
            </w:pPr>
            <w:r>
              <w:rPr>
                <w:rFonts w:ascii="Arial" w:cs="Arial" w:eastAsia="Arial" w:hAnsi="Arial"/>
                <w:sz w:val="17"/>
                <w:szCs w:val="17"/>
                <w:color w:val="auto"/>
              </w:rPr>
              <w:t>0.82 %</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right="120" w:firstLine="621"/>
        <w:spacing w:after="0" w:line="283" w:lineRule="auto"/>
        <w:rPr>
          <w:sz w:val="20"/>
          <w:szCs w:val="20"/>
          <w:color w:val="auto"/>
        </w:rPr>
      </w:pPr>
      <w:r>
        <w:rPr>
          <w:rFonts w:ascii="Arial" w:cs="Arial" w:eastAsia="Arial" w:hAnsi="Arial"/>
          <w:sz w:val="17"/>
          <w:szCs w:val="17"/>
          <w:color w:val="auto"/>
        </w:rPr>
        <w:t>Amortization expense for the Company's debt issuance costs related to the Convertible Senior Notes for the fiscal years 2022 through 2026 is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70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Pr>
          <w:p>
            <w:pPr>
              <w:spacing w:after="0"/>
              <w:rPr>
                <w:sz w:val="15"/>
                <w:szCs w:val="15"/>
                <w:color w:val="auto"/>
              </w:rPr>
            </w:pPr>
          </w:p>
        </w:tc>
        <w:tc>
          <w:tcPr>
            <w:tcW w:w="1400" w:type="dxa"/>
            <w:vAlign w:val="bottom"/>
          </w:tcPr>
          <w:p>
            <w:pPr>
              <w:jc w:val="right"/>
              <w:ind w:right="96"/>
              <w:spacing w:after="0"/>
              <w:rPr>
                <w:sz w:val="20"/>
                <w:szCs w:val="20"/>
                <w:color w:val="auto"/>
              </w:rPr>
            </w:pPr>
            <w:r>
              <w:rPr>
                <w:rFonts w:ascii="Arial" w:cs="Arial" w:eastAsia="Arial" w:hAnsi="Arial"/>
                <w:sz w:val="14"/>
                <w:szCs w:val="14"/>
                <w:b w:val="1"/>
                <w:bCs w:val="1"/>
                <w:color w:val="auto"/>
                <w:w w:val="87"/>
              </w:rPr>
              <w:t>Debt Issuance Costs</w:t>
            </w:r>
          </w:p>
        </w:tc>
      </w:tr>
      <w:tr>
        <w:trPr>
          <w:trHeight w:val="25"/>
        </w:trPr>
        <w:tc>
          <w:tcPr>
            <w:tcW w:w="9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3"/>
        </w:trPr>
        <w:tc>
          <w:tcPr>
            <w:tcW w:w="9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w:t>
            </w:r>
          </w:p>
        </w:tc>
      </w:tr>
      <w:tr>
        <w:trPr>
          <w:trHeight w:val="220"/>
        </w:trPr>
        <w:tc>
          <w:tcPr>
            <w:tcW w:w="9700" w:type="dxa"/>
            <w:vAlign w:val="bottom"/>
          </w:tcPr>
          <w:p>
            <w:pPr>
              <w:ind w:left="20"/>
              <w:spacing w:after="0"/>
              <w:rPr>
                <w:sz w:val="20"/>
                <w:szCs w:val="20"/>
                <w:color w:val="auto"/>
              </w:rPr>
            </w:pPr>
            <w:r>
              <w:rPr>
                <w:rFonts w:ascii="Arial" w:cs="Arial" w:eastAsia="Arial" w:hAnsi="Arial"/>
                <w:sz w:val="17"/>
                <w:szCs w:val="17"/>
                <w:color w:val="auto"/>
              </w:rPr>
              <w:t>2023</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2,288</w:t>
            </w:r>
          </w:p>
        </w:tc>
      </w:tr>
      <w:tr>
        <w:trPr>
          <w:trHeight w:val="220"/>
        </w:trPr>
        <w:tc>
          <w:tcPr>
            <w:tcW w:w="9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2,288</w:t>
            </w:r>
          </w:p>
        </w:tc>
      </w:tr>
      <w:tr>
        <w:trPr>
          <w:trHeight w:val="220"/>
        </w:trPr>
        <w:tc>
          <w:tcPr>
            <w:tcW w:w="9700" w:type="dxa"/>
            <w:vAlign w:val="bottom"/>
          </w:tcPr>
          <w:p>
            <w:pPr>
              <w:ind w:left="20"/>
              <w:spacing w:after="0"/>
              <w:rPr>
                <w:sz w:val="20"/>
                <w:szCs w:val="20"/>
                <w:color w:val="auto"/>
              </w:rPr>
            </w:pPr>
            <w:r>
              <w:rPr>
                <w:rFonts w:ascii="Arial" w:cs="Arial" w:eastAsia="Arial" w:hAnsi="Arial"/>
                <w:sz w:val="17"/>
                <w:szCs w:val="17"/>
                <w:color w:val="auto"/>
              </w:rPr>
              <w:t>2025</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2,288</w:t>
            </w:r>
          </w:p>
        </w:tc>
      </w:tr>
      <w:tr>
        <w:trPr>
          <w:trHeight w:val="220"/>
        </w:trPr>
        <w:tc>
          <w:tcPr>
            <w:tcW w:w="9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w:t>
            </w:r>
          </w:p>
        </w:tc>
      </w:tr>
      <w:tr>
        <w:trPr>
          <w:trHeight w:val="213"/>
        </w:trPr>
        <w:tc>
          <w:tcPr>
            <w:tcW w:w="9700" w:type="dxa"/>
            <w:vAlign w:val="bottom"/>
          </w:tcPr>
          <w:p>
            <w:pPr>
              <w:ind w:left="220"/>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7,927</w:t>
            </w:r>
          </w:p>
        </w:tc>
      </w:tr>
      <w:tr>
        <w:trPr>
          <w:trHeight w:val="20"/>
        </w:trPr>
        <w:tc>
          <w:tcPr>
            <w:tcW w:w="9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Credit Agreement</w:t>
      </w:r>
    </w:p>
    <w:p>
      <w:pPr>
        <w:spacing w:after="0" w:line="89" w:lineRule="exact"/>
        <w:rPr>
          <w:sz w:val="20"/>
          <w:szCs w:val="20"/>
          <w:color w:val="auto"/>
        </w:rPr>
      </w:pPr>
    </w:p>
    <w:p>
      <w:pPr>
        <w:ind w:right="40" w:firstLine="621"/>
        <w:spacing w:after="0" w:line="279" w:lineRule="auto"/>
        <w:rPr>
          <w:sz w:val="20"/>
          <w:szCs w:val="20"/>
          <w:color w:val="auto"/>
        </w:rPr>
      </w:pPr>
      <w:r>
        <w:rPr>
          <w:rFonts w:ascii="Arial" w:cs="Arial" w:eastAsia="Arial" w:hAnsi="Arial"/>
          <w:sz w:val="16"/>
          <w:szCs w:val="16"/>
          <w:color w:val="auto"/>
        </w:rPr>
        <w:t>On April 30, 2021, the Company entered into a credit agreement (the "Credit Agreement") with Goldman Sachs Bank USA as administrative agent and collateral agent, and other lender parties thereto. The Credit Agreement provides for a $360.0 million seven-year senior secured term loan facility ("Term Loan B Facility") and a $52.5 million senior secured revolving credit facility (the "Revolving Credit Facility"). As part of the Term Loan B Facility, the Company received $325 million in proceeds, net of discounts and fees, which were used to finance the SpotX Acquisition and related transactions, and for general corporate purposes. Loans, if any, under the Revolving Credit Facility are expected to be used for general corporate purposes. The obligations under the Credit Agreement are secured by substantially all of the assets of the Company and those of its subsidiaries that are guarantors under the Credit Agreement.</w:t>
      </w:r>
    </w:p>
    <w:p>
      <w:pPr>
        <w:spacing w:after="0" w:line="49" w:lineRule="exact"/>
        <w:rPr>
          <w:sz w:val="20"/>
          <w:szCs w:val="20"/>
          <w:color w:val="auto"/>
        </w:rPr>
      </w:pPr>
    </w:p>
    <w:p>
      <w:pPr>
        <w:ind w:right="20" w:firstLine="621"/>
        <w:spacing w:after="0" w:line="293" w:lineRule="auto"/>
        <w:rPr>
          <w:sz w:val="20"/>
          <w:szCs w:val="20"/>
          <w:color w:val="auto"/>
        </w:rPr>
      </w:pPr>
      <w:r>
        <w:rPr>
          <w:rFonts w:ascii="Arial" w:cs="Arial" w:eastAsia="Arial" w:hAnsi="Arial"/>
          <w:sz w:val="15"/>
          <w:szCs w:val="15"/>
          <w:color w:val="auto"/>
        </w:rPr>
        <w:t>Amounts outstanding under the Credit Agreement accrue interest at a rate equal to either, (1) for the Term Loan B Facility, at the Company’s election, the Eurodollar Rate (as defined in the Credit Agreement) plus a margin of 5.00% per annum, or ABR (as defined in the Credit Agreement) plus a margin of 4.00%, and (2) for the Revolving Credit Facility, at the Company’s election, the Eurodollar Rate plus a margin of 4.25% to 4.75%, or ABR plus a margin of 3.25% to</w:t>
      </w:r>
    </w:p>
    <w:p>
      <w:pPr>
        <w:spacing w:after="0" w:line="2"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3.75%, in each case, depending on the Company’s first lien net leverage ratio. As of September 30, 2022, the contractual interest rate related to the Term Loan B Facility was 8.17%.</w:t>
      </w:r>
    </w:p>
    <w:p>
      <w:pPr>
        <w:spacing w:after="0" w:line="55" w:lineRule="exact"/>
        <w:rPr>
          <w:sz w:val="20"/>
          <w:szCs w:val="20"/>
          <w:color w:val="auto"/>
        </w:rPr>
      </w:pPr>
    </w:p>
    <w:p>
      <w:pPr>
        <w:ind w:right="60" w:firstLine="621"/>
        <w:spacing w:after="0" w:line="261" w:lineRule="auto"/>
        <w:rPr>
          <w:sz w:val="20"/>
          <w:szCs w:val="20"/>
          <w:color w:val="auto"/>
        </w:rPr>
      </w:pPr>
      <w:r>
        <w:rPr>
          <w:rFonts w:ascii="Arial" w:cs="Arial" w:eastAsia="Arial" w:hAnsi="Arial"/>
          <w:sz w:val="17"/>
          <w:szCs w:val="17"/>
          <w:color w:val="auto"/>
        </w:rPr>
        <w:t>The covenants of the Credit Agreement include customary negative covenants that, among other things, restrict the Company’s ability to incur additional indebtedness, grant liens and make certain acquisitions, investments, asset dispositions and restricted payments. In addition, the Credit Agreement contains a financial covenant, tested on the last day of any fiscal quarter if utilization of the Revolving Credit Facility exceeds 35% of the total revolving commitments, that requires the Company to maintain a first lien net leverage ratio not greater than 3.25 to 1.00. As of September 30, 2022, the Company was in compliance with its debt covenants.</w:t>
      </w:r>
    </w:p>
    <w:p>
      <w:pPr>
        <w:spacing w:after="0" w:line="50" w:lineRule="exact"/>
        <w:rPr>
          <w:sz w:val="20"/>
          <w:szCs w:val="20"/>
          <w:color w:val="auto"/>
        </w:rPr>
      </w:pPr>
    </w:p>
    <w:p>
      <w:pPr>
        <w:ind w:firstLine="621"/>
        <w:spacing w:after="0" w:line="309" w:lineRule="auto"/>
        <w:rPr>
          <w:sz w:val="20"/>
          <w:szCs w:val="20"/>
          <w:color w:val="auto"/>
        </w:rPr>
      </w:pPr>
      <w:r>
        <w:rPr>
          <w:rFonts w:ascii="Arial" w:cs="Arial" w:eastAsia="Arial" w:hAnsi="Arial"/>
          <w:sz w:val="15"/>
          <w:szCs w:val="15"/>
          <w:color w:val="auto"/>
        </w:rPr>
        <w:t>The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Credit Agreement. The Credit Agreement calls for customary scheduled loan amortization payments of 0.25% of the initial principal balance payable quarterly (i.e. 1% in aggregate per year) as well as a provision that requires the Company to prepay the Term Loan B based on an annual calculation of cumulative free cash flow</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420"/>
        <w:spacing w:after="0" w:line="283" w:lineRule="auto"/>
        <w:rPr>
          <w:sz w:val="20"/>
          <w:szCs w:val="20"/>
          <w:color w:val="auto"/>
        </w:rPr>
      </w:pPr>
      <w:r>
        <w:rPr>
          <w:rFonts w:ascii="Arial" w:cs="Arial" w:eastAsia="Arial" w:hAnsi="Arial"/>
          <w:sz w:val="17"/>
          <w:szCs w:val="17"/>
          <w:color w:val="auto"/>
        </w:rPr>
        <w:t>("Excess Cash Flow") generated by the company as defined within the terms of the Agreement. The Company was not required to make any such mandatory prepayment required by the Excess Cash Flow provision for the period ended September 30, 2022.</w:t>
      </w:r>
    </w:p>
    <w:p>
      <w:pPr>
        <w:spacing w:after="0" w:line="31" w:lineRule="exact"/>
        <w:rPr>
          <w:sz w:val="20"/>
          <w:szCs w:val="20"/>
          <w:color w:val="auto"/>
        </w:rPr>
      </w:pPr>
    </w:p>
    <w:p>
      <w:pPr>
        <w:ind w:firstLine="621"/>
        <w:spacing w:after="0" w:line="279" w:lineRule="auto"/>
        <w:rPr>
          <w:sz w:val="20"/>
          <w:szCs w:val="20"/>
          <w:color w:val="auto"/>
        </w:rPr>
      </w:pPr>
      <w:r>
        <w:rPr>
          <w:rFonts w:ascii="Arial" w:cs="Arial" w:eastAsia="Arial" w:hAnsi="Arial"/>
          <w:sz w:val="16"/>
          <w:szCs w:val="16"/>
          <w:color w:val="auto"/>
        </w:rPr>
        <w:t>On June 28, 2021, the Company entered into an Incremental Assumption Agreement (the "Incremental Agreement") to the Credit Agreement. Pursuant to the terms of the Incremental Agreement, the Company’s existing revolving credit facility under the Credit Agreement was increased by $12.5 million (the "Incremental Revolver"), and the letter of credit sublimit under the Credit Agreement was increased by $5.0 million. The Incremental Revolver bears the same interest rate as the existing revolving credit facility and has the same maturity date as the existing revolving credit facility. No other terms of the Credit Agreement were amended. As a result, amounts available under the Revolving Credit Facility were $65.0 million. At September 30, 2022, amounts available under the Revolving Credit Facility were $59.7 million, net of letters of credit outstanding in the amount of $5.3 million.</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amount outstanding under the Term Loan B Facility at September 30, 2022 and December 31, 2021: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88"/>
              </w:rPr>
              <w:t>September 30, 2022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1"/>
              </w:rPr>
              <w:t>December 31, 2021</w:t>
            </w:r>
          </w:p>
        </w:tc>
      </w:tr>
      <w:tr>
        <w:trPr>
          <w:trHeight w:val="25"/>
        </w:trPr>
        <w:tc>
          <w:tcPr>
            <w:tcW w:w="8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r>
      <w:tr>
        <w:trPr>
          <w:trHeight w:val="179"/>
        </w:trPr>
        <w:tc>
          <w:tcPr>
            <w:tcW w:w="8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20" w:type="dxa"/>
            <w:vAlign w:val="bottom"/>
            <w:gridSpan w:val="4"/>
          </w:tcPr>
          <w:p>
            <w:pPr>
              <w:jc w:val="right"/>
              <w:ind w:right="1077"/>
              <w:spacing w:after="0"/>
              <w:rPr>
                <w:sz w:val="20"/>
                <w:szCs w:val="20"/>
                <w:color w:val="auto"/>
              </w:rPr>
            </w:pPr>
            <w:r>
              <w:rPr>
                <w:rFonts w:ascii="Arial" w:cs="Arial" w:eastAsia="Arial" w:hAnsi="Arial"/>
                <w:sz w:val="14"/>
                <w:szCs w:val="14"/>
                <w:b w:val="1"/>
                <w:bCs w:val="1"/>
                <w:color w:val="auto"/>
              </w:rPr>
              <w:t>(in thousands)</w:t>
            </w:r>
          </w:p>
        </w:tc>
      </w:tr>
      <w:tr>
        <w:trPr>
          <w:trHeight w:val="318"/>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 B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355,500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358,200</w:t>
            </w: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color w:val="auto"/>
              </w:rPr>
              <w:t>Unamortized debt discounts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(8,552)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(9,738)</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debt issuance costs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(15,196)</w:t>
            </w:r>
          </w:p>
        </w:tc>
      </w:tr>
      <w:tr>
        <w:trPr>
          <w:trHeight w:val="213"/>
        </w:trPr>
        <w:tc>
          <w:tcPr>
            <w:tcW w:w="8060" w:type="dxa"/>
            <w:vAlign w:val="bottom"/>
          </w:tcPr>
          <w:p>
            <w:pPr>
              <w:ind w:left="20"/>
              <w:spacing w:after="0"/>
              <w:rPr>
                <w:sz w:val="20"/>
                <w:szCs w:val="20"/>
                <w:color w:val="auto"/>
              </w:rPr>
            </w:pPr>
            <w:r>
              <w:rPr>
                <w:rFonts w:ascii="Arial" w:cs="Arial" w:eastAsia="Arial" w:hAnsi="Arial"/>
                <w:sz w:val="17"/>
                <w:szCs w:val="17"/>
                <w:color w:val="auto"/>
              </w:rPr>
              <w:t>Debt, net of debt issuance costs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333,604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333,266</w:t>
            </w: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140" w:firstLine="621"/>
        <w:spacing w:after="0" w:line="261" w:lineRule="auto"/>
        <w:rPr>
          <w:sz w:val="20"/>
          <w:szCs w:val="20"/>
          <w:color w:val="auto"/>
        </w:rPr>
      </w:pPr>
      <w:r>
        <w:rPr>
          <w:rFonts w:ascii="Arial" w:cs="Arial" w:eastAsia="Arial" w:hAnsi="Arial"/>
          <w:sz w:val="17"/>
          <w:szCs w:val="17"/>
          <w:color w:val="auto"/>
        </w:rPr>
        <w:t>The Company incurred debt issuance costs of $27.7 million in April 2021, of which $10.8 million were associated with debt discount netted against the proceeds and $16.9 million were associated with other deferred financing costs associated with the Term Loan B Facility. Debt outstanding under the Term Loan B Facility are presented net of issuance costs on the Company's condensed consolidated balance sheets. The debt issuance costs are amortized on an effective interest basis over the term of the Term Loan B Facility and are included in interest expense and amortization of debt discount in the accompanying condensed consolidated statements of operations.</w:t>
      </w:r>
    </w:p>
    <w:p>
      <w:pPr>
        <w:spacing w:after="0" w:line="63" w:lineRule="exact"/>
        <w:rPr>
          <w:sz w:val="20"/>
          <w:szCs w:val="20"/>
          <w:color w:val="auto"/>
        </w:rPr>
      </w:pPr>
    </w:p>
    <w:p>
      <w:pPr>
        <w:ind w:right="80" w:firstLine="621"/>
        <w:spacing w:after="0" w:line="283" w:lineRule="auto"/>
        <w:rPr>
          <w:sz w:val="20"/>
          <w:szCs w:val="20"/>
          <w:color w:val="auto"/>
        </w:rPr>
      </w:pPr>
      <w:r>
        <w:rPr>
          <w:rFonts w:ascii="Arial" w:cs="Arial" w:eastAsia="Arial" w:hAnsi="Arial"/>
          <w:sz w:val="17"/>
          <w:szCs w:val="17"/>
          <w:color w:val="auto"/>
        </w:rPr>
        <w:t>The following table sets forth interest expense related to the Term Loan B Facility for the three and nine months ended September 30, 2022 and 2021 (in thousands, except interest rates):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2900" w:type="dxa"/>
            <w:vAlign w:val="bottom"/>
            <w:gridSpan w:val="4"/>
          </w:tcPr>
          <w:p>
            <w:pPr>
              <w:jc w:val="right"/>
              <w:ind w:right="857"/>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9"/>
        </w:trPr>
        <w:tc>
          <w:tcPr>
            <w:tcW w:w="50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8"/>
              </w:rPr>
              <w:t>September 30, 2021</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8"/>
              </w:rPr>
              <w:t>September 30, 2021</w:t>
            </w:r>
          </w:p>
        </w:tc>
      </w:tr>
      <w:tr>
        <w:trPr>
          <w:trHeight w:val="227"/>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Contractual 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6,052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5,290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16,472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8,798</w:t>
            </w:r>
          </w:p>
        </w:tc>
      </w:tr>
      <w:tr>
        <w:trPr>
          <w:trHeight w:val="220"/>
        </w:trPr>
        <w:tc>
          <w:tcPr>
            <w:tcW w:w="5060" w:type="dxa"/>
            <w:vAlign w:val="bottom"/>
          </w:tcPr>
          <w:p>
            <w:pPr>
              <w:ind w:left="20"/>
              <w:spacing w:after="0"/>
              <w:rPr>
                <w:sz w:val="20"/>
                <w:szCs w:val="20"/>
                <w:color w:val="auto"/>
              </w:rPr>
            </w:pPr>
            <w:r>
              <w:rPr>
                <w:rFonts w:ascii="Arial" w:cs="Arial" w:eastAsia="Arial" w:hAnsi="Arial"/>
                <w:sz w:val="17"/>
                <w:szCs w:val="17"/>
                <w:color w:val="auto"/>
              </w:rPr>
              <w:t>Amortization of debt discount</w:t>
            </w:r>
          </w:p>
        </w:tc>
        <w:tc>
          <w:tcPr>
            <w:tcW w:w="160" w:type="dxa"/>
            <w:vAlign w:val="bottom"/>
          </w:tcPr>
          <w:p>
            <w:pPr>
              <w:spacing w:after="0"/>
              <w:rPr>
                <w:sz w:val="19"/>
                <w:szCs w:val="19"/>
                <w:color w:val="auto"/>
              </w:rPr>
            </w:pPr>
          </w:p>
        </w:tc>
        <w:tc>
          <w:tcPr>
            <w:tcW w:w="1300" w:type="dxa"/>
            <w:vAlign w:val="bottom"/>
          </w:tcPr>
          <w:p>
            <w:pPr>
              <w:jc w:val="right"/>
              <w:ind w:right="119"/>
              <w:spacing w:after="0"/>
              <w:rPr>
                <w:sz w:val="20"/>
                <w:szCs w:val="20"/>
                <w:color w:val="auto"/>
              </w:rPr>
            </w:pPr>
            <w:r>
              <w:rPr>
                <w:rFonts w:ascii="Arial" w:cs="Arial" w:eastAsia="Arial" w:hAnsi="Arial"/>
                <w:sz w:val="17"/>
                <w:szCs w:val="17"/>
                <w:color w:val="auto"/>
              </w:rPr>
              <w:t>394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17"/>
              <w:spacing w:after="0"/>
              <w:rPr>
                <w:sz w:val="20"/>
                <w:szCs w:val="20"/>
                <w:color w:val="auto"/>
              </w:rPr>
            </w:pPr>
            <w:r>
              <w:rPr>
                <w:rFonts w:ascii="Arial" w:cs="Arial" w:eastAsia="Arial" w:hAnsi="Arial"/>
                <w:sz w:val="17"/>
                <w:szCs w:val="17"/>
                <w:color w:val="auto"/>
              </w:rPr>
              <w:t>399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19"/>
              <w:spacing w:after="0"/>
              <w:rPr>
                <w:sz w:val="20"/>
                <w:szCs w:val="20"/>
                <w:color w:val="auto"/>
              </w:rPr>
            </w:pPr>
            <w:r>
              <w:rPr>
                <w:rFonts w:ascii="Arial" w:cs="Arial" w:eastAsia="Arial" w:hAnsi="Arial"/>
                <w:sz w:val="17"/>
                <w:szCs w:val="17"/>
                <w:color w:val="auto"/>
              </w:rPr>
              <w:t>1,186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664</w:t>
            </w:r>
          </w:p>
        </w:tc>
      </w:tr>
      <w:tr>
        <w:trPr>
          <w:trHeight w:val="220"/>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debt issuance costs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rPr>
              <w:t>616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622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rPr>
              <w:t>1,852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1,036</w:t>
            </w:r>
          </w:p>
        </w:tc>
      </w:tr>
      <w:tr>
        <w:trPr>
          <w:trHeight w:val="213"/>
        </w:trPr>
        <w:tc>
          <w:tcPr>
            <w:tcW w:w="5060" w:type="dxa"/>
            <w:vAlign w:val="bottom"/>
          </w:tcPr>
          <w:p>
            <w:pPr>
              <w:ind w:left="20"/>
              <w:spacing w:after="0"/>
              <w:rPr>
                <w:sz w:val="20"/>
                <w:szCs w:val="20"/>
                <w:color w:val="auto"/>
              </w:rPr>
            </w:pPr>
            <w:r>
              <w:rPr>
                <w:rFonts w:ascii="Arial" w:cs="Arial" w:eastAsia="Arial" w:hAnsi="Arial"/>
                <w:sz w:val="17"/>
                <w:szCs w:val="17"/>
                <w:color w:val="auto"/>
              </w:rPr>
              <w:t>Total interest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rPr>
              <w:t>7,062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6,311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rPr>
              <w:t>19,510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10,498</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2"/>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interest rate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7.00 %</w:t>
            </w:r>
          </w:p>
        </w:tc>
      </w:tr>
    </w:tbl>
    <w:p>
      <w:pPr>
        <w:spacing w:after="0" w:line="1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Amortization expense for the Term Loan B Facility debt discount and debt issuance costs for fiscal years 2022 through 2028 is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Debt Discount</w:t>
            </w:r>
          </w:p>
        </w:tc>
        <w:tc>
          <w:tcPr>
            <w:tcW w:w="140" w:type="dxa"/>
            <w:vAlign w:val="bottom"/>
          </w:tcPr>
          <w:p>
            <w:pPr>
              <w:spacing w:after="0"/>
              <w:rPr>
                <w:sz w:val="15"/>
                <w:szCs w:val="15"/>
                <w:color w:val="auto"/>
              </w:rPr>
            </w:pPr>
          </w:p>
        </w:tc>
        <w:tc>
          <w:tcPr>
            <w:tcW w:w="1380" w:type="dxa"/>
            <w:vAlign w:val="bottom"/>
          </w:tcPr>
          <w:p>
            <w:pPr>
              <w:jc w:val="right"/>
              <w:ind w:right="76"/>
              <w:spacing w:after="0"/>
              <w:rPr>
                <w:sz w:val="20"/>
                <w:szCs w:val="20"/>
                <w:color w:val="auto"/>
              </w:rPr>
            </w:pPr>
            <w:r>
              <w:rPr>
                <w:rFonts w:ascii="Arial" w:cs="Arial" w:eastAsia="Arial" w:hAnsi="Arial"/>
                <w:sz w:val="14"/>
                <w:szCs w:val="14"/>
                <w:b w:val="1"/>
                <w:bCs w:val="1"/>
                <w:color w:val="auto"/>
                <w:w w:val="87"/>
              </w:rPr>
              <w:t>Debt Issuance Costs</w:t>
            </w:r>
          </w:p>
        </w:tc>
      </w:tr>
      <w:tr>
        <w:trPr>
          <w:trHeight w:val="25"/>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3"/>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2022</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2023</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2,441</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2,416</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2025</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2,391</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2,366</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3,116</w:t>
            </w:r>
          </w:p>
        </w:tc>
      </w:tr>
      <w:tr>
        <w:trPr>
          <w:trHeight w:val="238"/>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8,552</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13,344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14—Subsequent Events</w:t>
      </w:r>
    </w:p>
    <w:p>
      <w:pPr>
        <w:spacing w:after="0" w:line="237" w:lineRule="exact"/>
        <w:rPr>
          <w:sz w:val="20"/>
          <w:szCs w:val="20"/>
          <w:color w:val="auto"/>
        </w:rPr>
      </w:pPr>
    </w:p>
    <w:p>
      <w:pPr>
        <w:ind w:right="160" w:firstLine="621"/>
        <w:spacing w:after="0" w:line="267" w:lineRule="auto"/>
        <w:rPr>
          <w:sz w:val="20"/>
          <w:szCs w:val="20"/>
          <w:color w:val="auto"/>
        </w:rPr>
      </w:pPr>
      <w:r>
        <w:rPr>
          <w:rFonts w:ascii="Arial" w:cs="Arial" w:eastAsia="Arial" w:hAnsi="Arial"/>
          <w:sz w:val="17"/>
          <w:szCs w:val="17"/>
          <w:color w:val="auto"/>
        </w:rPr>
        <w:t>In December 2021, the Company's Board of Directors approved a share repurchase program (the "Program") under which the Company was authorized to purchase up to $50.0 million of its common stock from December 10, 2021 through December 10,</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2022. On November 4, 2022, the Board of Directors approved an extension of the Program through December 15, 2023. Subsequent to September 30, 2022, the Company has not repurchased additional shares through the Program, of which approximately $28.3 million remain available for future repurchases.</w:t>
      </w:r>
    </w:p>
    <w:p>
      <w:pPr>
        <w:spacing w:after="0" w:line="200" w:lineRule="exact"/>
        <w:rPr>
          <w:sz w:val="20"/>
          <w:szCs w:val="20"/>
          <w:color w:val="auto"/>
        </w:rPr>
      </w:pP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40"/>
          </w:cols>
          <w:pgMar w:left="320" w:top="127" w:right="5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08" w:lineRule="exact"/>
        <w:rPr>
          <w:sz w:val="20"/>
          <w:szCs w:val="20"/>
          <w:color w:val="auto"/>
        </w:rPr>
      </w:pPr>
    </w:p>
    <w:p>
      <w:pPr>
        <w:ind w:firstLine="621"/>
        <w:spacing w:after="0" w:line="272" w:lineRule="auto"/>
        <w:rPr>
          <w:sz w:val="20"/>
          <w:szCs w:val="20"/>
          <w:color w:val="auto"/>
        </w:rPr>
      </w:pPr>
      <w:r>
        <w:rPr>
          <w:rFonts w:ascii="Arial" w:cs="Arial" w:eastAsia="Arial" w:hAnsi="Arial"/>
          <w:sz w:val="16"/>
          <w:szCs w:val="16"/>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acquisitions by the Company, including the acquisition of SpotX, Inc. ("SpotX," and such acquisition the "SpotX Acquisition"), the acquisition of SpringServe, LLC ("SpringServe," and such acquisition the "SpringServe Acquisition"), and the merger with Telaria, Inc. ("Telaria," and such merger the "Telaria Merger"), or the anticipated benefits thereof; statements concerning potential synergies from the Company's acquisitions; statements concerning the potential impacts of the COVID-19 pandemic on our business operations, financial condition, and results of operations and on the world economy; statements concerning macroeconomic conditions, including inflation, supply chain issues or the occurrence of a recession, or concerns related thereto; our anticipated financial performance; key strategic objectives; industry growth rates for ad-supported connected television ("CTV") and the shift in video consumption from linear TV to CTV; anticipated benefits of new offerings; the impact of our traffic shaping technology on our business; the effects of our cost reduction initiatives; scope and duration of client relationships; the fees we may charge in the future; business mix; sales growth; benefits from supply path optimization; the development of identity solutions; client utilization of our offerings; our competitive differentiation; our market share and leadership position in the industry; market conditions, trends, and opportunities;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Risks that our business faces include, but are not limited to, the following:</w:t>
      </w:r>
    </w:p>
    <w:p>
      <w:pPr>
        <w:spacing w:after="0" w:line="102" w:lineRule="exact"/>
        <w:rPr>
          <w:sz w:val="20"/>
          <w:szCs w:val="20"/>
          <w:color w:val="auto"/>
        </w:rPr>
      </w:pPr>
    </w:p>
    <w:p>
      <w:pPr>
        <w:ind w:left="620" w:hanging="306"/>
        <w:spacing w:after="0"/>
        <w:tabs>
          <w:tab w:leader="none" w:pos="62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realize the anticipated benefits of the Telaria Merger, SpotX Acquisition, SpringServe Acquisition, and other acquisitions;</w:t>
      </w:r>
    </w:p>
    <w:p>
      <w:pPr>
        <w:spacing w:after="0" w:line="102" w:lineRule="exact"/>
        <w:rPr>
          <w:rFonts w:ascii="Arial" w:cs="Arial" w:eastAsia="Arial" w:hAnsi="Arial"/>
          <w:sz w:val="17"/>
          <w:szCs w:val="17"/>
          <w:i w:val="1"/>
          <w:iCs w:val="1"/>
          <w:color w:val="auto"/>
        </w:rPr>
      </w:pPr>
    </w:p>
    <w:p>
      <w:pPr>
        <w:ind w:left="620" w:right="520" w:hanging="306"/>
        <w:spacing w:after="0" w:line="365" w:lineRule="auto"/>
        <w:tabs>
          <w:tab w:leader="none" w:pos="616"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macroeconomic challenges on the advertising marketplace, including as a result of global conflict, inflation, supply chain issues, the occurrence of a recession, or concerns relating to the foregoing;</w:t>
      </w:r>
    </w:p>
    <w:p>
      <w:pPr>
        <w:ind w:left="620" w:hanging="306"/>
        <w:spacing w:after="0"/>
        <w:tabs>
          <w:tab w:leader="none" w:pos="620"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the severity, magnitude, and duration of the COVID-19 pandemic, including impacts of the pandemic and of responses to the pandemic by governments;</w:t>
      </w:r>
    </w:p>
    <w:p>
      <w:pPr>
        <w:spacing w:after="0" w:line="137" w:lineRule="exact"/>
        <w:rPr>
          <w:rFonts w:ascii="Arial" w:cs="Arial" w:eastAsia="Arial" w:hAnsi="Arial"/>
          <w:sz w:val="15"/>
          <w:szCs w:val="15"/>
          <w:i w:val="1"/>
          <w:iCs w:val="1"/>
          <w:color w:val="auto"/>
        </w:rPr>
      </w:pPr>
    </w:p>
    <w:p>
      <w:pPr>
        <w:ind w:left="620" w:right="180" w:hanging="306"/>
        <w:spacing w:after="0" w:line="365" w:lineRule="auto"/>
        <w:tabs>
          <w:tab w:leader="none" w:pos="616"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CTV spend on our platform may grow more slowly than we expect if industry growth rates for ad supported CTV are not accurate, if CTV sellers fail to adopt programmatic advertising solutions or if we are unable to maintain or increase access to CTV advertising inventory;</w:t>
      </w:r>
    </w:p>
    <w:p>
      <w:pPr>
        <w:ind w:left="620" w:hanging="306"/>
        <w:spacing w:after="0"/>
        <w:tabs>
          <w:tab w:leader="none" w:pos="620"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the growing percentage of digital advertising spend captured by closed “walled gardens” (such as Google, Facebook, Microsoft, Comcast, and Amazon);</w:t>
      </w:r>
    </w:p>
    <w:p>
      <w:pPr>
        <w:spacing w:after="0" w:line="125" w:lineRule="exact"/>
        <w:rPr>
          <w:rFonts w:ascii="Arial" w:cs="Arial" w:eastAsia="Arial" w:hAnsi="Arial"/>
          <w:sz w:val="15"/>
          <w:szCs w:val="15"/>
          <w:i w:val="1"/>
          <w:iCs w:val="1"/>
          <w:color w:val="auto"/>
        </w:rPr>
      </w:pPr>
    </w:p>
    <w:p>
      <w:pPr>
        <w:ind w:left="620" w:hanging="306"/>
        <w:spacing w:after="0"/>
        <w:tabs>
          <w:tab w:leader="none" w:pos="62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we may be unsuccessful in our supply path optimization efforts;</w:t>
      </w:r>
    </w:p>
    <w:p>
      <w:pPr>
        <w:spacing w:after="0" w:line="102" w:lineRule="exact"/>
        <w:rPr>
          <w:rFonts w:ascii="Arial" w:cs="Arial" w:eastAsia="Arial" w:hAnsi="Arial"/>
          <w:sz w:val="17"/>
          <w:szCs w:val="17"/>
          <w:i w:val="1"/>
          <w:iCs w:val="1"/>
          <w:color w:val="auto"/>
        </w:rPr>
      </w:pPr>
    </w:p>
    <w:p>
      <w:pPr>
        <w:ind w:left="620" w:right="440" w:hanging="306"/>
        <w:spacing w:after="0" w:line="373" w:lineRule="auto"/>
        <w:tabs>
          <w:tab w:leader="none" w:pos="616"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introduce new offerings and bring them to market in a timely manner, and otherwise adapt in response to client demands and industry trends;</w:t>
      </w:r>
    </w:p>
    <w:p>
      <w:pPr>
        <w:ind w:left="620" w:right="280" w:hanging="306"/>
        <w:spacing w:after="0" w:line="365" w:lineRule="auto"/>
        <w:tabs>
          <w:tab w:leader="none" w:pos="616"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uncertainty of our estimates and expectations associated with new offerings, including the CTV ad server product that we acquired in the SpringServe Acquisition and our developing identity solutions;</w:t>
      </w:r>
    </w:p>
    <w:p>
      <w:pPr>
        <w:ind w:left="620" w:hanging="306"/>
        <w:spacing w:after="0"/>
        <w:tabs>
          <w:tab w:leader="none" w:pos="62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we must increase the scale and efficiency of our technology infrastructure to support our growth;</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 emergence of header bidding has increased competition from other demand sources and may cause infrastructure strain and added costs;</w:t>
      </w:r>
    </w:p>
    <w:p>
      <w:pPr>
        <w:spacing w:after="0" w:line="113" w:lineRule="exact"/>
        <w:rPr>
          <w:rFonts w:ascii="Arial" w:cs="Arial" w:eastAsia="Arial" w:hAnsi="Arial"/>
          <w:sz w:val="16"/>
          <w:szCs w:val="16"/>
          <w:i w:val="1"/>
          <w:iCs w:val="1"/>
          <w:color w:val="auto"/>
        </w:rPr>
      </w:pPr>
    </w:p>
    <w:p>
      <w:pPr>
        <w:ind w:left="620" w:hanging="306"/>
        <w:spacing w:after="0"/>
        <w:tabs>
          <w:tab w:leader="none" w:pos="62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our access to mobile inventory may be limited by third-party technology or lack of direct relationships with mobile sellers;</w:t>
      </w:r>
    </w:p>
    <w:p>
      <w:pPr>
        <w:spacing w:after="0" w:line="114" w:lineRule="exact"/>
        <w:rPr>
          <w:rFonts w:ascii="Arial" w:cs="Arial" w:eastAsia="Arial" w:hAnsi="Arial"/>
          <w:sz w:val="17"/>
          <w:szCs w:val="17"/>
          <w:i w:val="1"/>
          <w:iCs w:val="1"/>
          <w:color w:val="auto"/>
        </w:rPr>
      </w:pPr>
    </w:p>
    <w:p>
      <w:pPr>
        <w:ind w:left="620" w:right="120" w:hanging="306"/>
        <w:spacing w:after="0" w:line="365" w:lineRule="auto"/>
        <w:tabs>
          <w:tab w:leader="none" w:pos="616"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we may experience lower take rates, which may not be offset by increases in the volume of ad requests, improvements in fill-rate, and/or increases in the value of transactions through our platform;</w:t>
      </w:r>
    </w:p>
    <w:p>
      <w:pPr>
        <w:ind w:left="620" w:hanging="306"/>
        <w:spacing w:after="0"/>
        <w:tabs>
          <w:tab w:leader="none" w:pos="62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requests for discounts, fee concessions, rebates, refunds or favorable payment terms;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right="200" w:hanging="306"/>
        <w:spacing w:after="0" w:line="365"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history of losses, and the fact that in the past our operating results have and may in the future fluctuate significantly, be difficult to predict, and fall below analysts' and investors' expectations;</w:t>
      </w: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effects of seasonal trends on our results of operations;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we operate in an intensely competitive market that includes companies that have greater financial, technical and marketing resources than we do;</w:t>
      </w:r>
    </w:p>
    <w:p>
      <w:pPr>
        <w:spacing w:after="0" w:line="113" w:lineRule="exact"/>
        <w:rPr>
          <w:rFonts w:ascii="Arial" w:cs="Arial" w:eastAsia="Arial" w:hAnsi="Arial"/>
          <w:sz w:val="16"/>
          <w:szCs w:val="16"/>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effects of consolidation in the ad tech industry or among our media clients;</w:t>
      </w:r>
    </w:p>
    <w:p>
      <w:pPr>
        <w:spacing w:after="0" w:line="114"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differentiate our offerings and compete effectively to combat commodification and disintermediation;</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potential limitations on our ability to collect or use data as a result of consumer tools, regulatory restrictions and technological limitations;</w:t>
      </w:r>
    </w:p>
    <w:p>
      <w:pPr>
        <w:spacing w:after="0" w:line="102" w:lineRule="exact"/>
        <w:rPr>
          <w:rFonts w:ascii="Arial" w:cs="Arial" w:eastAsia="Arial" w:hAnsi="Arial"/>
          <w:sz w:val="17"/>
          <w:szCs w:val="17"/>
          <w:i w:val="1"/>
          <w:iCs w:val="1"/>
          <w:color w:val="auto"/>
        </w:rPr>
      </w:pPr>
    </w:p>
    <w:p>
      <w:pPr>
        <w:ind w:left="620" w:right="60" w:hanging="306"/>
        <w:spacing w:after="0" w:line="365"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development and use of new identity solutions as a replacement for third-party cookies and other identifiers may disrupt the programmatic ecosystem and cause the performance of our platform to decline;</w:t>
      </w: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industry may not adopt or may be slow to adopt the use of first-party publisher segments as an alternative to third-party cookies;</w:t>
      </w:r>
    </w:p>
    <w:p>
      <w:pPr>
        <w:spacing w:after="0" w:line="114"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antitrust regulations or enforcement actions targeting the digital advertising ecosystem;</w:t>
      </w:r>
    </w:p>
    <w:p>
      <w:pPr>
        <w:spacing w:after="0" w:line="102" w:lineRule="exact"/>
        <w:rPr>
          <w:rFonts w:ascii="Arial" w:cs="Arial" w:eastAsia="Arial" w:hAnsi="Arial"/>
          <w:sz w:val="17"/>
          <w:szCs w:val="17"/>
          <w:i w:val="1"/>
          <w:iCs w:val="1"/>
          <w:color w:val="auto"/>
        </w:rPr>
      </w:pPr>
    </w:p>
    <w:p>
      <w:pPr>
        <w:ind w:left="620" w:right="500" w:hanging="306"/>
        <w:spacing w:after="0" w:line="365"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comply with, and the effect on our business of, evolving legal standards and regulations, particularly concerning data protection and privacy;</w:t>
      </w: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failure by us or our clients to meet advertising and inventory content standards;</w:t>
      </w:r>
    </w:p>
    <w:p>
      <w:pPr>
        <w:spacing w:after="0" w:line="102" w:lineRule="exact"/>
        <w:rPr>
          <w:rFonts w:ascii="Arial" w:cs="Arial" w:eastAsia="Arial" w:hAnsi="Arial"/>
          <w:sz w:val="17"/>
          <w:szCs w:val="17"/>
          <w:i w:val="1"/>
          <w:iCs w:val="1"/>
          <w:color w:val="auto"/>
        </w:rPr>
      </w:pPr>
    </w:p>
    <w:p>
      <w:pPr>
        <w:ind w:left="620" w:right="800" w:hanging="306"/>
        <w:spacing w:after="0" w:line="373"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freedom of buyers and sellers to direct their spending and inventory to competing sources of inventory and demand, and to establish direct relationships and integrations without the use of our platform;</w:t>
      </w:r>
    </w:p>
    <w:p>
      <w:pPr>
        <w:ind w:left="620" w:right="260" w:hanging="306"/>
        <w:spacing w:after="0" w:line="365"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reliance on large aggregators of advertising inventory, and the concentration of CTV among a small number of large sellers that enjoy significant negotiating leverage;</w:t>
      </w:r>
    </w:p>
    <w:p>
      <w:pPr>
        <w:ind w:left="620" w:right="580" w:hanging="306"/>
        <w:spacing w:after="0" w:line="365"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provide value to both buyers and sellers of advertising without being perceived as favoring one over the other or being perceived as competing with them through our service offerings;</w:t>
      </w:r>
    </w:p>
    <w:p>
      <w:pPr>
        <w:ind w:left="620" w:right="60" w:hanging="306"/>
        <w:spacing w:after="0" w:line="373"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reliance on large sources of advertising demand, including demand side platforms ("DSPs") that may have or develop high-risk credit profiles or fail to pay invoices when due;</w:t>
      </w: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we may be exposed to claims from clients for breach of contracts;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errors or failures in the operation of our solution, interruptions in our access to network infrastructure or data, and breaches of our computer systems;</w:t>
      </w:r>
    </w:p>
    <w:p>
      <w:pPr>
        <w:spacing w:after="0" w:line="113" w:lineRule="exact"/>
        <w:rPr>
          <w:rFonts w:ascii="Arial" w:cs="Arial" w:eastAsia="Arial" w:hAnsi="Arial"/>
          <w:sz w:val="16"/>
          <w:szCs w:val="16"/>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ensure a high level of brand safety for our clients and to detect "bot" traffic and other fraudulent or malicious activity;</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use of our net operating losses and tax credit carryforwards may be subject to certain limitations;</w:t>
      </w:r>
    </w:p>
    <w:p>
      <w:pPr>
        <w:spacing w:after="0" w:line="114"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business may be subject to sales and use tax, advertising and other taxes;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raise additional capital if needed;</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our share repurchase program on our stock price and cash reserves;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volatility in the price of our common stock;</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negative analyst or investor research reports;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attract and retain qualified employees and key personnel;</w:t>
      </w:r>
    </w:p>
    <w:p>
      <w:pPr>
        <w:spacing w:after="0" w:line="114"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costs associated with enforcing our intellectual property rights or defending intellectual property infringement;</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comply with the terms of our financing arrangements;</w:t>
      </w:r>
    </w:p>
    <w:p>
      <w:pPr>
        <w:spacing w:after="0" w:line="102" w:lineRule="exact"/>
        <w:rPr>
          <w:rFonts w:ascii="Arial" w:cs="Arial" w:eastAsia="Arial" w:hAnsi="Arial"/>
          <w:sz w:val="17"/>
          <w:szCs w:val="17"/>
          <w:i w:val="1"/>
          <w:iCs w:val="1"/>
          <w:color w:val="auto"/>
        </w:rPr>
      </w:pPr>
    </w:p>
    <w:p>
      <w:pPr>
        <w:ind w:left="620" w:hanging="306"/>
        <w:spacing w:after="0" w:line="394"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restrictions in our Credit Agreement may limit our ability to make strategic investments, respond to changing market conditions, or otherwise operate our business;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right="40" w:hanging="306"/>
        <w:spacing w:after="0" w:line="365" w:lineRule="auto"/>
        <w:tabs>
          <w:tab w:leader="none" w:pos="61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increases in our debt leverage may put us at greater risk of defaulting on our debt obligations, subject us to additional operating restrictions and make it more difficult to obtain future financing on favorable terms;</w:t>
      </w: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conversion of our Convertible Senior Notes would dilute the ownership interest of existing stockholders;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the Capped Call Transactions subject us to counterparty risk and may affect the value of the Convertible Senior Notes and our common stock;</w:t>
      </w:r>
    </w:p>
    <w:p>
      <w:pPr>
        <w:spacing w:after="0" w:line="113" w:lineRule="exact"/>
        <w:rPr>
          <w:rFonts w:ascii="Arial" w:cs="Arial" w:eastAsia="Arial" w:hAnsi="Arial"/>
          <w:sz w:val="16"/>
          <w:szCs w:val="16"/>
          <w:i w:val="1"/>
          <w:iCs w:val="1"/>
          <w:color w:val="auto"/>
        </w:rPr>
      </w:pPr>
    </w:p>
    <w:p>
      <w:pPr>
        <w:ind w:left="620" w:hanging="306"/>
        <w:spacing w:after="0"/>
        <w:tabs>
          <w:tab w:leader="none" w:pos="6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the conditional conversion feature of the Convertible Senior Notes, if triggered, may adversely affect our financial condition and operating result;</w:t>
      </w:r>
    </w:p>
    <w:p>
      <w:pPr>
        <w:spacing w:after="0" w:line="126" w:lineRule="exact"/>
        <w:rPr>
          <w:rFonts w:ascii="Arial" w:cs="Arial" w:eastAsia="Arial" w:hAnsi="Arial"/>
          <w:sz w:val="16"/>
          <w:szCs w:val="16"/>
          <w:i w:val="1"/>
          <w:iCs w:val="1"/>
          <w:color w:val="auto"/>
        </w:rPr>
      </w:pP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failure to successfully execute our international growth plans; and</w:t>
      </w:r>
    </w:p>
    <w:p>
      <w:pPr>
        <w:spacing w:after="0" w:line="50" w:lineRule="exact"/>
        <w:rPr>
          <w:rFonts w:ascii="Arial" w:cs="Arial" w:eastAsia="Arial" w:hAnsi="Arial"/>
          <w:sz w:val="17"/>
          <w:szCs w:val="17"/>
          <w:i w:val="1"/>
          <w:iCs w:val="1"/>
          <w:color w:val="auto"/>
        </w:rPr>
      </w:pPr>
    </w:p>
    <w:p>
      <w:pPr>
        <w:ind w:left="620" w:right="140" w:hanging="306"/>
        <w:spacing w:after="0" w:line="283" w:lineRule="auto"/>
        <w:tabs>
          <w:tab w:leader="none" w:pos="61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identify future acquisitions of or investments in complementary companies or technologies and our ability to consummate the acquisitions and integrate such companies or technologies.</w:t>
      </w:r>
    </w:p>
    <w:p>
      <w:pPr>
        <w:spacing w:after="0" w:line="121" w:lineRule="exact"/>
        <w:rPr>
          <w:sz w:val="20"/>
          <w:szCs w:val="20"/>
          <w:color w:val="auto"/>
        </w:rPr>
      </w:pPr>
    </w:p>
    <w:p>
      <w:pPr>
        <w:ind w:firstLine="621"/>
        <w:spacing w:after="0" w:line="275" w:lineRule="auto"/>
        <w:rPr>
          <w:sz w:val="20"/>
          <w:szCs w:val="20"/>
          <w:color w:val="auto"/>
        </w:rPr>
      </w:pPr>
      <w:r>
        <w:rPr>
          <w:rFonts w:ascii="Arial" w:cs="Arial" w:eastAsia="Arial" w:hAnsi="Arial"/>
          <w:sz w:val="16"/>
          <w:szCs w:val="16"/>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2021 and subsequent filings.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56" w:lineRule="exact"/>
        <w:rPr>
          <w:sz w:val="20"/>
          <w:szCs w:val="20"/>
          <w:color w:val="auto"/>
        </w:rPr>
      </w:pPr>
    </w:p>
    <w:p>
      <w:pPr>
        <w:ind w:right="320" w:firstLine="621"/>
        <w:spacing w:after="0" w:line="268" w:lineRule="auto"/>
        <w:rPr>
          <w:sz w:val="20"/>
          <w:szCs w:val="20"/>
          <w:color w:val="auto"/>
        </w:rPr>
      </w:pPr>
      <w:r>
        <w:rPr>
          <w:rFonts w:ascii="Arial" w:cs="Arial" w:eastAsia="Arial" w:hAnsi="Arial"/>
          <w:sz w:val="17"/>
          <w:szCs w:val="17"/>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44" w:lineRule="exact"/>
        <w:rPr>
          <w:sz w:val="20"/>
          <w:szCs w:val="20"/>
          <w:color w:val="auto"/>
        </w:rPr>
      </w:pPr>
    </w:p>
    <w:p>
      <w:pPr>
        <w:ind w:right="380" w:firstLine="621"/>
        <w:spacing w:after="0" w:line="283" w:lineRule="auto"/>
        <w:rPr>
          <w:sz w:val="20"/>
          <w:szCs w:val="20"/>
          <w:color w:val="auto"/>
        </w:rPr>
      </w:pPr>
      <w:r>
        <w:rPr>
          <w:rFonts w:ascii="Arial" w:cs="Arial" w:eastAsia="Arial" w:hAnsi="Arial"/>
          <w:sz w:val="17"/>
          <w:szCs w:val="17"/>
          <w:color w:val="auto"/>
        </w:rPr>
        <w:t>The following discussion should be read in conjunction with our unaudited condensed consolidated financial statements and notes thereto appearing elsewhere in this Quarterly Report on Form 10-Q.</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99" w:lineRule="exact"/>
        <w:rPr>
          <w:sz w:val="20"/>
          <w:szCs w:val="20"/>
          <w:color w:val="auto"/>
        </w:rPr>
      </w:pPr>
    </w:p>
    <w:p>
      <w:pPr>
        <w:ind w:right="220" w:firstLine="621"/>
        <w:spacing w:after="0" w:line="283" w:lineRule="auto"/>
        <w:rPr>
          <w:sz w:val="20"/>
          <w:szCs w:val="20"/>
          <w:color w:val="auto"/>
        </w:rPr>
      </w:pPr>
      <w:r>
        <w:rPr>
          <w:rFonts w:ascii="Arial" w:cs="Arial" w:eastAsia="Arial" w:hAnsi="Arial"/>
          <w:sz w:val="17"/>
          <w:szCs w:val="17"/>
          <w:color w:val="auto"/>
        </w:rPr>
        <w:t>Magnite, Inc., formerly known as The Rubicon Project, Inc. ("we," or "us"), provides technology solutions to automate the purchase and sale of digital advertising inventory.</w:t>
      </w:r>
    </w:p>
    <w:p>
      <w:pPr>
        <w:spacing w:after="0" w:line="31" w:lineRule="exact"/>
        <w:rPr>
          <w:sz w:val="20"/>
          <w:szCs w:val="20"/>
          <w:color w:val="auto"/>
        </w:rPr>
      </w:pPr>
    </w:p>
    <w:p>
      <w:pPr>
        <w:ind w:right="500" w:firstLine="621"/>
        <w:spacing w:after="0" w:line="268" w:lineRule="auto"/>
        <w:rPr>
          <w:sz w:val="20"/>
          <w:szCs w:val="20"/>
          <w:color w:val="auto"/>
        </w:rPr>
      </w:pPr>
      <w:r>
        <w:rPr>
          <w:rFonts w:ascii="Arial" w:cs="Arial" w:eastAsia="Arial" w:hAnsi="Arial"/>
          <w:sz w:val="17"/>
          <w:szCs w:val="17"/>
          <w:color w:val="auto"/>
        </w:rPr>
        <w:t>On April 1, 2020, we completed a stock-for-stock merger with Telaria, Inc. ("Telaria" and such merger the "Telaria Merger"), a leading provider of connected television ("CTV") technology, and on April 30, 2021, we completed the acquisition of SpotX, Inc. ("SpotX" and such acquisition the "SpotX Acquisition"), a leading platform shaping CTV and video advertising globally.</w:t>
      </w:r>
    </w:p>
    <w:p>
      <w:pPr>
        <w:spacing w:after="0" w:line="57" w:lineRule="exact"/>
        <w:rPr>
          <w:sz w:val="20"/>
          <w:szCs w:val="20"/>
          <w:color w:val="auto"/>
        </w:rPr>
      </w:pPr>
    </w:p>
    <w:p>
      <w:pPr>
        <w:ind w:right="80" w:firstLine="621"/>
        <w:spacing w:after="0" w:line="264" w:lineRule="auto"/>
        <w:rPr>
          <w:sz w:val="20"/>
          <w:szCs w:val="20"/>
          <w:color w:val="auto"/>
        </w:rPr>
      </w:pPr>
      <w:r>
        <w:rPr>
          <w:rFonts w:ascii="Arial" w:cs="Arial" w:eastAsia="Arial" w:hAnsi="Arial"/>
          <w:sz w:val="17"/>
          <w:szCs w:val="17"/>
          <w:color w:val="auto"/>
        </w:rPr>
        <w:t>Following the Telaria Merger and SpotX Acquisition, we believe that we are the world’s largest independent omni-channel sell-side advertising platform ("SSP"),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w:t>
      </w:r>
    </w:p>
    <w:p>
      <w:pPr>
        <w:spacing w:after="0" w:line="58" w:lineRule="exact"/>
        <w:rPr>
          <w:sz w:val="20"/>
          <w:szCs w:val="20"/>
          <w:color w:val="auto"/>
        </w:rPr>
      </w:pPr>
    </w:p>
    <w:p>
      <w:pPr>
        <w:ind w:right="60" w:firstLine="621"/>
        <w:spacing w:after="0" w:line="279" w:lineRule="auto"/>
        <w:rPr>
          <w:sz w:val="20"/>
          <w:szCs w:val="20"/>
          <w:color w:val="auto"/>
        </w:rPr>
      </w:pPr>
      <w:r>
        <w:rPr>
          <w:rFonts w:ascii="Arial" w:cs="Arial" w:eastAsia="Arial" w:hAnsi="Arial"/>
          <w:sz w:val="16"/>
          <w:szCs w:val="16"/>
          <w:color w:val="auto"/>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spacing w:after="0" w:line="36" w:lineRule="exact"/>
        <w:rPr>
          <w:sz w:val="20"/>
          <w:szCs w:val="20"/>
          <w:color w:val="auto"/>
        </w:rPr>
      </w:pPr>
    </w:p>
    <w:p>
      <w:pPr>
        <w:ind w:firstLine="621"/>
        <w:spacing w:after="0" w:line="301" w:lineRule="auto"/>
        <w:rPr>
          <w:sz w:val="20"/>
          <w:szCs w:val="20"/>
          <w:color w:val="auto"/>
        </w:rPr>
      </w:pPr>
      <w:r>
        <w:rPr>
          <w:rFonts w:ascii="Arial" w:cs="Arial" w:eastAsia="Arial" w:hAnsi="Arial"/>
          <w:sz w:val="15"/>
          <w:szCs w:val="15"/>
          <w:color w:val="auto"/>
        </w:rPr>
        <w:t>We provide a full suite of tools for sellers to control their advertising business and protect the consumer viewing experience. These tools are particularly important to CTV sellers who need to ensure a TV-like viewing and advertising experience for consumers. For instance, our "ad-pod" feature provides publishers with a tool analogous to commercial breaks in traditional linear television so that they can request and manage several ads at once from different demand sources. Using this tool, publishers can establish business rules such as competitive separation of advertisers to ensure that competing brand ads do not appear during the same commercial break. In addition, we offer audio normalization tools to control for the volume of an ad relative to content, frequency capping to avoid exposing viewers to repetitive ad placements, and creative review so that a publisher can review and approve the ad units being served to its properties.</w:t>
      </w:r>
    </w:p>
    <w:p>
      <w:pPr>
        <w:spacing w:after="0" w:line="34" w:lineRule="exact"/>
        <w:rPr>
          <w:sz w:val="20"/>
          <w:szCs w:val="20"/>
          <w:color w:val="auto"/>
        </w:rPr>
      </w:pPr>
    </w:p>
    <w:p>
      <w:pPr>
        <w:ind w:right="160" w:firstLine="621"/>
        <w:spacing w:after="0" w:line="261" w:lineRule="auto"/>
        <w:rPr>
          <w:sz w:val="20"/>
          <w:szCs w:val="20"/>
          <w:color w:val="auto"/>
        </w:rPr>
      </w:pPr>
      <w:r>
        <w:rPr>
          <w:rFonts w:ascii="Arial" w:cs="Arial" w:eastAsia="Arial" w:hAnsi="Arial"/>
          <w:sz w:val="17"/>
          <w:szCs w:val="17"/>
          <w:color w:val="auto"/>
        </w:rPr>
        <w:t>On July 1, 2021, we acquired SpringServe, LLC ("SpringServe"), a leading ad serving platform for CTV. SpringServe's ad serving technology manages multiple aspects of video advertising, including for CTV publishers, across both programmatic and direct-sold inventory, including forecasting, routing, customized ad experiences and ad formats, and advanced podding logic. The integration of SpringServe’s ad serving technology with our existing programmatic SSP capabilities provides CTV publishers a holistic yield management solution that dynamically allocates between direct-sold and programmatic inventory to drive value.</w:t>
      </w:r>
    </w:p>
    <w:p>
      <w:pPr>
        <w:spacing w:after="0" w:line="63" w:lineRule="exact"/>
        <w:rPr>
          <w:sz w:val="20"/>
          <w:szCs w:val="20"/>
          <w:color w:val="auto"/>
        </w:rPr>
      </w:pPr>
    </w:p>
    <w:p>
      <w:pPr>
        <w:ind w:right="340" w:firstLine="621"/>
        <w:spacing w:after="0" w:line="293" w:lineRule="auto"/>
        <w:rPr>
          <w:sz w:val="20"/>
          <w:szCs w:val="20"/>
          <w:color w:val="auto"/>
        </w:rPr>
      </w:pPr>
      <w:r>
        <w:rPr>
          <w:rFonts w:ascii="Arial" w:cs="Arial" w:eastAsia="Arial" w:hAnsi="Arial"/>
          <w:sz w:val="16"/>
          <w:szCs w:val="16"/>
          <w:color w:val="auto"/>
        </w:rPr>
        <w:t>Buyers leverage our platform to manage their advertising spend and reach their target audiences on brand-safe premium inventory, simplify order management and campaign tracking, obtain actionable insights into audiences for their advertising, and access impression-level purchasing from thousands of sellers. We believe that our scale, platform features, and omni-channel offering makes us an essential partner for buyers.</w:t>
      </w:r>
    </w:p>
    <w:p>
      <w:pPr>
        <w:spacing w:after="0" w:line="25" w:lineRule="exact"/>
        <w:rPr>
          <w:sz w:val="20"/>
          <w:szCs w:val="20"/>
          <w:color w:val="auto"/>
        </w:rPr>
      </w:pPr>
    </w:p>
    <w:p>
      <w:pPr>
        <w:ind w:right="620" w:firstLine="621"/>
        <w:spacing w:after="0" w:line="316" w:lineRule="auto"/>
        <w:rPr>
          <w:sz w:val="20"/>
          <w:szCs w:val="20"/>
          <w:color w:val="auto"/>
        </w:rPr>
      </w:pPr>
      <w:r>
        <w:rPr>
          <w:rFonts w:ascii="Arial" w:cs="Arial" w:eastAsia="Arial" w:hAnsi="Arial"/>
          <w:sz w:val="16"/>
          <w:szCs w:val="16"/>
          <w:color w:val="auto"/>
        </w:rPr>
        <w:t>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spacing w:after="0" w:line="20" w:lineRule="exact"/>
        <w:rPr>
          <w:sz w:val="20"/>
          <w:szCs w:val="20"/>
          <w:color w:val="auto"/>
        </w:rPr>
      </w:pPr>
    </w:p>
    <w:p>
      <w:pPr>
        <w:ind w:right="20" w:firstLine="621"/>
        <w:spacing w:after="0" w:line="261" w:lineRule="auto"/>
        <w:rPr>
          <w:sz w:val="20"/>
          <w:szCs w:val="20"/>
          <w:color w:val="auto"/>
        </w:rPr>
      </w:pPr>
      <w:r>
        <w:rPr>
          <w:rFonts w:ascii="Arial" w:cs="Arial" w:eastAsia="Arial" w:hAnsi="Arial"/>
          <w:sz w:val="17"/>
          <w:szCs w:val="17"/>
          <w:color w:val="auto"/>
        </w:rPr>
        <w:t>Our global workforce maintained a work-from-home policy from March 2020 through April 2022 and, in most of our locations, have since returned to offices on a hybrid basis. We have approached our return with caution to prioritize the safety and health of our employees, and continue to monitor best practices and guidance. We believe our employees were able to work productively during the time period in which our global offices were shut down and will continue to do so in office. However, to the extent we must extend work from home requirements, or that work patterns are permanently altered, it is unclear how productivity may be impacted in the long-term.</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Generate Revenue</w:t>
      </w:r>
    </w:p>
    <w:p>
      <w:pPr>
        <w:spacing w:after="0" w:line="95" w:lineRule="exact"/>
        <w:rPr>
          <w:sz w:val="20"/>
          <w:szCs w:val="20"/>
          <w:color w:val="auto"/>
        </w:rPr>
      </w:pPr>
    </w:p>
    <w:p>
      <w:pPr>
        <w:ind w:right="160" w:firstLine="621"/>
        <w:spacing w:after="0" w:line="264" w:lineRule="auto"/>
        <w:rPr>
          <w:sz w:val="20"/>
          <w:szCs w:val="20"/>
          <w:color w:val="auto"/>
        </w:rPr>
      </w:pPr>
      <w:r>
        <w:rPr>
          <w:rFonts w:ascii="Arial" w:cs="Arial" w:eastAsia="Arial" w:hAnsi="Arial"/>
          <w:sz w:val="17"/>
          <w:szCs w:val="17"/>
          <w:color w:val="auto"/>
        </w:rPr>
        <w:t>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price that buyers pay for each thousand paid impressions purchased is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700"/>
        <w:spacing w:after="0" w:line="283" w:lineRule="auto"/>
        <w:rPr>
          <w:sz w:val="20"/>
          <w:szCs w:val="20"/>
          <w:color w:val="auto"/>
        </w:rPr>
      </w:pPr>
      <w:r>
        <w:rPr>
          <w:rFonts w:ascii="Arial" w:cs="Arial" w:eastAsia="Arial" w:hAnsi="Arial"/>
          <w:sz w:val="17"/>
          <w:szCs w:val="17"/>
          <w:color w:val="auto"/>
        </w:rPr>
        <w:t>measured in units referred to as CPM, or cost per thousand, and the total volume of spending between buyers and sellers on our platform is referred to as advertising spend.</w:t>
      </w:r>
    </w:p>
    <w:p>
      <w:pPr>
        <w:spacing w:after="0" w:line="31" w:lineRule="exact"/>
        <w:rPr>
          <w:sz w:val="20"/>
          <w:szCs w:val="20"/>
          <w:color w:val="auto"/>
        </w:rPr>
      </w:pPr>
    </w:p>
    <w:p>
      <w:pPr>
        <w:ind w:right="100" w:firstLine="621"/>
        <w:spacing w:after="0" w:line="281" w:lineRule="auto"/>
        <w:rPr>
          <w:sz w:val="20"/>
          <w:szCs w:val="20"/>
          <w:color w:val="auto"/>
        </w:rPr>
      </w:pPr>
      <w:r>
        <w:rPr>
          <w:rFonts w:ascii="Arial" w:cs="Arial" w:eastAsia="Arial" w:hAnsi="Arial"/>
          <w:sz w:val="16"/>
          <w:szCs w:val="16"/>
          <w:color w:val="auto"/>
        </w:rPr>
        <w:t>We generate revenue from the use of our platform for the purchase and sale of digital advertising inventory. Generally, our revenue is based on a percentage of the ad spend that runs through our platform, although for certain clients or transaction types we may receive a fixed CPM for each impression sold, and for advertising campaigns that are transacted through insertion orders, we earn revenue based on the full amount of ad spend that runs through our platform. We also generate revenue from our SpringServe ad server and Demand Manager header-bidding product, where fees are generally based on the number of impressions processed. In addition, we may receive certain fixed monthly fees for the use of our platforms or products.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Trends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Continued Shift Toward Digital Advertising</w:t>
      </w:r>
    </w:p>
    <w:p>
      <w:pPr>
        <w:spacing w:after="0" w:line="89" w:lineRule="exact"/>
        <w:rPr>
          <w:sz w:val="20"/>
          <w:szCs w:val="20"/>
          <w:color w:val="auto"/>
        </w:rPr>
      </w:pPr>
    </w:p>
    <w:p>
      <w:pPr>
        <w:ind w:right="360" w:firstLine="621"/>
        <w:spacing w:after="0" w:line="268" w:lineRule="auto"/>
        <w:rPr>
          <w:sz w:val="20"/>
          <w:szCs w:val="20"/>
          <w:color w:val="auto"/>
        </w:rPr>
      </w:pPr>
      <w:r>
        <w:rPr>
          <w:rFonts w:ascii="Arial" w:cs="Arial" w:eastAsia="Arial" w:hAnsi="Arial"/>
          <w:sz w:val="17"/>
          <w:szCs w:val="17"/>
          <w:color w:val="auto"/>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Automation of Buying and Selling</w:t>
      </w:r>
    </w:p>
    <w:p>
      <w:pPr>
        <w:spacing w:after="0" w:line="102" w:lineRule="exact"/>
        <w:rPr>
          <w:sz w:val="20"/>
          <w:szCs w:val="20"/>
          <w:color w:val="auto"/>
        </w:rPr>
      </w:pPr>
    </w:p>
    <w:p>
      <w:pPr>
        <w:ind w:right="40" w:firstLine="621"/>
        <w:spacing w:after="0" w:line="257" w:lineRule="auto"/>
        <w:rPr>
          <w:sz w:val="20"/>
          <w:szCs w:val="20"/>
          <w:color w:val="auto"/>
        </w:rPr>
      </w:pPr>
      <w:r>
        <w:rPr>
          <w:rFonts w:ascii="Arial" w:cs="Arial" w:eastAsia="Arial" w:hAnsi="Arial"/>
          <w:sz w:val="17"/>
          <w:szCs w:val="17"/>
          <w:color w:val="auto"/>
        </w:rPr>
        <w:t>Due to the size and complexity of the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advertising allows buyers and sellers to transact on an impression-by-impression basis through the use of real-time bidding technology, and allows for the use of advanced data and identity solutions to better target ad campaigns. Programmatic transactions include open auctions, where multiple buyers bid against each other in a real-time auction for the right to purchase a publisher's inventory, as well as reserve auctions, where publishers establish direct deals or private marketplaces with select buyers. Programmatic is the dominant method of transacting for desktop and mobile inventory and has continued to grow as a percentage of CTV advertising, which represents a substantial majority of how CTV inventory is currently sold.</w:t>
      </w:r>
    </w:p>
    <w:p>
      <w:pPr>
        <w:spacing w:after="0" w:line="5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Convergence of TV and Digital</w:t>
      </w:r>
    </w:p>
    <w:p>
      <w:pPr>
        <w:spacing w:after="0" w:line="102" w:lineRule="exact"/>
        <w:rPr>
          <w:sz w:val="20"/>
          <w:szCs w:val="20"/>
          <w:color w:val="auto"/>
        </w:rPr>
      </w:pPr>
    </w:p>
    <w:p>
      <w:pPr>
        <w:ind w:right="280" w:firstLine="621"/>
        <w:spacing w:after="0" w:line="279" w:lineRule="auto"/>
        <w:rPr>
          <w:sz w:val="20"/>
          <w:szCs w:val="20"/>
          <w:color w:val="auto"/>
        </w:rPr>
      </w:pPr>
      <w:r>
        <w:rPr>
          <w:rFonts w:ascii="Arial" w:cs="Arial" w:eastAsia="Arial" w:hAnsi="Arial"/>
          <w:sz w:val="16"/>
          <w:szCs w:val="16"/>
          <w:color w:val="auto"/>
        </w:rPr>
        <w:t>CTV viewership is growing rapidly and the pace of adoption is accelerating the transition of linear television to CTV programming. As the number of CTV channels continues to proliferate, we believe that ad-supported models or hybrid models that rely on a combination of subscription fees and advertising revenue will continue to gain traction. In turn, we believe brand advertisers looking to engage with streaming viewers will continue to shift their budgets from linear to CTV. Furthermore, as the CTV market continues to mature, we believe that a greater percentage of CTV advertising inventory will be sold programmatically, similar to trends that occurred in desktop and mobile. As such, we expect CTV to be a significant driver of our revenue growth for the foreseeable future. We expect the acquisitions of SpotX and SpringServe to further fuel this growth.</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Identity Solutions</w:t>
      </w:r>
    </w:p>
    <w:p>
      <w:pPr>
        <w:spacing w:after="0" w:line="89" w:lineRule="exact"/>
        <w:rPr>
          <w:sz w:val="20"/>
          <w:szCs w:val="20"/>
          <w:color w:val="auto"/>
        </w:rPr>
      </w:pPr>
    </w:p>
    <w:p>
      <w:pPr>
        <w:ind w:firstLine="621"/>
        <w:spacing w:after="0" w:line="257" w:lineRule="auto"/>
        <w:rPr>
          <w:sz w:val="20"/>
          <w:szCs w:val="20"/>
          <w:color w:val="auto"/>
        </w:rPr>
      </w:pPr>
      <w:r>
        <w:rPr>
          <w:rFonts w:ascii="Arial" w:cs="Arial" w:eastAsia="Arial" w:hAnsi="Arial"/>
          <w:sz w:val="17"/>
          <w:szCs w:val="17"/>
          <w:color w:val="auto"/>
        </w:rPr>
        <w:t>A number of participants in the advertising technology ecosystem have taken or are expected to take action to eliminate or restrict the use of third-party cookies and other primary identifiers that have historically been used to deliver targeted advertisements. We believe that the elimination of third-party cookies has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We believe that our platform and scale position us well to take a leadership position in advancing this shift and creating additional value opportunities for our clients. Accordingly, we have invested and intend to further invest in the development and enhancement of industry leading identity and audience solutions. In furtherance of this goal, in December 2021, we acquired Nth Party, Ltd. ("Nth Party"), a developer of cryptographic software for secure audience data sharing and analysis, and in February 2022, we acquired the business of Carbon (AI) Limited ("Carbon"), a platform that enables publishers to measure, manage, and monetize audience segments.</w:t>
      </w:r>
    </w:p>
    <w:p>
      <w:pPr>
        <w:spacing w:after="0" w:line="69" w:lineRule="exact"/>
        <w:rPr>
          <w:sz w:val="20"/>
          <w:szCs w:val="20"/>
          <w:color w:val="auto"/>
        </w:rPr>
      </w:pPr>
    </w:p>
    <w:p>
      <w:pPr>
        <w:ind w:firstLine="621"/>
        <w:spacing w:after="0" w:line="264" w:lineRule="auto"/>
        <w:rPr>
          <w:sz w:val="20"/>
          <w:szCs w:val="20"/>
          <w:color w:val="auto"/>
        </w:rPr>
      </w:pPr>
      <w:r>
        <w:rPr>
          <w:rFonts w:ascii="Arial" w:cs="Arial" w:eastAsia="Arial" w:hAnsi="Arial"/>
          <w:sz w:val="17"/>
          <w:szCs w:val="17"/>
          <w:color w:val="auto"/>
        </w:rPr>
        <w:t>We support industry privacy initiatives and believe that the next generation of identity solutions need to be open and ubiquitous, with consumer privacy, transparency and control at the core. We further believe that these solutions will ultimately lead to greater trust and consumer confidence in digital advertising, which will be positive for the advertising ecosystem in the long term. In the short term, however, these changes could create some variability in our revenue across certain buyers or sellers, depending on the timing of changes and developed solutions.</w:t>
      </w:r>
    </w:p>
    <w:p>
      <w:pPr>
        <w:spacing w:after="0" w:line="5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Supply Path Optimization</w:t>
      </w:r>
    </w:p>
    <w:p>
      <w:pPr>
        <w:spacing w:after="0" w:line="89" w:lineRule="exact"/>
        <w:rPr>
          <w:sz w:val="20"/>
          <w:szCs w:val="20"/>
          <w:color w:val="auto"/>
        </w:rPr>
      </w:pPr>
    </w:p>
    <w:p>
      <w:pPr>
        <w:ind w:right="160" w:firstLine="621"/>
        <w:spacing w:after="0" w:line="283" w:lineRule="auto"/>
        <w:rPr>
          <w:sz w:val="20"/>
          <w:szCs w:val="20"/>
          <w:color w:val="auto"/>
        </w:rPr>
      </w:pPr>
      <w:r>
        <w:rPr>
          <w:rFonts w:ascii="Arial" w:cs="Arial" w:eastAsia="Arial" w:hAnsi="Arial"/>
          <w:sz w:val="17"/>
          <w:szCs w:val="17"/>
          <w:color w:val="auto"/>
        </w:rPr>
        <w:t>Supply Path Optimization ("SPO") refers to efforts by buyers to consolidate the number of vendors with which they work to find the most effective and cost-efficient paths to procure media. SPO is important to buyers because it can increase the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proportion of their advertising ultimately spent on working media, with the goal of increasing return on their advertising spend, and can help them gain efficiencies by reducing the number of vendors with which they work in a complex ecosystem. We believe we are well positioned to benefit from SPO in the long run as a result of our transparency, our broad and unique inventory supply across all channels and formats, including CTV, buyer tools, such as traffic shaping that reduce the cost of working with us, and our brand safety measures.</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Header Bidding and Data Processing</w:t>
      </w:r>
    </w:p>
    <w:p>
      <w:pPr>
        <w:spacing w:after="0" w:line="102" w:lineRule="exact"/>
        <w:rPr>
          <w:sz w:val="20"/>
          <w:szCs w:val="20"/>
          <w:color w:val="auto"/>
        </w:rPr>
      </w:pPr>
    </w:p>
    <w:p>
      <w:pPr>
        <w:ind w:firstLine="621"/>
        <w:spacing w:after="0" w:line="260" w:lineRule="auto"/>
        <w:rPr>
          <w:sz w:val="20"/>
          <w:szCs w:val="20"/>
          <w:color w:val="auto"/>
        </w:rPr>
      </w:pPr>
      <w:r>
        <w:rPr>
          <w:rFonts w:ascii="Arial" w:cs="Arial" w:eastAsia="Arial" w:hAnsi="Arial"/>
          <w:sz w:val="17"/>
          <w:szCs w:val="17"/>
          <w:color w:val="auto"/>
        </w:rPr>
        <w:t>Header bidding is a programmatic technique by which sellers offer inventory to multiple ad exchanges and supply side platforms, such as our platform, simultaneously. Header bidding has been rapidly adopted in recent years in the desktop and mobile channels and has experienced modest adoption in CTV. The adoption of header bidding has created a number of challenges and technical complexities for both sellers and buyers, which require sophisticated tools to manage. Header bidding has led to a significant increase in the number of ad impressions to be processed and analyzed through our platform as well as by DSPs, which can lead to increased costs if not properly addressed. We have invested in technology solutions, such as Demand Manager, to help publishers manage their header-bidding inventory.</w:t>
      </w:r>
    </w:p>
    <w:p>
      <w:pPr>
        <w:spacing w:after="0" w:line="6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Privacy Regulation</w:t>
      </w:r>
    </w:p>
    <w:p>
      <w:pPr>
        <w:spacing w:after="0" w:line="89" w:lineRule="exact"/>
        <w:rPr>
          <w:sz w:val="20"/>
          <w:szCs w:val="20"/>
          <w:color w:val="auto"/>
        </w:rPr>
      </w:pPr>
    </w:p>
    <w:p>
      <w:pPr>
        <w:jc w:val="both"/>
        <w:ind w:right="440" w:firstLine="621"/>
        <w:spacing w:after="0" w:line="320" w:lineRule="auto"/>
        <w:rPr>
          <w:sz w:val="20"/>
          <w:szCs w:val="20"/>
          <w:color w:val="auto"/>
        </w:rPr>
      </w:pPr>
      <w:r>
        <w:rPr>
          <w:rFonts w:ascii="Arial" w:cs="Arial" w:eastAsia="Arial" w:hAnsi="Arial"/>
          <w:sz w:val="15"/>
          <w:szCs w:val="15"/>
          <w:color w:val="auto"/>
        </w:rPr>
        <w:t>Our business is highly susceptible to emerging privacy regulations and oversight concerning the collection, use and sharing of data. Data protection authorities in a number of territories have expressed a desire to focus on the advertising technology ecosystem. Because we, and our clients, rely upon large volumes of such data, it is essential that we monitor developments in this area domestically and globally, and engage in responsible privacy practices.</w:t>
      </w:r>
    </w:p>
    <w:p>
      <w:pPr>
        <w:spacing w:after="0" w:line="22" w:lineRule="exact"/>
        <w:rPr>
          <w:sz w:val="20"/>
          <w:szCs w:val="20"/>
          <w:color w:val="auto"/>
        </w:rPr>
      </w:pPr>
    </w:p>
    <w:p>
      <w:pPr>
        <w:ind w:firstLine="621"/>
        <w:spacing w:after="0" w:line="264" w:lineRule="auto"/>
        <w:rPr>
          <w:sz w:val="20"/>
          <w:szCs w:val="20"/>
          <w:color w:val="auto"/>
        </w:rPr>
      </w:pPr>
      <w:r>
        <w:rPr>
          <w:rFonts w:ascii="Arial" w:cs="Arial" w:eastAsia="Arial" w:hAnsi="Arial"/>
          <w:sz w:val="17"/>
          <w:szCs w:val="17"/>
          <w:color w:val="auto"/>
        </w:rPr>
        <w:t>We do not collect information, such as name, address, or phone number, that can be used directly to identify a real person, and we take steps not to collect and store such information. Instead, we rely on IP addresses, geo-location information, and persistent identifiers about Internet users and do not attempt to associate this data with other data that can be used to identify real people. This type of information is considered "personal" in some jurisdictions or otherwise may be the subject of future legislation or regulation.</w:t>
      </w:r>
    </w:p>
    <w:p>
      <w:pPr>
        <w:spacing w:after="0" w:line="58" w:lineRule="exact"/>
        <w:rPr>
          <w:sz w:val="20"/>
          <w:szCs w:val="20"/>
          <w:color w:val="auto"/>
        </w:rPr>
      </w:pPr>
    </w:p>
    <w:p>
      <w:pPr>
        <w:ind w:right="100" w:firstLine="621"/>
        <w:spacing w:after="0" w:line="341" w:lineRule="auto"/>
        <w:rPr>
          <w:sz w:val="20"/>
          <w:szCs w:val="20"/>
          <w:color w:val="auto"/>
        </w:rPr>
      </w:pPr>
      <w:r>
        <w:rPr>
          <w:rFonts w:ascii="Arial" w:cs="Arial" w:eastAsia="Arial" w:hAnsi="Arial"/>
          <w:sz w:val="15"/>
          <w:szCs w:val="15"/>
          <w:color w:val="auto"/>
        </w:rPr>
        <w:t>There are also a number of specific laws and regulations governing the collection and use of certain types of consumer data relevant to our business. For example, the Children’s Online Privacy Protection Act ("COPPA"), imposes restrictions on the collection and use of data about users of child-directed websites.</w:t>
      </w:r>
    </w:p>
    <w:p>
      <w:pPr>
        <w:spacing w:after="0" w:line="1" w:lineRule="exact"/>
        <w:rPr>
          <w:sz w:val="20"/>
          <w:szCs w:val="20"/>
          <w:color w:val="auto"/>
        </w:rPr>
      </w:pPr>
    </w:p>
    <w:p>
      <w:pPr>
        <w:ind w:firstLine="621"/>
        <w:spacing w:after="0" w:line="261" w:lineRule="auto"/>
        <w:rPr>
          <w:sz w:val="20"/>
          <w:szCs w:val="20"/>
          <w:color w:val="auto"/>
        </w:rPr>
      </w:pPr>
      <w:r>
        <w:rPr>
          <w:rFonts w:ascii="Arial" w:cs="Arial" w:eastAsia="Arial" w:hAnsi="Arial"/>
          <w:sz w:val="17"/>
          <w:szCs w:val="17"/>
          <w:color w:val="auto"/>
        </w:rPr>
        <w:t>The use and transfer of personal data in the European Economic Area ("EEA") member states and the United Kingdom (“UK”) is currently governed by the General Data Protection Regulation and the UK General Data Protection Regulation (the "GDPR" and "UK GDPR"). The GDPR and UK GDPR set out higher potential liabilities for certain data protection violations and establish significant regulatory requirements resulting in a greater compliance burden for us in the course of delivering our solution in the EEA and UK. While data protection authorities have started to clarify certain requirements under GDPR and UK GDPR, significant uncertainty remains as to how the regulation will be applied and enforced.</w:t>
      </w:r>
    </w:p>
    <w:p>
      <w:pPr>
        <w:spacing w:after="0" w:line="63" w:lineRule="exact"/>
        <w:rPr>
          <w:sz w:val="20"/>
          <w:szCs w:val="20"/>
          <w:color w:val="auto"/>
        </w:rPr>
      </w:pPr>
    </w:p>
    <w:p>
      <w:pPr>
        <w:ind w:right="40" w:firstLine="621"/>
        <w:spacing w:after="0" w:line="277" w:lineRule="auto"/>
        <w:rPr>
          <w:sz w:val="20"/>
          <w:szCs w:val="20"/>
          <w:color w:val="auto"/>
        </w:rPr>
      </w:pPr>
      <w:r>
        <w:rPr>
          <w:rFonts w:ascii="Arial" w:cs="Arial" w:eastAsia="Arial" w:hAnsi="Arial"/>
          <w:sz w:val="16"/>
          <w:szCs w:val="16"/>
          <w:color w:val="auto"/>
        </w:rPr>
        <w:t>In addition to the GDPR and UK GDPR, a number of new privacy regulations will or have already come into effect. The California legislature passed the California Consumer Privacy Act ("CCPA") in 2018, which became effective January 1, 2020. This law imposes new obligations on businesses that handle the personal information of California residents. The obligations imposed require us to maintain ongoing significant resources for compliance purposes. Certain requirements remain unclear due to ambiguities in the drafting of or incomplete guidance. Adding to the uncertainty facing the ad tech industry, a new law, titled the California Privacy Rights Act ("CPRA"), which will take effect in January 2023, will cause us to incur additional compliance costs and impose additional restrictions on us and on our industry partners. In addition, other privacy bills have been introduced at both the state and federal level and certain international territories are imposing new or expanded privacy obligations. In the coming years, we expect further consumer privacy regulation worldwide.</w:t>
      </w:r>
    </w:p>
    <w:p>
      <w:pPr>
        <w:spacing w:after="0" w:line="53" w:lineRule="exact"/>
        <w:rPr>
          <w:sz w:val="20"/>
          <w:szCs w:val="20"/>
          <w:color w:val="auto"/>
        </w:rPr>
      </w:pPr>
    </w:p>
    <w:p>
      <w:pPr>
        <w:ind w:right="80" w:firstLine="621"/>
        <w:spacing w:after="0" w:line="279" w:lineRule="auto"/>
        <w:rPr>
          <w:sz w:val="20"/>
          <w:szCs w:val="20"/>
          <w:color w:val="auto"/>
        </w:rPr>
      </w:pPr>
      <w:r>
        <w:rPr>
          <w:rFonts w:ascii="Arial" w:cs="Arial" w:eastAsia="Arial" w:hAnsi="Arial"/>
          <w:sz w:val="16"/>
          <w:szCs w:val="16"/>
          <w:color w:val="auto"/>
        </w:rPr>
        <w:t>Beyond laws and regulations, we are members of self-regulatory bodies that impose additional requirements related to the collection, use, and disclosure of consumer data, including the Internet Advertising Bureau ("IAB"), the Digital Advertising Alliance, the Network Advertising Initiative, and the Europe Interactive Digital Advertising Alliance. Under the requirements of these self-regulatory bodies, in addition to other compliance obligations, we provide consumers with notice via our privacy policy about our use of cookies and other technologies to collect consumer data, and of our collection and use of consumer data to deliver personalized advertisements. We allow consumers to opt-out from the use of data we collect for purposes of behavioral advertising through a mechanism on our website, linked through our privacy policy as well as through portals maintained by some of these self-regulatory bodies.</w:t>
      </w:r>
    </w:p>
    <w:p>
      <w:pPr>
        <w:spacing w:after="0" w:line="36" w:lineRule="exact"/>
        <w:rPr>
          <w:sz w:val="20"/>
          <w:szCs w:val="20"/>
          <w:color w:val="auto"/>
        </w:rPr>
      </w:pPr>
    </w:p>
    <w:p>
      <w:pPr>
        <w:ind w:right="200" w:firstLine="621"/>
        <w:spacing w:after="0" w:line="283" w:lineRule="auto"/>
        <w:rPr>
          <w:sz w:val="20"/>
          <w:szCs w:val="20"/>
          <w:color w:val="auto"/>
        </w:rPr>
      </w:pPr>
      <w:r>
        <w:rPr>
          <w:rFonts w:ascii="Arial" w:cs="Arial" w:eastAsia="Arial" w:hAnsi="Arial"/>
          <w:sz w:val="17"/>
          <w:szCs w:val="17"/>
          <w:color w:val="auto"/>
        </w:rPr>
        <w:t>We support privacy initiatives and believe they will be beneficial to consumers' confidence in advertising technology, which will ultimately be positive for the advertising ecosystem in the long term. However, until prevailing compliance practices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standardize, the impact of worldwide privacy regulations on our business and, consequently, our revenue could be negatively impacted.</w:t>
      </w:r>
    </w:p>
    <w:p>
      <w:pPr>
        <w:spacing w:after="0" w:line="89" w:lineRule="exact"/>
        <w:rPr>
          <w:sz w:val="20"/>
          <w:szCs w:val="20"/>
          <w:color w:val="auto"/>
        </w:rPr>
      </w:pPr>
    </w:p>
    <w:p>
      <w:pPr>
        <w:ind w:firstLine="621"/>
        <w:spacing w:after="0" w:line="283" w:lineRule="auto"/>
        <w:rPr>
          <w:sz w:val="20"/>
          <w:szCs w:val="20"/>
          <w:color w:val="auto"/>
        </w:rPr>
      </w:pPr>
      <w:r>
        <w:rPr>
          <w:rFonts w:ascii="Arial" w:cs="Arial" w:eastAsia="Arial" w:hAnsi="Arial"/>
          <w:sz w:val="17"/>
          <w:szCs w:val="17"/>
          <w:color w:val="auto"/>
        </w:rPr>
        <w:t>For additional information regarding regulatory risks to our business, see "Item 1A. Risk Factors"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Trends in Our Business</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Telaria Merger, SpotX and SpringServe Acquisitions</w:t>
      </w:r>
    </w:p>
    <w:p>
      <w:pPr>
        <w:spacing w:after="0" w:line="102" w:lineRule="exact"/>
        <w:rPr>
          <w:sz w:val="20"/>
          <w:szCs w:val="20"/>
          <w:color w:val="auto"/>
        </w:rPr>
      </w:pPr>
    </w:p>
    <w:p>
      <w:pPr>
        <w:ind w:right="20" w:firstLine="621"/>
        <w:spacing w:after="0" w:line="264" w:lineRule="auto"/>
        <w:rPr>
          <w:sz w:val="20"/>
          <w:szCs w:val="20"/>
          <w:color w:val="auto"/>
        </w:rPr>
      </w:pPr>
      <w:r>
        <w:rPr>
          <w:rFonts w:ascii="Arial" w:cs="Arial" w:eastAsia="Arial" w:hAnsi="Arial"/>
          <w:sz w:val="17"/>
          <w:szCs w:val="17"/>
          <w:color w:val="auto"/>
        </w:rPr>
        <w:t>On April 1, 2020, we completed the Telaria Merger, and on April 30, 2021, we completed the SpotX Acquisition. These transactions were transformative and have resulted in what we believe to be the world’s largest independent sell-side advertising platform and ad server, with scale, capabilities, and solutions exceeding those offered by competitors. We offer a single partner for transacting CTV, desktop display, video, audio and mobile inventory across all geographies and auction types.</w:t>
      </w:r>
    </w:p>
    <w:p>
      <w:pPr>
        <w:spacing w:after="0" w:line="58" w:lineRule="exact"/>
        <w:rPr>
          <w:sz w:val="20"/>
          <w:szCs w:val="20"/>
          <w:color w:val="auto"/>
        </w:rPr>
      </w:pPr>
    </w:p>
    <w:p>
      <w:pPr>
        <w:ind w:right="440" w:firstLine="621"/>
        <w:spacing w:after="0" w:line="341" w:lineRule="auto"/>
        <w:rPr>
          <w:sz w:val="20"/>
          <w:szCs w:val="20"/>
          <w:color w:val="auto"/>
        </w:rPr>
      </w:pPr>
      <w:r>
        <w:rPr>
          <w:rFonts w:ascii="Arial" w:cs="Arial" w:eastAsia="Arial" w:hAnsi="Arial"/>
          <w:sz w:val="15"/>
          <w:szCs w:val="15"/>
          <w:color w:val="auto"/>
        </w:rPr>
        <w:t>As CTV viewership is growing rapidly and the pace of adoption is accelerating the shift of advertising budgets from linear television to CTV, these transactions have strategically positioned us to take advantage of this trend, and we believe that CTV will be our biggest growth driver in future periods.</w:t>
      </w:r>
    </w:p>
    <w:p>
      <w:pPr>
        <w:spacing w:after="0" w:line="1" w:lineRule="exact"/>
        <w:rPr>
          <w:sz w:val="20"/>
          <w:szCs w:val="20"/>
          <w:color w:val="auto"/>
        </w:rPr>
      </w:pPr>
    </w:p>
    <w:p>
      <w:pPr>
        <w:ind w:right="20" w:firstLine="621"/>
        <w:spacing w:after="0" w:line="275" w:lineRule="auto"/>
        <w:rPr>
          <w:sz w:val="20"/>
          <w:szCs w:val="20"/>
          <w:color w:val="auto"/>
        </w:rPr>
      </w:pPr>
      <w:r>
        <w:rPr>
          <w:rFonts w:ascii="Arial" w:cs="Arial" w:eastAsia="Arial" w:hAnsi="Arial"/>
          <w:sz w:val="16"/>
          <w:szCs w:val="16"/>
          <w:color w:val="auto"/>
        </w:rPr>
        <w:t>The SpotX Acquisition resulted in a significant increase in our revenue and Revenue ex-TAC (as defined in section "Key Operating and Financial Performance Metrics"), in particular in CTV and online video. Following the transaction, the percentage of our revenue attributable to CTV increased significantly, and because CTV is largely transacted through reserve auctions, these types of auctions have become a more significant portion of the transactions on our platform. The acquisition also resulted in an increase in related operating expenses, primarily associated with costs for personnel, data center and hosting costs, facilities, payments to sellers for revenue reported on a gross basis, and other ancillary costs to support the business. We have been able to offset some of these increases through cost saving activities and the achievement of acquisition synergies. Initially, we targeted in excess of $35 million in run rate operating cost synergies, over a two-year period, from the SpotX Acquisition, and have made significant progress towards this goal. Due to the evolving nature of our business since the acquisition we are no longer tracking synergies as a discrete cost saving activity. As part of our integration efforts, we are in the process of consolidating our legacy CTV and SpotX CTV platforms, including the migration of clients to the unified platform.</w:t>
      </w:r>
    </w:p>
    <w:p>
      <w:pPr>
        <w:spacing w:after="0" w:line="56" w:lineRule="exact"/>
        <w:rPr>
          <w:sz w:val="20"/>
          <w:szCs w:val="20"/>
          <w:color w:val="auto"/>
        </w:rPr>
      </w:pPr>
    </w:p>
    <w:p>
      <w:pPr>
        <w:ind w:right="20" w:firstLine="621"/>
        <w:spacing w:after="0" w:line="259" w:lineRule="auto"/>
        <w:rPr>
          <w:sz w:val="20"/>
          <w:szCs w:val="20"/>
          <w:color w:val="auto"/>
        </w:rPr>
      </w:pPr>
      <w:r>
        <w:rPr>
          <w:rFonts w:ascii="Arial" w:cs="Arial" w:eastAsia="Arial" w:hAnsi="Arial"/>
          <w:sz w:val="17"/>
          <w:szCs w:val="17"/>
          <w:color w:val="auto"/>
        </w:rPr>
        <w:t>The SpringServe Acquisition, which we completed in July 2021, expanded our video and CTV offering to include ad server functionality in addition to our programmatic SSP capabilities. The SpringServe ad server manages multiple aspects of video advertising for both programmatic transactions and inventory sold directly by the publisher, including forecasting, routing, customized ad experiences and ad formats, and advanced podding logic. Combined with our SSP, the SpringServe ad server provides publishers a holistic yield management solution that works across their entire video advertising business to drive value. This is of particular importance for CTV publishers, who still sell a large percentage of their inventory through their direct sales team. We believe the acquisition of SpringServe is highly strategic as it allows us to offer publishers an independent full-stack solution to the walled gardens, which can be leveraged across their entire video advertising business.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Impact of COVID-19 Pandemic and Other Macroeconomic Developments</w:t>
      </w:r>
    </w:p>
    <w:p>
      <w:pPr>
        <w:spacing w:after="0" w:line="89" w:lineRule="exact"/>
        <w:rPr>
          <w:sz w:val="20"/>
          <w:szCs w:val="20"/>
          <w:color w:val="auto"/>
        </w:rPr>
      </w:pPr>
    </w:p>
    <w:p>
      <w:pPr>
        <w:ind w:right="140" w:firstLine="621"/>
        <w:spacing w:after="0" w:line="285" w:lineRule="auto"/>
        <w:rPr>
          <w:sz w:val="20"/>
          <w:szCs w:val="20"/>
          <w:color w:val="auto"/>
        </w:rPr>
      </w:pPr>
      <w:r>
        <w:rPr>
          <w:rFonts w:ascii="Arial" w:cs="Arial" w:eastAsia="Arial" w:hAnsi="Arial"/>
          <w:sz w:val="16"/>
          <w:szCs w:val="16"/>
          <w:color w:val="auto"/>
        </w:rPr>
        <w:t>Our business depends on the overall demand for advertising and on the economic health of our current and prospective sellers and buyers. Accordingly, our business and operations have been, and could in the future be, adversely affected by events beyond our control, such as health epidemics, including the COVID-19 pandemic, geopolitical events, including the conflict in Ukraine, and economic and macroeconomic factors like labor shortages, supply chain disruptions, inflation and recessionary concerns impacting the markets and communities in which our clients operate.</w:t>
      </w:r>
    </w:p>
    <w:p>
      <w:pPr>
        <w:spacing w:after="0" w:line="44" w:lineRule="exact"/>
        <w:rPr>
          <w:sz w:val="20"/>
          <w:szCs w:val="20"/>
          <w:color w:val="auto"/>
        </w:rPr>
      </w:pPr>
    </w:p>
    <w:p>
      <w:pPr>
        <w:ind w:firstLine="621"/>
        <w:spacing w:after="0" w:line="276" w:lineRule="auto"/>
        <w:rPr>
          <w:sz w:val="20"/>
          <w:szCs w:val="20"/>
          <w:color w:val="auto"/>
        </w:rPr>
      </w:pPr>
      <w:r>
        <w:rPr>
          <w:rFonts w:ascii="Arial" w:cs="Arial" w:eastAsia="Arial" w:hAnsi="Arial"/>
          <w:sz w:val="16"/>
          <w:szCs w:val="16"/>
          <w:color w:val="auto"/>
        </w:rPr>
        <w:t>In response to the COVID-19 pandemic and associated economic challenges, a significant number of advertisers, in particular with respect to certain categories of advertising that were particularly impacted by the pandemic and resulting stay-at-home orders, reduced their advertising budgets, resulting in an overall decrease in advertising spend through our platform compared to our pre-COVID expectations. We believe the negative impact on our revenue from the COVID-19 pandemic has largely subsided, although we did experience some negative impacts due to pandemic-related supply chain disruptions during the first half of 2022. More recently, our business has been negatively impacted as a result of macroeconomic challenges, such as inflation, global hostilities, recession, and other macroeconomic factors, which have generally negatively impacted ad budgets, and in turn led to reduced ad spend through our platform. Any worsening of macroeconomic conditions in future periods would likely have a negative effect on our financial results, the magnitude of which is difficult to predict. In addition, continued inflation could result in an increase in our cost base relative to our revenue.</w:t>
      </w:r>
    </w:p>
    <w:p>
      <w:pPr>
        <w:spacing w:after="0" w:line="54" w:lineRule="exact"/>
        <w:rPr>
          <w:sz w:val="20"/>
          <w:szCs w:val="20"/>
          <w:color w:val="auto"/>
        </w:rPr>
      </w:pPr>
    </w:p>
    <w:p>
      <w:pPr>
        <w:ind w:right="200" w:firstLine="621"/>
        <w:spacing w:after="0" w:line="283" w:lineRule="auto"/>
        <w:rPr>
          <w:sz w:val="20"/>
          <w:szCs w:val="20"/>
          <w:color w:val="auto"/>
        </w:rPr>
      </w:pPr>
      <w:r>
        <w:rPr>
          <w:rFonts w:ascii="Arial" w:cs="Arial" w:eastAsia="Arial" w:hAnsi="Arial"/>
          <w:sz w:val="17"/>
          <w:szCs w:val="17"/>
          <w:color w:val="auto"/>
        </w:rPr>
        <w:t>Refer to Item 1A. "Risk Factors" in our Annual Report on Form 10-K for the year ended December 31, 2021 for additional information related to risks associated with the COVID-19 pandemic and other macroeconomic challenges.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08" w:lineRule="exact"/>
        <w:rPr>
          <w:sz w:val="20"/>
          <w:szCs w:val="20"/>
          <w:color w:val="auto"/>
        </w:rPr>
      </w:pPr>
    </w:p>
    <w:p>
      <w:pPr>
        <w:ind w:right="500" w:firstLine="621"/>
        <w:spacing w:after="0" w:line="316" w:lineRule="auto"/>
        <w:rPr>
          <w:sz w:val="20"/>
          <w:szCs w:val="20"/>
          <w:color w:val="auto"/>
        </w:rPr>
      </w:pPr>
      <w:r>
        <w:rPr>
          <w:rFonts w:ascii="Arial" w:cs="Arial" w:eastAsia="Arial" w:hAnsi="Arial"/>
          <w:sz w:val="16"/>
          <w:szCs w:val="16"/>
          <w:color w:val="auto"/>
        </w:rPr>
        <w:t>We report our financial results as one operating segment. Our consolidated operating results are regularly reviewed by our chief operating decision maker, principally to make decisions about how we allocate our resources and to measure our consolidated operating performance.</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Revenue</w:t>
      </w:r>
    </w:p>
    <w:p>
      <w:pPr>
        <w:spacing w:after="0" w:line="102" w:lineRule="exact"/>
        <w:rPr>
          <w:sz w:val="20"/>
          <w:szCs w:val="20"/>
          <w:color w:val="auto"/>
        </w:rPr>
      </w:pPr>
    </w:p>
    <w:p>
      <w:pPr>
        <w:ind w:right="40" w:firstLine="621"/>
        <w:spacing w:after="0" w:line="275" w:lineRule="auto"/>
        <w:rPr>
          <w:sz w:val="20"/>
          <w:szCs w:val="20"/>
          <w:color w:val="auto"/>
        </w:rPr>
      </w:pPr>
      <w:r>
        <w:rPr>
          <w:rFonts w:ascii="Arial" w:cs="Arial" w:eastAsia="Arial" w:hAnsi="Arial"/>
          <w:sz w:val="16"/>
          <w:szCs w:val="16"/>
          <w:color w:val="auto"/>
        </w:rPr>
        <w:t>We generate revenue from the use of our platform for the purchase and sale of digital advertising inventory. Generally, our revenue is based on a percentage of the ad spend that runs through our platform, although for certain clients or transaction types we may receive a fixed CPM for each impression sold, and for advertising campaigns that are transacted through insertion orders, we earn revenue based on the full amount of ad spend that runs through our platform. We also generate revenue from our SpringServe ad server and Demand Manager header-bidding product, where fees are generally based on the number of impressions processed. In addition, we may receive certain fixed monthly fees for the use of our platforms or products.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certain revenue streams for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w:t>
      </w:r>
    </w:p>
    <w:p>
      <w:pPr>
        <w:spacing w:after="0" w:line="52" w:lineRule="exact"/>
        <w:rPr>
          <w:sz w:val="20"/>
          <w:szCs w:val="20"/>
          <w:color w:val="auto"/>
        </w:rPr>
      </w:pPr>
    </w:p>
    <w:p>
      <w:pPr>
        <w:jc w:val="both"/>
        <w:ind w:firstLine="621"/>
        <w:spacing w:after="0" w:line="297" w:lineRule="auto"/>
        <w:rPr>
          <w:sz w:val="20"/>
          <w:szCs w:val="20"/>
          <w:color w:val="auto"/>
        </w:rPr>
      </w:pPr>
      <w:r>
        <w:rPr>
          <w:rFonts w:ascii="Arial" w:cs="Arial" w:eastAsia="Arial" w:hAnsi="Arial"/>
          <w:sz w:val="15"/>
          <w:szCs w:val="15"/>
          <w:color w:val="auto"/>
        </w:rPr>
        <w:t>Following the SpotX Acquisition, the percentage of our revenue reported on a gross basis increased significantly compared to pre-acquisition periods. During the first quarter of 2021 (prior to the SpotX Acquisition), our revenue reported on a gross basis was less than 3% of total revenue. For the three and nine months ended September 30, 2022, our revenue reported on a gross basis was 20% and 18% of total revenue, respectively, and for the three and nine months ended September 30, 2021, our revenue reported on a gross basis was 20% and 16% of total revenue, respectively. Any mix shift that causes an increase in the relative percentage of our revenue accounted for on a gross basis would result in a higher revenue contribution and an associated decrease in our gross margin percentage (with no underlying impact on gross profit or Revenue ex-TAC, as defined in section "Key Operating and Financial Performance Metrics"). Our revenue recognition policies are discussed in more detail in our audited consolidated financial statements and notes thereto for the year ended December 31, 2021 included in our Annual Report on Form 10-K and in Note 3 of the accompanying Notes to the Condensed Consolidated Financial Statements.</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Expenses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classify our expenses into the following categories:</w:t>
      </w:r>
    </w:p>
    <w:p>
      <w:pPr>
        <w:spacing w:after="0" w:line="102" w:lineRule="exact"/>
        <w:rPr>
          <w:sz w:val="20"/>
          <w:szCs w:val="20"/>
          <w:color w:val="auto"/>
        </w:rPr>
      </w:pPr>
    </w:p>
    <w:p>
      <w:pPr>
        <w:ind w:firstLine="621"/>
        <w:spacing w:after="0" w:line="277" w:lineRule="auto"/>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Our cost of revenue consists primarily of data center costs, bandwidth costs, ad protection costs, depreciation and maintenance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of hardware supporting our revenue-producing platform, amortization of software costs for the development of our revenue-producing platform, amortization expense associated with acquired developed technologies, personnel costs, facilities-related costs, and cloud computing costs. In addition, for revenue booked on a gross basis, cost of revenue includes traffic acquisition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40" w:lineRule="exact"/>
        <w:rPr>
          <w:sz w:val="20"/>
          <w:szCs w:val="20"/>
          <w:color w:val="auto"/>
        </w:rPr>
      </w:pPr>
    </w:p>
    <w:p>
      <w:pPr>
        <w:ind w:right="80" w:firstLine="621"/>
        <w:spacing w:after="0" w:line="304"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Our sales and marketing expenses consist primarily of personnel costs, including salaries, bonuses, and stock-based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as well as marketing expenses such as brand marketing, travel expenses, trade shows and marketing materials, professional services, and amortization expense associated with client relationships, backlog, and non-compete agreements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33" w:lineRule="exact"/>
        <w:rPr>
          <w:sz w:val="20"/>
          <w:szCs w:val="20"/>
          <w:color w:val="auto"/>
        </w:rPr>
      </w:pPr>
    </w:p>
    <w:p>
      <w:pPr>
        <w:ind w:firstLine="621"/>
        <w:spacing w:after="0" w:line="257" w:lineRule="auto"/>
        <w:rPr>
          <w:sz w:val="20"/>
          <w:szCs w:val="20"/>
          <w:color w:val="auto"/>
        </w:rPr>
      </w:pPr>
      <w:r>
        <w:rPr>
          <w:rFonts w:ascii="Arial" w:cs="Arial" w:eastAsia="Arial" w:hAnsi="Arial"/>
          <w:sz w:val="17"/>
          <w:szCs w:val="17"/>
          <w:i w:val="1"/>
          <w:iCs w:val="1"/>
          <w:color w:val="auto"/>
        </w:rPr>
        <w:t>Technology and Development</w:t>
      </w:r>
      <w:r>
        <w:rPr>
          <w:rFonts w:ascii="Arial" w:cs="Arial" w:eastAsia="Arial" w:hAnsi="Arial"/>
          <w:sz w:val="17"/>
          <w:szCs w:val="17"/>
          <w:color w:val="auto"/>
        </w:rPr>
        <w:t>. Our technology and development expenses consist primarily of personnel costs, including salaries, bonuses, and stock-based compensation, as well as professional services associated with the ongoing development and maintenance of our solution, depreciation and amortization, and to a lesser extent, facilities-related costs.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firstLine="621"/>
        <w:spacing w:after="0" w:line="261"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personnel costs, including salaries, bonuses, and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associated with our executive, finance, legal, human resources, compliance, and other administrative personnel, as well as accounting and legal professional services fees, facilities-related costs and depreciation and amortization,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w:t>
      </w:r>
    </w:p>
    <w:p>
      <w:pPr>
        <w:spacing w:after="0" w:line="50" w:lineRule="exact"/>
        <w:rPr>
          <w:sz w:val="20"/>
          <w:szCs w:val="20"/>
          <w:color w:val="auto"/>
        </w:rPr>
      </w:pPr>
    </w:p>
    <w:p>
      <w:pPr>
        <w:jc w:val="both"/>
        <w:ind w:right="240" w:firstLine="621"/>
        <w:spacing w:after="0" w:line="320" w:lineRule="auto"/>
        <w:rPr>
          <w:sz w:val="20"/>
          <w:szCs w:val="20"/>
          <w:color w:val="auto"/>
        </w:rPr>
      </w:pPr>
      <w:r>
        <w:rPr>
          <w:rFonts w:ascii="Arial" w:cs="Arial" w:eastAsia="Arial" w:hAnsi="Arial"/>
          <w:sz w:val="15"/>
          <w:szCs w:val="15"/>
          <w:i w:val="1"/>
          <w:iCs w:val="1"/>
          <w:color w:val="auto"/>
        </w:rPr>
        <w:t xml:space="preserve">Merger, Acquisition, and Restructuring Costs. </w:t>
      </w:r>
      <w:r>
        <w:rPr>
          <w:rFonts w:ascii="Arial" w:cs="Arial" w:eastAsia="Arial" w:hAnsi="Arial"/>
          <w:sz w:val="15"/>
          <w:szCs w:val="15"/>
          <w:color w:val="auto"/>
        </w:rPr>
        <w:t>Our merger, acquisition, and restructuring costs consist primarily of professional service fees associated</w:t>
      </w:r>
      <w:r>
        <w:rPr>
          <w:rFonts w:ascii="Arial" w:cs="Arial" w:eastAsia="Arial" w:hAnsi="Arial"/>
          <w:sz w:val="15"/>
          <w:szCs w:val="15"/>
          <w:i w:val="1"/>
          <w:iCs w:val="1"/>
          <w:color w:val="auto"/>
        </w:rPr>
        <w:t xml:space="preserve"> </w:t>
      </w:r>
      <w:r>
        <w:rPr>
          <w:rFonts w:ascii="Arial" w:cs="Arial" w:eastAsia="Arial" w:hAnsi="Arial"/>
          <w:sz w:val="15"/>
          <w:szCs w:val="15"/>
          <w:color w:val="auto"/>
        </w:rPr>
        <w:t>with the merger and acquisition activities, cash-based employee termination costs, related stock-based compensation charges, and other restructuring activities, including facility closures, relocation costs, contract termination costs, and impairment costs of abandoned technology associated with restructuring activities.</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02" w:lineRule="exact"/>
        <w:rPr>
          <w:sz w:val="20"/>
          <w:szCs w:val="20"/>
          <w:color w:val="auto"/>
        </w:rPr>
      </w:pPr>
    </w:p>
    <w:p>
      <w:pPr>
        <w:ind w:right="160" w:firstLine="621"/>
        <w:spacing w:after="0" w:line="268" w:lineRule="auto"/>
        <w:rPr>
          <w:sz w:val="20"/>
          <w:szCs w:val="20"/>
          <w:color w:val="auto"/>
        </w:rPr>
      </w:pPr>
      <w:r>
        <w:rPr>
          <w:rFonts w:ascii="Arial" w:cs="Arial" w:eastAsia="Arial" w:hAnsi="Arial"/>
          <w:sz w:val="17"/>
          <w:szCs w:val="17"/>
          <w:i w:val="1"/>
          <w:iCs w:val="1"/>
          <w:color w:val="auto"/>
        </w:rPr>
        <w:t xml:space="preserve">Interest (Income) Expense, Net. </w:t>
      </w:r>
      <w:r>
        <w:rPr>
          <w:rFonts w:ascii="Arial" w:cs="Arial" w:eastAsia="Arial" w:hAnsi="Arial"/>
          <w:sz w:val="17"/>
          <w:szCs w:val="17"/>
          <w:color w:val="auto"/>
        </w:rPr>
        <w:t>Interest expense consists of interest expense associated with our Term Loan B Facility (defined below) and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Senior Notes (defined below), and their related amortization of debt issuance costs and debt discount. Interest income consists of interest earned on our cash equivalents.</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consists primarily of rental income from commercial office space we hold under lease and have sublet to other tenants.</w:t>
      </w:r>
    </w:p>
    <w:p>
      <w:pPr>
        <w:spacing w:after="0" w:line="114" w:lineRule="exact"/>
        <w:rPr>
          <w:sz w:val="20"/>
          <w:szCs w:val="20"/>
          <w:color w:val="auto"/>
        </w:rPr>
      </w:pPr>
    </w:p>
    <w:p>
      <w:pPr>
        <w:ind w:right="20" w:firstLine="621"/>
        <w:spacing w:after="0" w:line="261" w:lineRule="auto"/>
        <w:rPr>
          <w:sz w:val="20"/>
          <w:szCs w:val="20"/>
          <w:color w:val="auto"/>
        </w:rPr>
      </w:pPr>
      <w:r>
        <w:rPr>
          <w:rFonts w:ascii="Arial" w:cs="Arial" w:eastAsia="Arial" w:hAnsi="Arial"/>
          <w:sz w:val="17"/>
          <w:szCs w:val="17"/>
          <w:i w:val="1"/>
          <w:iCs w:val="1"/>
          <w:color w:val="auto"/>
        </w:rPr>
        <w:t>Foreign Currency Exchange (Gain) Loss, Net</w:t>
      </w:r>
      <w:r>
        <w:rPr>
          <w:rFonts w:ascii="Arial" w:cs="Arial" w:eastAsia="Arial" w:hAnsi="Arial"/>
          <w:sz w:val="17"/>
          <w:szCs w:val="17"/>
          <w:color w:val="auto"/>
        </w:rPr>
        <w:t>. Foreign currency exchange (gain) loss, net consists primarily of gains and losses on foreign currency</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and remeasurement of monetary assets and liabilities on our balance sheet denominated in foreign currencies. Foreign currency monetary assets and liabilities consist primarily of cash and cash equivalents, accounts receivable, accounts payable, and various intercompany balances held between our subsidiaries. Our primary foreign currency exposures are currencies other than the U.S. Dollar, principally the Australian Dollar, British Pound, Canadian Dollar, Euro, and Japanese Yen.</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Provision (Benefit) for Income Taxes</w:t>
      </w:r>
    </w:p>
    <w:p>
      <w:pPr>
        <w:spacing w:after="0" w:line="89" w:lineRule="exact"/>
        <w:rPr>
          <w:sz w:val="20"/>
          <w:szCs w:val="20"/>
          <w:color w:val="auto"/>
        </w:rPr>
      </w:pPr>
    </w:p>
    <w:p>
      <w:pPr>
        <w:ind w:right="40" w:firstLine="621"/>
        <w:spacing w:after="0" w:line="275" w:lineRule="auto"/>
        <w:rPr>
          <w:sz w:val="20"/>
          <w:szCs w:val="20"/>
          <w:color w:val="auto"/>
        </w:rPr>
      </w:pPr>
      <w:r>
        <w:rPr>
          <w:rFonts w:ascii="Arial" w:cs="Arial" w:eastAsia="Arial" w:hAnsi="Arial"/>
          <w:sz w:val="16"/>
          <w:szCs w:val="16"/>
          <w:color w:val="auto"/>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tax benefits, the applicability of special tax regimes, changes in foreign currency exchange rates, changes in our stock price, changes in our deferred tax assets ("DTAs") and liabilities and their valuation, changes in the laws, regulations, administrative practices, principles, and interpretations related to tax, including changes to the global tax framework, competition, and other laws and accounting rules in various jurisdictions.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sets forth our condensed consolidated 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gridSpan w:val="4"/>
          </w:tcPr>
          <w:p>
            <w:pPr>
              <w:jc w:val="right"/>
              <w:ind w:right="74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5"/>
        </w:trPr>
        <w:tc>
          <w:tcPr>
            <w:tcW w:w="2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2"/>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24"/>
                <w:szCs w:val="24"/>
                <w:color w:val="auto"/>
              </w:rPr>
            </w:pPr>
          </w:p>
        </w:tc>
        <w:tc>
          <w:tcPr>
            <w:tcW w:w="1300" w:type="dxa"/>
            <w:vAlign w:val="bottom"/>
          </w:tcPr>
          <w:p>
            <w:pPr>
              <w:jc w:val="right"/>
              <w:ind w:right="43"/>
              <w:spacing w:after="0"/>
              <w:rPr>
                <w:sz w:val="20"/>
                <w:szCs w:val="20"/>
                <w:color w:val="auto"/>
              </w:rPr>
            </w:pPr>
            <w:r>
              <w:rPr>
                <w:rFonts w:ascii="Arial" w:cs="Arial" w:eastAsia="Arial" w:hAnsi="Arial"/>
                <w:sz w:val="14"/>
                <w:szCs w:val="14"/>
                <w:b w:val="1"/>
                <w:bCs w:val="1"/>
                <w:color w:val="auto"/>
                <w:w w:val="88"/>
              </w:rPr>
              <w:t>September 30, 2021</w:t>
            </w:r>
          </w:p>
        </w:tc>
        <w:tc>
          <w:tcPr>
            <w:tcW w:w="100" w:type="dxa"/>
            <w:vAlign w:val="bottom"/>
          </w:tcPr>
          <w:p>
            <w:pPr>
              <w:spacing w:after="0"/>
              <w:rPr>
                <w:sz w:val="24"/>
                <w:szCs w:val="24"/>
                <w:color w:val="auto"/>
              </w:rPr>
            </w:pPr>
          </w:p>
        </w:tc>
        <w:tc>
          <w:tcPr>
            <w:tcW w:w="1400" w:type="dxa"/>
            <w:vAlign w:val="bottom"/>
            <w:gridSpan w:val="2"/>
          </w:tcPr>
          <w:p>
            <w:pPr>
              <w:ind w:left="360"/>
              <w:spacing w:after="0"/>
              <w:rPr>
                <w:sz w:val="20"/>
                <w:szCs w:val="20"/>
                <w:color w:val="auto"/>
              </w:rPr>
            </w:pPr>
            <w:r>
              <w:rPr>
                <w:rFonts w:ascii="Arial" w:cs="Arial" w:eastAsia="Arial" w:hAnsi="Arial"/>
                <w:sz w:val="13"/>
                <w:szCs w:val="13"/>
                <w:b w:val="1"/>
                <w:bCs w:val="1"/>
                <w:color w:val="auto"/>
              </w:rPr>
              <w:t>Change %</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September 30, 2022</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September 30, 2021</w:t>
            </w:r>
          </w:p>
        </w:tc>
        <w:tc>
          <w:tcPr>
            <w:tcW w:w="100" w:type="dxa"/>
            <w:vAlign w:val="bottom"/>
          </w:tcPr>
          <w:p>
            <w:pPr>
              <w:spacing w:after="0"/>
              <w:rPr>
                <w:sz w:val="24"/>
                <w:szCs w:val="24"/>
                <w:color w:val="auto"/>
              </w:rPr>
            </w:pPr>
          </w:p>
        </w:tc>
        <w:tc>
          <w:tcPr>
            <w:tcW w:w="1260" w:type="dxa"/>
            <w:vAlign w:val="bottom"/>
          </w:tcPr>
          <w:p>
            <w:pPr>
              <w:jc w:val="right"/>
              <w:ind w:right="269"/>
              <w:spacing w:after="0"/>
              <w:rPr>
                <w:sz w:val="20"/>
                <w:szCs w:val="20"/>
                <w:color w:val="auto"/>
              </w:rPr>
            </w:pPr>
            <w:r>
              <w:rPr>
                <w:rFonts w:ascii="Arial" w:cs="Arial" w:eastAsia="Arial" w:hAnsi="Arial"/>
                <w:sz w:val="13"/>
                <w:szCs w:val="13"/>
                <w:b w:val="1"/>
                <w:bCs w:val="1"/>
                <w:color w:val="auto"/>
              </w:rPr>
              <w:t>Change %</w:t>
            </w:r>
          </w:p>
        </w:tc>
      </w:tr>
      <w:tr>
        <w:trPr>
          <w:trHeight w:val="186"/>
        </w:trPr>
        <w:tc>
          <w:tcPr>
            <w:tcW w:w="28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gridSpan w:val="4"/>
          </w:tcPr>
          <w:p>
            <w:pPr>
              <w:jc w:val="right"/>
              <w:ind w:right="96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jc w:val="right"/>
              <w:ind w:right="169"/>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r>
      <w:tr>
        <w:trPr>
          <w:trHeight w:val="215"/>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145,815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131,871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401,670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307,127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07"/>
        </w:trPr>
        <w:tc>
          <w:tcPr>
            <w:tcW w:w="286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Expenses </w:t>
            </w:r>
            <w:r>
              <w:rPr>
                <w:rFonts w:ascii="Arial" w:cs="Arial" w:eastAsia="Arial" w:hAnsi="Arial"/>
                <w:sz w:val="20"/>
                <w:szCs w:val="20"/>
                <w:color w:val="auto"/>
                <w:vertAlign w:val="superscript"/>
              </w:rPr>
              <w:t>(1)(2)</w:t>
            </w: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revenue</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71,753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196,150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134,823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45 %</w:t>
            </w:r>
          </w:p>
        </w:tc>
      </w:tr>
      <w:tr>
        <w:trPr>
          <w:trHeight w:val="204"/>
        </w:trPr>
        <w:tc>
          <w:tcPr>
            <w:tcW w:w="2860" w:type="dxa"/>
            <w:vAlign w:val="bottom"/>
          </w:tcPr>
          <w:p>
            <w:pPr>
              <w:ind w:left="120"/>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49,848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52,260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151,675</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w w:val="93"/>
              </w:rPr>
              <w:t>118,122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28 %</w:t>
            </w:r>
          </w:p>
        </w:tc>
      </w:tr>
      <w:tr>
        <w:trPr>
          <w:trHeight w:val="210"/>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Technology and development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25,134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71,214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53,436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04"/>
        </w:trPr>
        <w:tc>
          <w:tcPr>
            <w:tcW w:w="2860" w:type="dxa"/>
            <w:vAlign w:val="bottom"/>
          </w:tcPr>
          <w:p>
            <w:pPr>
              <w:ind w:left="12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20,235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16,535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59,405</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47,673</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25 %</w:t>
            </w:r>
          </w:p>
        </w:tc>
      </w:tr>
      <w:tr>
        <w:trPr>
          <w:trHeight w:val="210"/>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8"/>
              </w:rPr>
              <w:t>Merger, acquisition, and restructuring costs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37,778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197"/>
        </w:trPr>
        <w:tc>
          <w:tcPr>
            <w:tcW w:w="286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6"/>
                <w:szCs w:val="16"/>
                <w:color w:val="auto"/>
              </w:rPr>
              <w:t>Total expenses</w:t>
            </w: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166,970</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155,819</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485,912</w:t>
            </w:r>
          </w:p>
        </w:tc>
        <w:tc>
          <w:tcPr>
            <w:tcW w:w="12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93"/>
              </w:rPr>
              <w:t>391,832</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24 %</w:t>
            </w:r>
          </w:p>
        </w:tc>
      </w:tr>
      <w:tr>
        <w:trPr>
          <w:trHeight w:val="20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(84,242)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(84,705)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4"/>
        </w:trPr>
        <w:tc>
          <w:tcPr>
            <w:tcW w:w="28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expense, net</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3,671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5,079</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12,240</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7,920</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55 %</w:t>
            </w:r>
          </w:p>
        </w:tc>
      </w:tr>
      <w:tr>
        <w:trPr>
          <w:trHeight w:val="20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(96,482)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(92,625)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4"/>
        </w:trPr>
        <w:tc>
          <w:tcPr>
            <w:tcW w:w="28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Benefit for income taxes</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(4,708)</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(2,544)</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(92,237)</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(97)%</w:t>
            </w:r>
          </w:p>
        </w:tc>
      </w:tr>
      <w:tr>
        <w:trPr>
          <w:trHeight w:val="22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(24,391)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(24,319)</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(93,938)</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NM Not meaningful</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Stock-based compensation expense included in our expenses was as follows:</w:t>
      </w:r>
    </w:p>
    <w:p>
      <w:pPr>
        <w:spacing w:after="0" w:line="177" w:lineRule="exact"/>
        <w:rPr>
          <w:sz w:val="20"/>
          <w:szCs w:val="20"/>
          <w:color w:val="auto"/>
        </w:rPr>
      </w:pPr>
    </w:p>
    <w:p>
      <w:pPr>
        <w:ind w:left="5940"/>
        <w:spacing w:after="0"/>
        <w:tabs>
          <w:tab w:leader="none" w:pos="910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1"/>
          <w:szCs w:val="11"/>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3197225</wp:posOffset>
            </wp:positionH>
            <wp:positionV relativeFrom="paragraph">
              <wp:posOffset>27305</wp:posOffset>
            </wp:positionV>
            <wp:extent cx="39427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94271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46" w:lineRule="exact"/>
        <w:rPr>
          <w:sz w:val="20"/>
          <w:szCs w:val="20"/>
          <w:color w:val="auto"/>
        </w:rPr>
      </w:pPr>
    </w:p>
    <w:p>
      <w:pPr>
        <w:ind w:left="5200"/>
        <w:spacing w:after="0"/>
        <w:tabs>
          <w:tab w:leader="none" w:pos="6760" w:val="left"/>
        </w:tabs>
        <w:rPr>
          <w:sz w:val="20"/>
          <w:szCs w:val="20"/>
          <w:color w:val="auto"/>
        </w:rPr>
      </w:pPr>
      <w:r>
        <w:rPr>
          <w:rFonts w:ascii="Arial" w:cs="Arial" w:eastAsia="Arial" w:hAnsi="Arial"/>
          <w:sz w:val="14"/>
          <w:szCs w:val="14"/>
          <w:b w:val="1"/>
          <w:bCs w:val="1"/>
          <w:color w:val="auto"/>
        </w:rPr>
        <w:t>September 30, 2022</w:t>
      </w:r>
      <w:r>
        <w:rPr>
          <w:sz w:val="20"/>
          <w:szCs w:val="20"/>
          <w:color w:val="auto"/>
        </w:rPr>
        <w:tab/>
      </w:r>
      <w:r>
        <w:rPr>
          <w:rFonts w:ascii="Arial" w:cs="Arial" w:eastAsia="Arial" w:hAnsi="Arial"/>
          <w:sz w:val="11"/>
          <w:szCs w:val="11"/>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3197225</wp:posOffset>
            </wp:positionH>
            <wp:positionV relativeFrom="paragraph">
              <wp:posOffset>27305</wp:posOffset>
            </wp:positionV>
            <wp:extent cx="19386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26" w:lineRule="exact"/>
        <w:rPr>
          <w:sz w:val="20"/>
          <w:szCs w:val="20"/>
          <w:color w:val="auto"/>
        </w:rPr>
      </w:pPr>
    </w:p>
    <w:p>
      <w:pPr>
        <w:ind w:left="61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September 30, 2022</w:t>
      </w:r>
      <w:r>
        <w:rPr>
          <w:sz w:val="20"/>
          <w:szCs w:val="20"/>
          <w:color w:val="auto"/>
        </w:rPr>
        <w:tab/>
      </w:r>
      <w:r>
        <w:rPr>
          <w:rFonts w:ascii="Arial" w:cs="Arial" w:eastAsia="Arial" w:hAnsi="Arial"/>
          <w:sz w:val="11"/>
          <w:szCs w:val="11"/>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27305</wp:posOffset>
            </wp:positionV>
            <wp:extent cx="19386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26"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(in thousands)</w:t>
      </w:r>
    </w:p>
    <w:p>
      <w:pPr>
        <w:spacing w:after="0" w:line="43" w:lineRule="exact"/>
        <w:rPr>
          <w:sz w:val="20"/>
          <w:szCs w:val="20"/>
          <w:color w:val="auto"/>
        </w:rPr>
      </w:pPr>
    </w:p>
    <w:p>
      <w:pPr>
        <w:sectPr>
          <w:pgSz w:w="11900" w:h="16838" w:orient="portrait"/>
          <w:cols w:equalWidth="0" w:num="2">
            <w:col w:w="7920" w:space="440"/>
            <w:col w:w="288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Cost of revenue</w:t>
            </w: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r>
      <w:tr>
        <w:trPr>
          <w:trHeight w:val="204"/>
        </w:trPr>
        <w:tc>
          <w:tcPr>
            <w:tcW w:w="5040" w:type="dxa"/>
            <w:vAlign w:val="bottom"/>
          </w:tcPr>
          <w:p>
            <w:pPr>
              <w:ind w:left="260"/>
              <w:spacing w:after="0"/>
              <w:rPr>
                <w:sz w:val="20"/>
                <w:szCs w:val="20"/>
                <w:color w:val="auto"/>
              </w:rPr>
            </w:pPr>
            <w:r>
              <w:rPr>
                <w:rFonts w:ascii="Arial" w:cs="Arial" w:eastAsia="Arial" w:hAnsi="Arial"/>
                <w:sz w:val="16"/>
                <w:szCs w:val="16"/>
                <w:color w:val="auto"/>
              </w:rPr>
              <w:t>Sales and marketing</w:t>
            </w:r>
          </w:p>
        </w:tc>
        <w:tc>
          <w:tcPr>
            <w:tcW w:w="5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5,491</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4,583</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16,257</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10,426</w:t>
            </w:r>
          </w:p>
        </w:tc>
      </w:tr>
      <w:tr>
        <w:trPr>
          <w:trHeight w:val="236"/>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Technology and development</w:t>
            </w: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6,576</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3,828</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16,645</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8,195</w:t>
            </w:r>
          </w:p>
        </w:tc>
      </w:tr>
      <w:tr>
        <w:trPr>
          <w:trHeight w:val="230"/>
        </w:trPr>
        <w:tc>
          <w:tcPr>
            <w:tcW w:w="504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54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4,911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3,087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14,096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8,299</w:t>
            </w:r>
          </w:p>
        </w:tc>
      </w:tr>
      <w:tr>
        <w:trPr>
          <w:trHeight w:val="210"/>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Merger, acquisition, and restructuring costs</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w:t>
            </w:r>
          </w:p>
        </w:tc>
      </w:tr>
      <w:tr>
        <w:trPr>
          <w:trHeight w:val="197"/>
        </w:trPr>
        <w:tc>
          <w:tcPr>
            <w:tcW w:w="5040" w:type="dxa"/>
            <w:vAlign w:val="bottom"/>
          </w:tcPr>
          <w:p>
            <w:pPr>
              <w:ind w:left="480"/>
              <w:spacing w:after="0"/>
              <w:rPr>
                <w:sz w:val="20"/>
                <w:szCs w:val="20"/>
                <w:color w:val="auto"/>
              </w:rPr>
            </w:pPr>
            <w:r>
              <w:rPr>
                <w:rFonts w:ascii="Arial" w:cs="Arial" w:eastAsia="Arial" w:hAnsi="Arial"/>
                <w:sz w:val="16"/>
                <w:szCs w:val="16"/>
                <w:color w:val="auto"/>
              </w:rPr>
              <w:t>Total stock-based compensation expense</w:t>
            </w:r>
          </w:p>
        </w:tc>
        <w:tc>
          <w:tcPr>
            <w:tcW w:w="54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17,402</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11,824</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50,193</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28,521</w:t>
            </w:r>
          </w:p>
        </w:tc>
      </w:tr>
      <w:tr>
        <w:trPr>
          <w:trHeight w:val="22"/>
        </w:trPr>
        <w:tc>
          <w:tcPr>
            <w:tcW w:w="5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11"/>
        </w:trPr>
        <w:tc>
          <w:tcPr>
            <w:tcW w:w="5580" w:type="dxa"/>
            <w:vAlign w:val="bottom"/>
            <w:gridSpan w:val="2"/>
          </w:tcPr>
          <w:p>
            <w:pPr>
              <w:ind w:left="20"/>
              <w:spacing w:after="0"/>
              <w:rPr>
                <w:sz w:val="20"/>
                <w:szCs w:val="20"/>
                <w:color w:val="auto"/>
              </w:rPr>
            </w:pPr>
            <w:r>
              <w:rPr>
                <w:rFonts w:ascii="Arial" w:cs="Arial" w:eastAsia="Arial" w:hAnsi="Arial"/>
                <w:sz w:val="16"/>
                <w:szCs w:val="16"/>
                <w:color w:val="auto"/>
                <w:w w:val="93"/>
              </w:rPr>
              <w:t>(2) Depreciation and amortization expense included in our expenses was as follows: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56"/>
        </w:trPr>
        <w:tc>
          <w:tcPr>
            <w:tcW w:w="5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gridSpan w:val="3"/>
          </w:tcPr>
          <w:p>
            <w:pPr>
              <w:jc w:val="right"/>
              <w:ind w:right="162"/>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3197225</wp:posOffset>
            </wp:positionH>
            <wp:positionV relativeFrom="paragraph">
              <wp:posOffset>15875</wp:posOffset>
            </wp:positionV>
            <wp:extent cx="39427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94271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p>
      <w:pPr>
        <w:spacing w:after="0" w:line="28" w:lineRule="exact"/>
        <w:rPr>
          <w:sz w:val="20"/>
          <w:szCs w:val="20"/>
          <w:color w:val="auto"/>
        </w:rPr>
      </w:pPr>
    </w:p>
    <w:p>
      <w:pPr>
        <w:ind w:left="5200"/>
        <w:spacing w:after="0"/>
        <w:tabs>
          <w:tab w:leader="none" w:pos="6760" w:val="left"/>
        </w:tabs>
        <w:rPr>
          <w:sz w:val="20"/>
          <w:szCs w:val="20"/>
          <w:color w:val="auto"/>
        </w:rPr>
      </w:pPr>
      <w:r>
        <w:rPr>
          <w:rFonts w:ascii="Arial" w:cs="Arial" w:eastAsia="Arial" w:hAnsi="Arial"/>
          <w:sz w:val="14"/>
          <w:szCs w:val="14"/>
          <w:b w:val="1"/>
          <w:bCs w:val="1"/>
          <w:color w:val="auto"/>
        </w:rPr>
        <w:t>September 30, 2022</w:t>
      </w:r>
      <w:r>
        <w:rPr>
          <w:sz w:val="20"/>
          <w:szCs w:val="20"/>
          <w:color w:val="auto"/>
        </w:rPr>
        <w:tab/>
      </w:r>
      <w:r>
        <w:rPr>
          <w:rFonts w:ascii="Arial" w:cs="Arial" w:eastAsia="Arial" w:hAnsi="Arial"/>
          <w:sz w:val="11"/>
          <w:szCs w:val="11"/>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3197225</wp:posOffset>
            </wp:positionH>
            <wp:positionV relativeFrom="paragraph">
              <wp:posOffset>27305</wp:posOffset>
            </wp:positionV>
            <wp:extent cx="19386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26" w:lineRule="exact"/>
        <w:rPr>
          <w:sz w:val="20"/>
          <w:szCs w:val="20"/>
          <w:color w:val="auto"/>
        </w:rPr>
      </w:pPr>
    </w:p>
    <w:p>
      <w:pPr>
        <w:ind w:left="61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September 30, 2022</w:t>
      </w:r>
      <w:r>
        <w:rPr>
          <w:sz w:val="20"/>
          <w:szCs w:val="20"/>
          <w:color w:val="auto"/>
        </w:rPr>
        <w:tab/>
      </w:r>
      <w:r>
        <w:rPr>
          <w:rFonts w:ascii="Arial" w:cs="Arial" w:eastAsia="Arial" w:hAnsi="Arial"/>
          <w:sz w:val="11"/>
          <w:szCs w:val="11"/>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27305</wp:posOffset>
            </wp:positionV>
            <wp:extent cx="19386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26"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(in thousands)</w:t>
      </w:r>
    </w:p>
    <w:p>
      <w:pPr>
        <w:spacing w:after="0" w:line="43" w:lineRule="exact"/>
        <w:rPr>
          <w:sz w:val="20"/>
          <w:szCs w:val="20"/>
          <w:color w:val="auto"/>
        </w:rPr>
      </w:pPr>
    </w:p>
    <w:p>
      <w:pPr>
        <w:sectPr>
          <w:pgSz w:w="11900" w:h="16838" w:orient="portrait"/>
          <w:cols w:equalWidth="0" w:num="2">
            <w:col w:w="7920" w:space="440"/>
            <w:col w:w="288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Cost of revenue</w:t>
            </w: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27,455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24,764</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80,639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52,108</w:t>
            </w:r>
          </w:p>
        </w:tc>
      </w:tr>
      <w:tr>
        <w:trPr>
          <w:trHeight w:val="204"/>
        </w:trPr>
        <w:tc>
          <w:tcPr>
            <w:tcW w:w="5040" w:type="dxa"/>
            <w:vAlign w:val="bottom"/>
          </w:tcPr>
          <w:p>
            <w:pPr>
              <w:ind w:left="260"/>
              <w:spacing w:after="0"/>
              <w:rPr>
                <w:sz w:val="20"/>
                <w:szCs w:val="20"/>
                <w:color w:val="auto"/>
              </w:rPr>
            </w:pPr>
            <w:r>
              <w:rPr>
                <w:rFonts w:ascii="Arial" w:cs="Arial" w:eastAsia="Arial" w:hAnsi="Arial"/>
                <w:sz w:val="16"/>
                <w:szCs w:val="16"/>
                <w:color w:val="auto"/>
              </w:rPr>
              <w:t>Sales and marketing</w:t>
            </w:r>
          </w:p>
        </w:tc>
        <w:tc>
          <w:tcPr>
            <w:tcW w:w="54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18,759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23,569</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56,815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44,037</w:t>
            </w:r>
          </w:p>
        </w:tc>
      </w:tr>
      <w:tr>
        <w:trPr>
          <w:trHeight w:val="236"/>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Technology and development</w:t>
            </w: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r>
      <w:tr>
        <w:trPr>
          <w:trHeight w:val="230"/>
        </w:trPr>
        <w:tc>
          <w:tcPr>
            <w:tcW w:w="50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General and administrative</w:t>
            </w: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r>
      <w:tr>
        <w:trPr>
          <w:trHeight w:val="225"/>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depreciation and amortization expense</w:t>
            </w:r>
          </w:p>
        </w:tc>
        <w:tc>
          <w:tcPr>
            <w:tcW w:w="54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46,615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48,702</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138,641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97,084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560" w:firstLine="169"/>
        <w:spacing w:after="0" w:line="283" w:lineRule="auto"/>
        <w:rPr>
          <w:sz w:val="20"/>
          <w:szCs w:val="20"/>
          <w:color w:val="auto"/>
        </w:rPr>
      </w:pPr>
      <w:r>
        <w:rPr>
          <w:rFonts w:ascii="Arial" w:cs="Arial" w:eastAsia="Arial" w:hAnsi="Arial"/>
          <w:sz w:val="17"/>
          <w:szCs w:val="17"/>
          <w:color w:val="auto"/>
        </w:rPr>
        <w:t>The following table sets forth our condensed consolidated results of operations for the specified periods as a percentage of our revenue for those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640" w:type="dxa"/>
            <w:vAlign w:val="bottom"/>
          </w:tcPr>
          <w:p>
            <w:pPr>
              <w:spacing w:after="0"/>
              <w:rPr>
                <w:sz w:val="15"/>
                <w:szCs w:val="15"/>
                <w:color w:val="auto"/>
              </w:rPr>
            </w:pPr>
          </w:p>
        </w:tc>
        <w:tc>
          <w:tcPr>
            <w:tcW w:w="306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gridSpan w:val="4"/>
          </w:tcPr>
          <w:p>
            <w:pPr>
              <w:jc w:val="right"/>
              <w:ind w:right="775"/>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r>
      <w:tr>
        <w:trPr>
          <w:trHeight w:val="25"/>
        </w:trPr>
        <w:tc>
          <w:tcPr>
            <w:tcW w:w="46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0"/>
        </w:trPr>
        <w:tc>
          <w:tcPr>
            <w:tcW w:w="464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auto"/>
            </w:tcBorders>
          </w:tcPr>
          <w:p>
            <w:pPr>
              <w:spacing w:after="0"/>
              <w:rPr>
                <w:sz w:val="15"/>
                <w:szCs w:val="15"/>
                <w:color w:val="auto"/>
              </w:rPr>
            </w:pPr>
          </w:p>
        </w:tc>
      </w:tr>
      <w:tr>
        <w:trPr>
          <w:trHeight w:val="246"/>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Revenue</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w:t>
            </w:r>
          </w:p>
        </w:tc>
      </w:tr>
      <w:tr>
        <w:trPr>
          <w:trHeight w:val="259"/>
        </w:trPr>
        <w:tc>
          <w:tcPr>
            <w:tcW w:w="4640" w:type="dxa"/>
            <w:vAlign w:val="bottom"/>
          </w:tcPr>
          <w:p>
            <w:pPr>
              <w:ind w:left="240"/>
              <w:spacing w:after="0"/>
              <w:rPr>
                <w:sz w:val="20"/>
                <w:szCs w:val="20"/>
                <w:color w:val="auto"/>
              </w:rPr>
            </w:pPr>
            <w:r>
              <w:rPr>
                <w:rFonts w:ascii="Arial" w:cs="Arial" w:eastAsia="Arial" w:hAnsi="Arial"/>
                <w:sz w:val="17"/>
                <w:szCs w:val="17"/>
                <w:color w:val="auto"/>
              </w:rPr>
              <w:t>Cost of revenue</w:t>
            </w:r>
          </w:p>
        </w:tc>
        <w:tc>
          <w:tcPr>
            <w:tcW w:w="1380" w:type="dxa"/>
            <w:vAlign w:val="bottom"/>
          </w:tcPr>
          <w:p>
            <w:pPr>
              <w:jc w:val="right"/>
              <w:spacing w:after="0"/>
              <w:rPr>
                <w:sz w:val="20"/>
                <w:szCs w:val="20"/>
                <w:color w:val="auto"/>
              </w:rPr>
            </w:pPr>
            <w:r>
              <w:rPr>
                <w:rFonts w:ascii="Arial" w:cs="Arial" w:eastAsia="Arial" w:hAnsi="Arial"/>
                <w:sz w:val="17"/>
                <w:szCs w:val="17"/>
                <w:color w:val="auto"/>
              </w:rPr>
              <w:t>49</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49</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44</w:t>
            </w:r>
          </w:p>
        </w:tc>
        <w:tc>
          <w:tcPr>
            <w:tcW w:w="180" w:type="dxa"/>
            <w:vAlign w:val="bottom"/>
          </w:tcPr>
          <w:p>
            <w:pPr>
              <w:spacing w:after="0"/>
              <w:rPr>
                <w:sz w:val="22"/>
                <w:szCs w:val="22"/>
                <w:color w:val="auto"/>
              </w:rPr>
            </w:pPr>
          </w:p>
        </w:tc>
      </w:tr>
      <w:tr>
        <w:trPr>
          <w:trHeight w:val="259"/>
        </w:trPr>
        <w:tc>
          <w:tcPr>
            <w:tcW w:w="4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Sales and marketing</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80" w:type="dxa"/>
            <w:vAlign w:val="bottom"/>
            <w:shd w:val="clear" w:color="auto" w:fill="CCEEFF"/>
          </w:tcPr>
          <w:p>
            <w:pPr>
              <w:spacing w:after="0"/>
              <w:rPr>
                <w:sz w:val="22"/>
                <w:szCs w:val="22"/>
                <w:color w:val="auto"/>
              </w:rPr>
            </w:pPr>
          </w:p>
        </w:tc>
      </w:tr>
      <w:tr>
        <w:trPr>
          <w:trHeight w:val="259"/>
        </w:trPr>
        <w:tc>
          <w:tcPr>
            <w:tcW w:w="4640" w:type="dxa"/>
            <w:vAlign w:val="bottom"/>
          </w:tcPr>
          <w:p>
            <w:pPr>
              <w:ind w:left="240"/>
              <w:spacing w:after="0"/>
              <w:rPr>
                <w:sz w:val="20"/>
                <w:szCs w:val="20"/>
                <w:color w:val="auto"/>
              </w:rPr>
            </w:pPr>
            <w:r>
              <w:rPr>
                <w:rFonts w:ascii="Arial" w:cs="Arial" w:eastAsia="Arial" w:hAnsi="Arial"/>
                <w:sz w:val="17"/>
                <w:szCs w:val="17"/>
                <w:color w:val="auto"/>
              </w:rPr>
              <w:t>Technology and development</w:t>
            </w:r>
          </w:p>
        </w:tc>
        <w:tc>
          <w:tcPr>
            <w:tcW w:w="1380" w:type="dxa"/>
            <w:vAlign w:val="bottom"/>
          </w:tcPr>
          <w:p>
            <w:pPr>
              <w:jc w:val="right"/>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22"/>
                <w:szCs w:val="22"/>
                <w:color w:val="auto"/>
              </w:rPr>
            </w:pPr>
          </w:p>
        </w:tc>
      </w:tr>
      <w:tr>
        <w:trPr>
          <w:trHeight w:val="220"/>
        </w:trPr>
        <w:tc>
          <w:tcPr>
            <w:tcW w:w="4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General and administrative</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80" w:type="dxa"/>
            <w:vAlign w:val="bottom"/>
            <w:shd w:val="clear" w:color="auto" w:fill="CCEEFF"/>
          </w:tcPr>
          <w:p>
            <w:pPr>
              <w:spacing w:after="0"/>
              <w:rPr>
                <w:sz w:val="19"/>
                <w:szCs w:val="19"/>
                <w:color w:val="auto"/>
              </w:rPr>
            </w:pPr>
          </w:p>
        </w:tc>
      </w:tr>
      <w:tr>
        <w:trPr>
          <w:trHeight w:val="220"/>
        </w:trPr>
        <w:tc>
          <w:tcPr>
            <w:tcW w:w="46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Merger, acquisition, and restructuring costs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80" w:type="dxa"/>
            <w:vAlign w:val="bottom"/>
            <w:tcBorders>
              <w:bottom w:val="single" w:sz="8" w:color="auto"/>
            </w:tcBorders>
          </w:tcPr>
          <w:p>
            <w:pPr>
              <w:spacing w:after="0"/>
              <w:rPr>
                <w:sz w:val="19"/>
                <w:szCs w:val="19"/>
                <w:color w:val="auto"/>
              </w:rPr>
            </w:pPr>
          </w:p>
        </w:tc>
      </w:tr>
      <w:tr>
        <w:trPr>
          <w:trHeight w:val="239"/>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expenses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80" w:type="dxa"/>
            <w:vAlign w:val="bottom"/>
            <w:tcBorders>
              <w:bottom w:val="single" w:sz="8" w:color="auto"/>
            </w:tcBorders>
            <w:shd w:val="clear" w:color="auto" w:fill="CCEEFF"/>
          </w:tcPr>
          <w:p>
            <w:pPr>
              <w:spacing w:after="0"/>
              <w:rPr>
                <w:sz w:val="20"/>
                <w:szCs w:val="20"/>
                <w:color w:val="auto"/>
              </w:rPr>
            </w:pPr>
          </w:p>
        </w:tc>
      </w:tr>
      <w:tr>
        <w:trPr>
          <w:trHeight w:val="213"/>
        </w:trPr>
        <w:tc>
          <w:tcPr>
            <w:tcW w:w="4640" w:type="dxa"/>
            <w:vAlign w:val="bottom"/>
          </w:tcPr>
          <w:p>
            <w:pPr>
              <w:ind w:left="40"/>
              <w:spacing w:after="0"/>
              <w:rPr>
                <w:sz w:val="20"/>
                <w:szCs w:val="20"/>
                <w:color w:val="auto"/>
              </w:rPr>
            </w:pPr>
            <w:r>
              <w:rPr>
                <w:rFonts w:ascii="Arial" w:cs="Arial" w:eastAsia="Arial" w:hAnsi="Arial"/>
                <w:sz w:val="17"/>
                <w:szCs w:val="17"/>
                <w:color w:val="auto"/>
              </w:rPr>
              <w:t>Loss from operations</w:t>
            </w:r>
          </w:p>
        </w:tc>
        <w:tc>
          <w:tcPr>
            <w:tcW w:w="1380" w:type="dxa"/>
            <w:vAlign w:val="bottom"/>
          </w:tcPr>
          <w:p>
            <w:pPr>
              <w:jc w:val="right"/>
              <w:spacing w:after="0"/>
              <w:rPr>
                <w:sz w:val="20"/>
                <w:szCs w:val="20"/>
                <w:color w:val="auto"/>
              </w:rPr>
            </w:pPr>
            <w:r>
              <w:rPr>
                <w:rFonts w:ascii="Arial" w:cs="Arial" w:eastAsia="Arial" w:hAnsi="Arial"/>
                <w:sz w:val="17"/>
                <w:szCs w:val="17"/>
                <w:color w:val="auto"/>
              </w:rPr>
              <w:t>(15)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(28)</w:t>
            </w:r>
          </w:p>
        </w:tc>
        <w:tc>
          <w:tcPr>
            <w:tcW w:w="180" w:type="dxa"/>
            <w:vAlign w:val="bottom"/>
          </w:tcPr>
          <w:p>
            <w:pPr>
              <w:spacing w:after="0"/>
              <w:rPr>
                <w:sz w:val="18"/>
                <w:szCs w:val="18"/>
                <w:color w:val="auto"/>
              </w:rPr>
            </w:pPr>
          </w:p>
        </w:tc>
      </w:tr>
      <w:tr>
        <w:trPr>
          <w:trHeight w:val="220"/>
        </w:trPr>
        <w:tc>
          <w:tcPr>
            <w:tcW w:w="4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expense, net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80" w:type="dxa"/>
            <w:vAlign w:val="bottom"/>
            <w:tcBorders>
              <w:bottom w:val="single" w:sz="8" w:color="auto"/>
            </w:tcBorders>
            <w:shd w:val="clear" w:color="auto" w:fill="CCEEFF"/>
          </w:tcPr>
          <w:p>
            <w:pPr>
              <w:spacing w:after="0"/>
              <w:rPr>
                <w:sz w:val="19"/>
                <w:szCs w:val="19"/>
                <w:color w:val="auto"/>
              </w:rPr>
            </w:pPr>
          </w:p>
        </w:tc>
      </w:tr>
      <w:tr>
        <w:trPr>
          <w:trHeight w:val="213"/>
        </w:trPr>
        <w:tc>
          <w:tcPr>
            <w:tcW w:w="4640" w:type="dxa"/>
            <w:vAlign w:val="bottom"/>
          </w:tcPr>
          <w:p>
            <w:pPr>
              <w:ind w:left="40"/>
              <w:spacing w:after="0"/>
              <w:rPr>
                <w:sz w:val="20"/>
                <w:szCs w:val="20"/>
                <w:color w:val="auto"/>
              </w:rPr>
            </w:pPr>
            <w:r>
              <w:rPr>
                <w:rFonts w:ascii="Arial" w:cs="Arial" w:eastAsia="Arial" w:hAnsi="Arial"/>
                <w:sz w:val="17"/>
                <w:szCs w:val="17"/>
                <w:color w:val="auto"/>
              </w:rPr>
              <w:t>Loss before income taxes</w:t>
            </w:r>
          </w:p>
        </w:tc>
        <w:tc>
          <w:tcPr>
            <w:tcW w:w="1380" w:type="dxa"/>
            <w:vAlign w:val="bottom"/>
          </w:tcPr>
          <w:p>
            <w:pPr>
              <w:jc w:val="right"/>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(30)</w:t>
            </w:r>
          </w:p>
        </w:tc>
        <w:tc>
          <w:tcPr>
            <w:tcW w:w="180" w:type="dxa"/>
            <w:vAlign w:val="bottom"/>
          </w:tcPr>
          <w:p>
            <w:pPr>
              <w:spacing w:after="0"/>
              <w:rPr>
                <w:sz w:val="18"/>
                <w:szCs w:val="18"/>
                <w:color w:val="auto"/>
              </w:rPr>
            </w:pPr>
          </w:p>
        </w:tc>
      </w:tr>
      <w:tr>
        <w:trPr>
          <w:trHeight w:val="220"/>
        </w:trPr>
        <w:tc>
          <w:tcPr>
            <w:tcW w:w="4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Benefit for income taxes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80" w:type="dxa"/>
            <w:vAlign w:val="bottom"/>
            <w:tcBorders>
              <w:bottom w:val="single" w:sz="8" w:color="auto"/>
            </w:tcBorders>
            <w:shd w:val="clear" w:color="auto" w:fill="CCEEFF"/>
          </w:tcPr>
          <w:p>
            <w:pPr>
              <w:spacing w:after="0"/>
              <w:rPr>
                <w:sz w:val="19"/>
                <w:szCs w:val="19"/>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7"/>
                <w:szCs w:val="17"/>
                <w:color w:val="auto"/>
              </w:rPr>
              <w:t>Net loss</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(17) %</w:t>
            </w:r>
          </w:p>
        </w:tc>
        <w:tc>
          <w:tcPr>
            <w:tcW w:w="1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(23) %</w:t>
            </w:r>
          </w:p>
        </w:tc>
        <w:tc>
          <w:tcPr>
            <w:tcW w:w="1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2950845</wp:posOffset>
            </wp:positionH>
            <wp:positionV relativeFrom="paragraph">
              <wp:posOffset>0</wp:posOffset>
            </wp:positionV>
            <wp:extent cx="41890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18909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 Percentages may not sum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2950845</wp:posOffset>
            </wp:positionH>
            <wp:positionV relativeFrom="paragraph">
              <wp:posOffset>-111125</wp:posOffset>
            </wp:positionV>
            <wp:extent cx="41890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189095"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Three and Nine Months Ended September 30, 2022 and 2021</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Revenue</w:t>
      </w:r>
    </w:p>
    <w:p>
      <w:pPr>
        <w:spacing w:after="0" w:line="115" w:lineRule="exact"/>
        <w:rPr>
          <w:sz w:val="20"/>
          <w:szCs w:val="20"/>
          <w:color w:val="auto"/>
        </w:rPr>
      </w:pPr>
    </w:p>
    <w:p>
      <w:pPr>
        <w:ind w:right="80" w:firstLine="621"/>
        <w:spacing w:after="0" w:line="268" w:lineRule="auto"/>
        <w:rPr>
          <w:sz w:val="20"/>
          <w:szCs w:val="20"/>
          <w:color w:val="auto"/>
        </w:rPr>
      </w:pPr>
      <w:r>
        <w:rPr>
          <w:rFonts w:ascii="Arial" w:cs="Arial" w:eastAsia="Arial" w:hAnsi="Arial"/>
          <w:sz w:val="17"/>
          <w:szCs w:val="17"/>
          <w:color w:val="auto"/>
        </w:rPr>
        <w:t>Revenue increased $13.9 million, or 11%, for the three months ended September 30, 2022 compared to the three months ended September 30, 2021. Our revenue growth was driven primarily by growth in CTV, which increased by $13.7 million, or 24%, and mobile, which increased by $2.6 million, or 6%. These increases were partially offset by a decline in revenue from desktop of $2.4 million, or 8%.</w:t>
      </w:r>
    </w:p>
    <w:p>
      <w:pPr>
        <w:spacing w:after="0" w:line="57" w:lineRule="exact"/>
        <w:rPr>
          <w:sz w:val="20"/>
          <w:szCs w:val="20"/>
          <w:color w:val="auto"/>
        </w:rPr>
      </w:pPr>
    </w:p>
    <w:p>
      <w:pPr>
        <w:ind w:firstLine="621"/>
        <w:spacing w:after="0" w:line="261" w:lineRule="auto"/>
        <w:rPr>
          <w:sz w:val="20"/>
          <w:szCs w:val="20"/>
          <w:color w:val="auto"/>
        </w:rPr>
      </w:pPr>
      <w:r>
        <w:rPr>
          <w:rFonts w:ascii="Arial" w:cs="Arial" w:eastAsia="Arial" w:hAnsi="Arial"/>
          <w:sz w:val="17"/>
          <w:szCs w:val="17"/>
          <w:color w:val="auto"/>
        </w:rPr>
        <w:t>Revenue increased $94.5 million, or 31%, for the nine months ended September 30, 2022 compared to the prior year period primarily due to the inclusion in 2022 of full period results from the SpotX Acquisition, which was completed on April 30, 2021, and the SpringServe Acquisition, which was completed on July 1, 2021, in addition to increases driven by growth in CTV and mobile. Revenue from CTV and mobile increased by $72.6 million, or 63%, and $18.2 million, or 16%, respectively. On a pro forma basis, including SpotX and SpringServe during the relevant pre-acquisition period, revenue increased 6% for the nine months ended September 30, 2022 compared to the prior year.</w:t>
      </w:r>
    </w:p>
    <w:p>
      <w:pPr>
        <w:spacing w:after="0" w:line="50" w:lineRule="exact"/>
        <w:rPr>
          <w:sz w:val="20"/>
          <w:szCs w:val="20"/>
          <w:color w:val="auto"/>
        </w:rPr>
      </w:pPr>
    </w:p>
    <w:p>
      <w:pPr>
        <w:ind w:firstLine="621"/>
        <w:spacing w:after="0" w:line="259" w:lineRule="auto"/>
        <w:rPr>
          <w:sz w:val="20"/>
          <w:szCs w:val="20"/>
          <w:color w:val="auto"/>
        </w:rPr>
      </w:pPr>
      <w:r>
        <w:rPr>
          <w:rFonts w:ascii="Arial" w:cs="Arial" w:eastAsia="Arial" w:hAnsi="Arial"/>
          <w:sz w:val="17"/>
          <w:szCs w:val="17"/>
          <w:color w:val="auto"/>
        </w:rPr>
        <w:t>We expect our revenue will increase year-over-year in the fourth quarter of 2022. 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impacted by shifts in the mix of advertising spend on our platform. We believe that contributions to revenue from reserve auctions, in particular with respect to CTV which is largely transacted on a reserved basis, will continue to grow as a percentage of our total revenue. In general, we expect this shift will have a positive impact on our revenue due to both an increase in the volume of transactions and average CPM, despite the fact that reserve auctions generally carry a lower take rate compared to open auction transactions.</w:t>
      </w:r>
    </w:p>
    <w:p>
      <w:pPr>
        <w:spacing w:after="0" w:line="63" w:lineRule="exact"/>
        <w:rPr>
          <w:sz w:val="20"/>
          <w:szCs w:val="20"/>
          <w:color w:val="auto"/>
        </w:rPr>
      </w:pPr>
    </w:p>
    <w:p>
      <w:pPr>
        <w:ind w:right="80" w:firstLine="621"/>
        <w:spacing w:after="0" w:line="259" w:lineRule="auto"/>
        <w:rPr>
          <w:sz w:val="20"/>
          <w:szCs w:val="20"/>
          <w:color w:val="auto"/>
        </w:rPr>
      </w:pPr>
      <w:r>
        <w:rPr>
          <w:rFonts w:ascii="Arial" w:cs="Arial" w:eastAsia="Arial" w:hAnsi="Arial"/>
          <w:sz w:val="17"/>
          <w:szCs w:val="17"/>
          <w:color w:val="auto"/>
        </w:rPr>
        <w:t>Our business is dependent in part on the overall health of the advertising market. Our revenue growth has been tempered, and may be negatively impacted in the future, by reductions in revenue resulting from the economic impact of the COVID-19 pandemic and other macroeconomic challenges, such as another pandemic or health crisis, geopolitical events (including the conflict in Ukraine), and other macroeconomic factors like labor shortages, supply chain disruptions, recessionary concerns, and inflation impacting the markets and communities in which we operate. If economic conditions were to deteriorate further, we would likely experience a negative impact on our future revenue trends, and the magnitude of this impact is difficult to predict depending on the scope and duration of any recession. Refer to Item 1A. "Risk Factors" in our Annual Report on Form 10-K for the year ended December 31, 2021 for additional information related to these risks.</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02" w:lineRule="exact"/>
        <w:rPr>
          <w:sz w:val="20"/>
          <w:szCs w:val="20"/>
          <w:color w:val="auto"/>
        </w:rPr>
      </w:pPr>
    </w:p>
    <w:p>
      <w:pPr>
        <w:ind w:right="80" w:firstLine="621"/>
        <w:spacing w:after="0" w:line="268" w:lineRule="auto"/>
        <w:rPr>
          <w:sz w:val="20"/>
          <w:szCs w:val="20"/>
          <w:color w:val="auto"/>
        </w:rPr>
      </w:pPr>
      <w:r>
        <w:rPr>
          <w:rFonts w:ascii="Arial" w:cs="Arial" w:eastAsia="Arial" w:hAnsi="Arial"/>
          <w:sz w:val="17"/>
          <w:szCs w:val="17"/>
          <w:color w:val="auto"/>
        </w:rPr>
        <w:t>Cost of revenue increased $8.2 million, or 13%, for the three months ended September 30, 2022 compared to the three months ended September 30, 2021, primarily due to revenue growth. Compared to the prior year period, cost of revenue included increases of $5.6 million in data and bandwidth expenses and $2.7 million in depreciation and amortization.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40" w:firstLine="621"/>
        <w:spacing w:after="0" w:line="285" w:lineRule="auto"/>
        <w:rPr>
          <w:sz w:val="20"/>
          <w:szCs w:val="20"/>
          <w:color w:val="auto"/>
        </w:rPr>
      </w:pPr>
      <w:r>
        <w:rPr>
          <w:rFonts w:ascii="Arial" w:cs="Arial" w:eastAsia="Arial" w:hAnsi="Arial"/>
          <w:sz w:val="16"/>
          <w:szCs w:val="16"/>
          <w:color w:val="auto"/>
        </w:rPr>
        <w:t>For the nine months ended September 30, 2022, costs of revenue increased $61.3 million, or 45%, compared to the prior year period, primarily due to the inclusion in 2022 of full period results from the SpotX Acquisition, which was completed on April 30, 2021, and revenue growth. Compared to the prior year period, cost of revenue included increases of $28.5 million in depreciation and amortization, $17.9 million in data and bandwidth expenses, and $10.9 million in traffic acquisition costs driven by the increases in revenue reported on a gross basis as a result of the SpotX Acquisition.</w:t>
      </w:r>
    </w:p>
    <w:p>
      <w:pPr>
        <w:spacing w:after="0" w:line="32" w:lineRule="exact"/>
        <w:rPr>
          <w:sz w:val="20"/>
          <w:szCs w:val="20"/>
          <w:color w:val="auto"/>
        </w:rPr>
      </w:pPr>
    </w:p>
    <w:p>
      <w:pPr>
        <w:ind w:right="60" w:firstLine="621"/>
        <w:spacing w:after="0" w:line="283" w:lineRule="auto"/>
        <w:rPr>
          <w:sz w:val="20"/>
          <w:szCs w:val="20"/>
          <w:color w:val="auto"/>
        </w:rPr>
      </w:pPr>
      <w:r>
        <w:rPr>
          <w:rFonts w:ascii="Arial" w:cs="Arial" w:eastAsia="Arial" w:hAnsi="Arial"/>
          <w:sz w:val="17"/>
          <w:szCs w:val="17"/>
          <w:color w:val="auto"/>
        </w:rPr>
        <w:t>Our cost of revenue will continue to increase year-over-year in the fourth quarter of 2022 in absolute dollars primarily due to the expected increase in the size of our operations, including increases in hosting costs and other expenses to support the growth of our business.</w:t>
      </w:r>
    </w:p>
    <w:p>
      <w:pPr>
        <w:spacing w:after="0" w:line="43" w:lineRule="exact"/>
        <w:rPr>
          <w:sz w:val="20"/>
          <w:szCs w:val="20"/>
          <w:color w:val="auto"/>
        </w:rPr>
      </w:pPr>
    </w:p>
    <w:p>
      <w:pPr>
        <w:ind w:right="200" w:firstLine="621"/>
        <w:spacing w:after="0" w:line="268" w:lineRule="auto"/>
        <w:rPr>
          <w:sz w:val="20"/>
          <w:szCs w:val="20"/>
          <w:color w:val="auto"/>
        </w:rPr>
      </w:pPr>
      <w:r>
        <w:rPr>
          <w:rFonts w:ascii="Arial" w:cs="Arial" w:eastAsia="Arial" w:hAnsi="Arial"/>
          <w:sz w:val="17"/>
          <w:szCs w:val="17"/>
          <w:color w:val="auto"/>
        </w:rPr>
        <w:t>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102" w:lineRule="exact"/>
        <w:rPr>
          <w:sz w:val="20"/>
          <w:szCs w:val="20"/>
          <w:color w:val="auto"/>
        </w:rPr>
      </w:pPr>
    </w:p>
    <w:p>
      <w:pPr>
        <w:ind w:right="100" w:firstLine="621"/>
        <w:spacing w:after="0" w:line="264" w:lineRule="auto"/>
        <w:rPr>
          <w:sz w:val="20"/>
          <w:szCs w:val="20"/>
          <w:color w:val="auto"/>
        </w:rPr>
      </w:pPr>
      <w:r>
        <w:rPr>
          <w:rFonts w:ascii="Arial" w:cs="Arial" w:eastAsia="Arial" w:hAnsi="Arial"/>
          <w:sz w:val="17"/>
          <w:szCs w:val="17"/>
          <w:color w:val="auto"/>
        </w:rPr>
        <w:t>Sales and marketing expenses decreased $2.4 million, or 5%, for the three months ended September 30, 2022 compared to the three months ended September 30, 2021. Compared to the prior year period, sales and marketing expenses included decreases of $4.8 million related to depreciation and amortization primarily due to certain acquired intangible assets becoming fully amortized earlier in 2022. The decreases were partially offset by increases of $1.3 million related to travel and industry events due to the lifting of travel restrictions during the year.</w:t>
      </w:r>
    </w:p>
    <w:p>
      <w:pPr>
        <w:spacing w:after="0" w:line="58" w:lineRule="exact"/>
        <w:rPr>
          <w:sz w:val="20"/>
          <w:szCs w:val="20"/>
          <w:color w:val="auto"/>
        </w:rPr>
      </w:pPr>
    </w:p>
    <w:p>
      <w:pPr>
        <w:ind w:right="20" w:firstLine="621"/>
        <w:spacing w:after="0" w:line="261" w:lineRule="auto"/>
        <w:rPr>
          <w:sz w:val="20"/>
          <w:szCs w:val="20"/>
          <w:color w:val="auto"/>
        </w:rPr>
      </w:pPr>
      <w:r>
        <w:rPr>
          <w:rFonts w:ascii="Arial" w:cs="Arial" w:eastAsia="Arial" w:hAnsi="Arial"/>
          <w:sz w:val="17"/>
          <w:szCs w:val="17"/>
          <w:color w:val="auto"/>
        </w:rPr>
        <w:t>For the nine months ended September 30, 2022, sales and marketing expenses increased $33.6 million, or 28%, compared the prior year period, primarily due to the addition of headcount from the SpotX Acquisition and the amortization of acquired intangible assets and other assets associated with the transaction. Compared to the prior year period, sales and marketing expenses included increases of $14.7 million related to personnel expenses and $12.8 million related to depreciation and amortization. Additionally, the change in sales and marketing expenses included increases of $2.8 million related to travel and industry events for the same reason above.</w:t>
      </w:r>
    </w:p>
    <w:p>
      <w:pPr>
        <w:spacing w:after="0" w:line="50" w:lineRule="exact"/>
        <w:rPr>
          <w:sz w:val="20"/>
          <w:szCs w:val="20"/>
          <w:color w:val="auto"/>
        </w:rPr>
      </w:pPr>
    </w:p>
    <w:p>
      <w:pPr>
        <w:ind w:right="220" w:firstLine="621"/>
        <w:spacing w:after="0" w:line="268" w:lineRule="auto"/>
        <w:rPr>
          <w:sz w:val="20"/>
          <w:szCs w:val="20"/>
          <w:color w:val="auto"/>
        </w:rPr>
      </w:pPr>
      <w:r>
        <w:rPr>
          <w:rFonts w:ascii="Arial" w:cs="Arial" w:eastAsia="Arial" w:hAnsi="Arial"/>
          <w:sz w:val="17"/>
          <w:szCs w:val="17"/>
          <w:color w:val="auto"/>
        </w:rPr>
        <w:t>We expect sales and marketing expenses to decrease year-over-year in the fourth quarter of 2022 in absolute dollars primarily due to decreases in amortization of acquired intangible assets, which we expect to be partially offset by increases in personnel costs as a result of new hiring to support our revenue growth and increases in event, travel and entertainment expenses.</w:t>
      </w:r>
    </w:p>
    <w:p>
      <w:pPr>
        <w:spacing w:after="0" w:line="57" w:lineRule="exact"/>
        <w:rPr>
          <w:sz w:val="20"/>
          <w:szCs w:val="20"/>
          <w:color w:val="auto"/>
        </w:rPr>
      </w:pPr>
    </w:p>
    <w:p>
      <w:pPr>
        <w:ind w:right="120" w:firstLine="621"/>
        <w:spacing w:after="0" w:line="283" w:lineRule="auto"/>
        <w:rPr>
          <w:sz w:val="20"/>
          <w:szCs w:val="20"/>
          <w:color w:val="auto"/>
        </w:rPr>
      </w:pPr>
      <w:r>
        <w:rPr>
          <w:rFonts w:ascii="Arial" w:cs="Arial" w:eastAsia="Arial" w:hAnsi="Arial"/>
          <w:sz w:val="17"/>
          <w:szCs w:val="17"/>
          <w:color w:val="auto"/>
        </w:rPr>
        <w:t>Sales and marketing expenses may fluctuate quarter to quarter and period to period, on an absolute dollar basis and as a percentage of revenue, based on revenue levels, the timing of our investments and seasonality in our industry and business.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Technology and Development</w:t>
      </w:r>
    </w:p>
    <w:p>
      <w:pPr>
        <w:spacing w:after="0" w:line="102" w:lineRule="exact"/>
        <w:rPr>
          <w:sz w:val="20"/>
          <w:szCs w:val="20"/>
          <w:color w:val="auto"/>
        </w:rPr>
      </w:pPr>
    </w:p>
    <w:p>
      <w:pPr>
        <w:ind w:right="300" w:firstLine="621"/>
        <w:spacing w:after="0" w:line="283" w:lineRule="auto"/>
        <w:rPr>
          <w:sz w:val="20"/>
          <w:szCs w:val="20"/>
          <w:color w:val="auto"/>
        </w:rPr>
      </w:pPr>
      <w:r>
        <w:rPr>
          <w:rFonts w:ascii="Arial" w:cs="Arial" w:eastAsia="Arial" w:hAnsi="Arial"/>
          <w:sz w:val="17"/>
          <w:szCs w:val="17"/>
          <w:color w:val="auto"/>
        </w:rPr>
        <w:t>Technology and development expenses increased $4.1 million, or 19%, for the three months ended September 30, 2022 compared to the three months ended September 30, 2021, due primarily to increases of $2.8 million in personnel costs as a result of increased headcount.</w:t>
      </w:r>
    </w:p>
    <w:p>
      <w:pPr>
        <w:spacing w:after="0" w:line="43" w:lineRule="exact"/>
        <w:rPr>
          <w:sz w:val="20"/>
          <w:szCs w:val="20"/>
          <w:color w:val="auto"/>
        </w:rPr>
      </w:pPr>
    </w:p>
    <w:p>
      <w:pPr>
        <w:ind w:right="440" w:firstLine="621"/>
        <w:spacing w:after="0" w:line="316" w:lineRule="auto"/>
        <w:rPr>
          <w:sz w:val="20"/>
          <w:szCs w:val="20"/>
          <w:color w:val="auto"/>
        </w:rPr>
      </w:pPr>
      <w:r>
        <w:rPr>
          <w:rFonts w:ascii="Arial" w:cs="Arial" w:eastAsia="Arial" w:hAnsi="Arial"/>
          <w:sz w:val="16"/>
          <w:szCs w:val="16"/>
          <w:color w:val="auto"/>
        </w:rPr>
        <w:t>For the nine months ended September 30, 2022, technology and development expenses increased $17.8 million, or 33%, compared to the prior year period, due primarily to increases of $15.1 million in personnel costs as a result of the increased headcount associated with the SpotX Acquisition.</w:t>
      </w:r>
    </w:p>
    <w:p>
      <w:pPr>
        <w:spacing w:after="0" w:line="7" w:lineRule="exact"/>
        <w:rPr>
          <w:sz w:val="20"/>
          <w:szCs w:val="20"/>
          <w:color w:val="auto"/>
        </w:rPr>
      </w:pPr>
    </w:p>
    <w:p>
      <w:pPr>
        <w:ind w:right="40" w:firstLine="621"/>
        <w:spacing w:after="0" w:line="283" w:lineRule="auto"/>
        <w:rPr>
          <w:sz w:val="20"/>
          <w:szCs w:val="20"/>
          <w:color w:val="auto"/>
        </w:rPr>
      </w:pPr>
      <w:r>
        <w:rPr>
          <w:rFonts w:ascii="Arial" w:cs="Arial" w:eastAsia="Arial" w:hAnsi="Arial"/>
          <w:sz w:val="17"/>
          <w:szCs w:val="17"/>
          <w:color w:val="auto"/>
        </w:rPr>
        <w:t>We expect technology and development expenses to increase year-over-year in the fourth quarter of 2022 in absolute dollars primarily due to increases in compensation expense and increases in event, travel and entertainment expenses.</w:t>
      </w:r>
    </w:p>
    <w:p>
      <w:pPr>
        <w:spacing w:after="0" w:line="43" w:lineRule="exact"/>
        <w:rPr>
          <w:sz w:val="20"/>
          <w:szCs w:val="20"/>
          <w:color w:val="auto"/>
        </w:rPr>
      </w:pPr>
    </w:p>
    <w:p>
      <w:pPr>
        <w:ind w:firstLine="621"/>
        <w:spacing w:after="0" w:line="264" w:lineRule="auto"/>
        <w:rPr>
          <w:sz w:val="20"/>
          <w:szCs w:val="20"/>
          <w:color w:val="auto"/>
        </w:rPr>
      </w:pPr>
      <w:r>
        <w:rPr>
          <w:rFonts w:ascii="Arial" w:cs="Arial" w:eastAsia="Arial" w:hAnsi="Arial"/>
          <w:sz w:val="17"/>
          <w:szCs w:val="17"/>
          <w:color w:val="auto"/>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capitalized projects and the timing and amounts of future capitalized internal use software development costs.</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193" w:lineRule="exact"/>
        <w:rPr>
          <w:sz w:val="20"/>
          <w:szCs w:val="20"/>
          <w:color w:val="auto"/>
        </w:rPr>
      </w:pPr>
    </w:p>
    <w:p>
      <w:pPr>
        <w:ind w:firstLine="621"/>
        <w:spacing w:after="0" w:line="268" w:lineRule="auto"/>
        <w:rPr>
          <w:sz w:val="20"/>
          <w:szCs w:val="20"/>
          <w:color w:val="auto"/>
        </w:rPr>
      </w:pPr>
      <w:r>
        <w:rPr>
          <w:rFonts w:ascii="Arial" w:cs="Arial" w:eastAsia="Arial" w:hAnsi="Arial"/>
          <w:sz w:val="17"/>
          <w:szCs w:val="17"/>
          <w:color w:val="auto"/>
        </w:rPr>
        <w:t>General and administrative expenses increased $3.7 million, or 22%, for the three months ended September 30, 2022 compared to the three months ended September 30, 2021, primarily due to increases of $2.6 million in personnel expenses due to increases in compensation expense driven by a more competitive labor market.</w:t>
      </w:r>
    </w:p>
    <w:p>
      <w:pPr>
        <w:spacing w:after="0" w:line="44" w:lineRule="exact"/>
        <w:rPr>
          <w:sz w:val="20"/>
          <w:szCs w:val="20"/>
          <w:color w:val="auto"/>
        </w:rPr>
      </w:pPr>
    </w:p>
    <w:p>
      <w:pPr>
        <w:ind w:right="80" w:firstLine="621"/>
        <w:spacing w:after="0" w:line="268" w:lineRule="auto"/>
        <w:rPr>
          <w:sz w:val="20"/>
          <w:szCs w:val="20"/>
          <w:color w:val="auto"/>
        </w:rPr>
      </w:pPr>
      <w:r>
        <w:rPr>
          <w:rFonts w:ascii="Arial" w:cs="Arial" w:eastAsia="Arial" w:hAnsi="Arial"/>
          <w:sz w:val="17"/>
          <w:szCs w:val="17"/>
          <w:color w:val="auto"/>
        </w:rPr>
        <w:t>For the nine months ended September 30, 2022, general and administrative expenses increased $11.7 million, or 25%, compared to the prior year period, primarily due to increases of $7.6 million in personnel expenses mainly due to a more competitive labor market, increases of $1.6 million in facilities related expenses due to return to office work environment, and increases of $1.5 million in business insurance and taxes.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80" w:firstLine="621"/>
        <w:spacing w:after="0" w:line="283" w:lineRule="auto"/>
        <w:rPr>
          <w:sz w:val="20"/>
          <w:szCs w:val="20"/>
          <w:color w:val="auto"/>
        </w:rPr>
      </w:pPr>
      <w:r>
        <w:rPr>
          <w:rFonts w:ascii="Arial" w:cs="Arial" w:eastAsia="Arial" w:hAnsi="Arial"/>
          <w:sz w:val="17"/>
          <w:szCs w:val="17"/>
          <w:color w:val="auto"/>
        </w:rPr>
        <w:t>We expect general and administrative expenses to increase year-over-year in the fourth quarter of 2022 in absolute dollars primarily due to the additional costs for a return to office work environment, new office leases, and increases in event, travel and entertainment expenses.</w:t>
      </w:r>
    </w:p>
    <w:p>
      <w:pPr>
        <w:spacing w:after="0" w:line="31" w:lineRule="exact"/>
        <w:rPr>
          <w:sz w:val="20"/>
          <w:szCs w:val="20"/>
          <w:color w:val="auto"/>
        </w:rPr>
      </w:pPr>
    </w:p>
    <w:p>
      <w:pPr>
        <w:ind w:right="160" w:firstLine="621"/>
        <w:spacing w:after="0" w:line="353" w:lineRule="auto"/>
        <w:rPr>
          <w:sz w:val="20"/>
          <w:szCs w:val="20"/>
          <w:color w:val="auto"/>
        </w:rPr>
      </w:pPr>
      <w:r>
        <w:rPr>
          <w:rFonts w:ascii="Arial" w:cs="Arial" w:eastAsia="Arial" w:hAnsi="Arial"/>
          <w:sz w:val="15"/>
          <w:szCs w:val="15"/>
          <w:color w:val="auto"/>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8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Merger, Acquisition, and Restructuring Costs</w:t>
      </w:r>
    </w:p>
    <w:p>
      <w:pPr>
        <w:spacing w:after="0" w:line="180" w:lineRule="exact"/>
        <w:rPr>
          <w:sz w:val="20"/>
          <w:szCs w:val="20"/>
          <w:color w:val="auto"/>
        </w:rPr>
      </w:pPr>
    </w:p>
    <w:p>
      <w:pPr>
        <w:ind w:right="20" w:firstLine="621"/>
        <w:spacing w:after="0" w:line="281" w:lineRule="auto"/>
        <w:rPr>
          <w:sz w:val="20"/>
          <w:szCs w:val="20"/>
          <w:color w:val="auto"/>
        </w:rPr>
      </w:pPr>
      <w:r>
        <w:rPr>
          <w:rFonts w:ascii="Arial" w:cs="Arial" w:eastAsia="Arial" w:hAnsi="Arial"/>
          <w:sz w:val="16"/>
          <w:szCs w:val="16"/>
          <w:color w:val="auto"/>
        </w:rPr>
        <w:t>Merger, acquisition, and restructuring costs decreased $2.4 million, or 100%, for the three months ended September 30, 2022 compared to the three months ended September 30, 2021. There were no merger, acquisition, and restructuring costs incurred in the three months ended September 30, 2022. Costs incurred during the three months ended September 30, 2021 of $2.4 million were primarily due to the SpotX Acquisition, which was completed on April 30, 2021, which included investment banking advisory, legal, and other professional services fees, one-time cash-based employee termination benefit costs, and non-cash stock-based compensation expense associated with equity accelerations due to severance benefits.</w:t>
      </w:r>
    </w:p>
    <w:p>
      <w:pPr>
        <w:spacing w:after="0" w:line="126" w:lineRule="exact"/>
        <w:rPr>
          <w:sz w:val="20"/>
          <w:szCs w:val="20"/>
          <w:color w:val="auto"/>
        </w:rPr>
      </w:pPr>
    </w:p>
    <w:p>
      <w:pPr>
        <w:ind w:right="220" w:firstLine="621"/>
        <w:spacing w:after="0" w:line="260" w:lineRule="auto"/>
        <w:rPr>
          <w:sz w:val="20"/>
          <w:szCs w:val="20"/>
          <w:color w:val="auto"/>
        </w:rPr>
      </w:pPr>
      <w:r>
        <w:rPr>
          <w:rFonts w:ascii="Arial" w:cs="Arial" w:eastAsia="Arial" w:hAnsi="Arial"/>
          <w:sz w:val="17"/>
          <w:szCs w:val="17"/>
          <w:color w:val="auto"/>
        </w:rPr>
        <w:t>Merger, acquisition, and restructuring costs decreased by $30.3 million, or 80%, for the nine months ended September 30, 2022 compared to the prior year period. Costs incurred during the nine months ended September 30, 2022 of $7.5 million were primarily due to restructuring activities from the SpotX Acquisition, which included $3.3 million of impairment costs associated with abandoned technology, $2.0 million non-cash stock-based compensation expense associated with the acceleration of unvested equity awards, and $1.2 million of one-time cash-based employee termination costs. Costs incurred during the nine months ended September 30, 2021 of $37.8 million were primarily due to the SpotX Acquisition as well as facility closure costs associated with office space restructuring activities.</w:t>
      </w:r>
    </w:p>
    <w:p>
      <w:pPr>
        <w:spacing w:after="0" w:line="6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5"/>
                <w:szCs w:val="15"/>
                <w:color w:val="auto"/>
              </w:rPr>
            </w:pPr>
          </w:p>
        </w:tc>
        <w:tc>
          <w:tcPr>
            <w:tcW w:w="2760" w:type="dxa"/>
            <w:vAlign w:val="bottom"/>
            <w:gridSpan w:val="4"/>
          </w:tcPr>
          <w:p>
            <w:pPr>
              <w:ind w:left="740"/>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4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0"/>
        </w:trPr>
        <w:tc>
          <w:tcPr>
            <w:tcW w:w="464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4"/>
              </w:rPr>
              <w:t>September 30, 2021</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5"/>
              </w:rPr>
              <w:t>September 30, 2021</w:t>
            </w:r>
          </w:p>
        </w:tc>
      </w:tr>
      <w:tr>
        <w:trPr>
          <w:trHeight w:val="174"/>
        </w:trPr>
        <w:tc>
          <w:tcPr>
            <w:tcW w:w="4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15"/>
                <w:szCs w:val="15"/>
                <w:color w:val="auto"/>
              </w:rPr>
            </w:pPr>
          </w:p>
        </w:tc>
        <w:tc>
          <w:tcPr>
            <w:tcW w:w="2760" w:type="dxa"/>
            <w:vAlign w:val="bottom"/>
            <w:gridSpan w:val="4"/>
          </w:tcPr>
          <w:p>
            <w:pPr>
              <w:ind w:left="940"/>
              <w:spacing w:after="0"/>
              <w:rPr>
                <w:sz w:val="20"/>
                <w:szCs w:val="20"/>
                <w:color w:val="auto"/>
              </w:rPr>
            </w:pPr>
            <w:r>
              <w:rPr>
                <w:rFonts w:ascii="Arial" w:cs="Arial" w:eastAsia="Arial" w:hAnsi="Arial"/>
                <w:sz w:val="13"/>
                <w:szCs w:val="13"/>
                <w:b w:val="1"/>
                <w:bCs w:val="1"/>
                <w:color w:val="auto"/>
              </w:rPr>
              <w:t>(in thousands)</w:t>
            </w:r>
          </w:p>
        </w:tc>
      </w:tr>
      <w:tr>
        <w:trPr>
          <w:trHeight w:val="227"/>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center"/>
              <w:ind w:left="942"/>
              <w:spacing w:after="0"/>
              <w:rPr>
                <w:sz w:val="20"/>
                <w:szCs w:val="20"/>
                <w:color w:val="auto"/>
              </w:rPr>
            </w:pPr>
            <w:r>
              <w:rPr>
                <w:rFonts w:ascii="Arial" w:cs="Arial" w:eastAsia="Arial" w:hAnsi="Arial"/>
                <w:sz w:val="17"/>
                <w:szCs w:val="17"/>
                <w:color w:val="auto"/>
                <w:w w:val="89"/>
              </w:rPr>
              <w:t>7,016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ind w:left="740"/>
              <w:spacing w:after="0"/>
              <w:rPr>
                <w:sz w:val="20"/>
                <w:szCs w:val="20"/>
                <w:color w:val="auto"/>
              </w:rPr>
            </w:pPr>
            <w:r>
              <w:rPr>
                <w:rFonts w:ascii="Arial" w:cs="Arial" w:eastAsia="Arial" w:hAnsi="Arial"/>
                <w:sz w:val="17"/>
                <w:szCs w:val="17"/>
                <w:color w:val="auto"/>
                <w:w w:val="99"/>
              </w:rPr>
              <w:t>21,273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12,595</w:t>
            </w:r>
          </w:p>
        </w:tc>
      </w:tr>
      <w:tr>
        <w:trPr>
          <w:trHeight w:val="220"/>
        </w:trPr>
        <w:tc>
          <w:tcPr>
            <w:tcW w:w="4640" w:type="dxa"/>
            <w:vAlign w:val="bottom"/>
          </w:tcPr>
          <w:p>
            <w:pPr>
              <w:ind w:left="20"/>
              <w:spacing w:after="0"/>
              <w:rPr>
                <w:sz w:val="20"/>
                <w:szCs w:val="20"/>
                <w:color w:val="auto"/>
              </w:rPr>
            </w:pPr>
            <w:r>
              <w:rPr>
                <w:rFonts w:ascii="Arial" w:cs="Arial" w:eastAsia="Arial" w:hAnsi="Arial"/>
                <w:sz w:val="17"/>
                <w:szCs w:val="17"/>
                <w:color w:val="auto"/>
              </w:rPr>
              <w:t>Other income</w:t>
            </w:r>
          </w:p>
        </w:tc>
        <w:tc>
          <w:tcPr>
            <w:tcW w:w="200" w:type="dxa"/>
            <w:vAlign w:val="bottom"/>
          </w:tcPr>
          <w:p>
            <w:pPr>
              <w:spacing w:after="0"/>
              <w:rPr>
                <w:sz w:val="19"/>
                <w:szCs w:val="19"/>
                <w:color w:val="auto"/>
              </w:rPr>
            </w:pPr>
          </w:p>
        </w:tc>
        <w:tc>
          <w:tcPr>
            <w:tcW w:w="1560" w:type="dxa"/>
            <w:vAlign w:val="bottom"/>
          </w:tcPr>
          <w:p>
            <w:pPr>
              <w:jc w:val="center"/>
              <w:ind w:left="902"/>
              <w:spacing w:after="0"/>
              <w:rPr>
                <w:sz w:val="20"/>
                <w:szCs w:val="20"/>
                <w:color w:val="auto"/>
              </w:rPr>
            </w:pPr>
            <w:r>
              <w:rPr>
                <w:rFonts w:ascii="Arial" w:cs="Arial" w:eastAsia="Arial" w:hAnsi="Arial"/>
                <w:sz w:val="17"/>
                <w:szCs w:val="17"/>
                <w:color w:val="auto"/>
                <w:w w:val="92"/>
              </w:rPr>
              <w:t>(1,369)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ind w:left="740"/>
              <w:spacing w:after="0"/>
              <w:rPr>
                <w:sz w:val="20"/>
                <w:szCs w:val="20"/>
                <w:color w:val="auto"/>
              </w:rPr>
            </w:pPr>
            <w:r>
              <w:rPr>
                <w:rFonts w:ascii="Arial" w:cs="Arial" w:eastAsia="Arial" w:hAnsi="Arial"/>
                <w:sz w:val="17"/>
                <w:szCs w:val="17"/>
                <w:color w:val="auto"/>
                <w:w w:val="96"/>
              </w:rPr>
              <w:t>(3,991)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(3,317)</w:t>
            </w:r>
          </w:p>
        </w:tc>
      </w:tr>
      <w:tr>
        <w:trPr>
          <w:trHeight w:val="220"/>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gain, net</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ind w:left="902"/>
              <w:spacing w:after="0"/>
              <w:rPr>
                <w:sz w:val="20"/>
                <w:szCs w:val="20"/>
                <w:color w:val="auto"/>
              </w:rPr>
            </w:pPr>
            <w:r>
              <w:rPr>
                <w:rFonts w:ascii="Arial" w:cs="Arial" w:eastAsia="Arial" w:hAnsi="Arial"/>
                <w:sz w:val="17"/>
                <w:szCs w:val="17"/>
                <w:color w:val="auto"/>
                <w:w w:val="92"/>
              </w:rPr>
              <w:t>(1,976)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7"/>
                <w:szCs w:val="17"/>
                <w:color w:val="auto"/>
                <w:w w:val="96"/>
              </w:rPr>
              <w:t>(5,042)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(1,358)</w:t>
            </w:r>
          </w:p>
        </w:tc>
      </w:tr>
      <w:tr>
        <w:trPr>
          <w:trHeight w:val="213"/>
        </w:trPr>
        <w:tc>
          <w:tcPr>
            <w:tcW w:w="4640" w:type="dxa"/>
            <w:vAlign w:val="bottom"/>
          </w:tcPr>
          <w:p>
            <w:pPr>
              <w:ind w:left="20"/>
              <w:spacing w:after="0"/>
              <w:rPr>
                <w:sz w:val="20"/>
                <w:szCs w:val="20"/>
                <w:color w:val="auto"/>
              </w:rPr>
            </w:pPr>
            <w:r>
              <w:rPr>
                <w:rFonts w:ascii="Arial" w:cs="Arial" w:eastAsia="Arial" w:hAnsi="Arial"/>
                <w:sz w:val="17"/>
                <w:szCs w:val="17"/>
                <w:color w:val="auto"/>
              </w:rPr>
              <w:t>Total other expense, net</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center"/>
              <w:ind w:left="942"/>
              <w:spacing w:after="0"/>
              <w:rPr>
                <w:sz w:val="20"/>
                <w:szCs w:val="20"/>
                <w:color w:val="auto"/>
              </w:rPr>
            </w:pPr>
            <w:r>
              <w:rPr>
                <w:rFonts w:ascii="Arial" w:cs="Arial" w:eastAsia="Arial" w:hAnsi="Arial"/>
                <w:sz w:val="17"/>
                <w:szCs w:val="17"/>
                <w:color w:val="auto"/>
                <w:w w:val="89"/>
              </w:rPr>
              <w:t>3,671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5,079</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w w:val="99"/>
              </w:rPr>
              <w:t>12,240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7,920</w:t>
            </w:r>
          </w:p>
        </w:tc>
      </w:tr>
      <w:tr>
        <w:trPr>
          <w:trHeight w:val="20"/>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160" w:firstLine="621"/>
        <w:spacing w:after="0" w:line="283" w:lineRule="auto"/>
        <w:rPr>
          <w:sz w:val="20"/>
          <w:szCs w:val="20"/>
          <w:color w:val="auto"/>
        </w:rPr>
      </w:pPr>
      <w:r>
        <w:rPr>
          <w:rFonts w:ascii="Arial" w:cs="Arial" w:eastAsia="Arial" w:hAnsi="Arial"/>
          <w:sz w:val="17"/>
          <w:szCs w:val="17"/>
          <w:color w:val="auto"/>
        </w:rPr>
        <w:t>Interest expense, net decreased $0.3 million during the three months ended September 30, 2022 compared to the same period in the prior year primarily due to increases of interest income of $1.0 million offset by increases of interest expense of $0.7 million.</w:t>
      </w:r>
    </w:p>
    <w:p>
      <w:pPr>
        <w:spacing w:after="0" w:line="43" w:lineRule="exact"/>
        <w:rPr>
          <w:sz w:val="20"/>
          <w:szCs w:val="20"/>
          <w:color w:val="auto"/>
        </w:rPr>
      </w:pPr>
    </w:p>
    <w:p>
      <w:pPr>
        <w:ind w:right="60" w:firstLine="621"/>
        <w:spacing w:after="0" w:line="264" w:lineRule="auto"/>
        <w:rPr>
          <w:sz w:val="20"/>
          <w:szCs w:val="20"/>
          <w:color w:val="auto"/>
        </w:rPr>
      </w:pPr>
      <w:r>
        <w:rPr>
          <w:rFonts w:ascii="Arial" w:cs="Arial" w:eastAsia="Arial" w:hAnsi="Arial"/>
          <w:sz w:val="17"/>
          <w:szCs w:val="17"/>
          <w:color w:val="auto"/>
        </w:rPr>
        <w:t>Interest expense, net increased $8.7 million during the nine months ended September 30, 2022 compared to the same period in the prior year, primarily due to interest expense associated with the Term Loan B Facility (defined below), which the Company entered into during April 2021, and interest expense associated with the Convertible Senior Notes (defined below), which the Company entered into during March 2021. The increase in interest expense was partially offset by increases of interest income of $1.0 million.</w:t>
      </w:r>
    </w:p>
    <w:p>
      <w:pPr>
        <w:spacing w:after="0" w:line="58" w:lineRule="exact"/>
        <w:rPr>
          <w:sz w:val="20"/>
          <w:szCs w:val="20"/>
          <w:color w:val="auto"/>
        </w:rPr>
      </w:pPr>
    </w:p>
    <w:p>
      <w:pPr>
        <w:ind w:firstLine="621"/>
        <w:spacing w:after="0" w:line="264" w:lineRule="auto"/>
        <w:rPr>
          <w:sz w:val="20"/>
          <w:szCs w:val="20"/>
          <w:color w:val="auto"/>
        </w:rPr>
      </w:pPr>
      <w:r>
        <w:rPr>
          <w:rFonts w:ascii="Arial" w:cs="Arial" w:eastAsia="Arial" w:hAnsi="Arial"/>
          <w:sz w:val="17"/>
          <w:szCs w:val="17"/>
          <w:color w:val="auto"/>
        </w:rPr>
        <w:t>We do not expect interest expense, net to significantly change year-over-year in the fourth quarter of 2022 as interest expense on Convertible Senior Notes are not dependent on changing interest rates, and although interest expense on our Term Loan B Facility will increase as the underlying borrowing rates have increased in response to changes in monetary policy, we expect this to be largely offset by an increase in interest income generated from cash equivalents and short-term investments.</w:t>
      </w:r>
    </w:p>
    <w:p>
      <w:pPr>
        <w:spacing w:after="0" w:line="45" w:lineRule="exact"/>
        <w:rPr>
          <w:sz w:val="20"/>
          <w:szCs w:val="20"/>
          <w:color w:val="auto"/>
        </w:rPr>
      </w:pPr>
    </w:p>
    <w:p>
      <w:pPr>
        <w:ind w:firstLine="621"/>
        <w:spacing w:after="0" w:line="264" w:lineRule="auto"/>
        <w:rPr>
          <w:sz w:val="20"/>
          <w:szCs w:val="20"/>
          <w:color w:val="auto"/>
        </w:rPr>
      </w:pPr>
      <w:r>
        <w:rPr>
          <w:rFonts w:ascii="Arial" w:cs="Arial" w:eastAsia="Arial" w:hAnsi="Arial"/>
          <w:sz w:val="17"/>
          <w:szCs w:val="17"/>
          <w:color w:val="auto"/>
        </w:rPr>
        <w:t>Foreign exchange gain, net is impacted by movements in exchange rates and the amount of foreign currency-denominated cash, receivables, and payables, which are impacted by our billings to buyers, payments to sellers, and intercompany balances. The foreign exchange gain, net during the three and nine months ended September 30, 2022 was primarily due to the currency movements between the British Pound, Australian Dollar, Canadian Dollar, and Euro relative to the U.S. Dollar.</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Provision (Benefit) for Income Taxes</w:t>
      </w:r>
    </w:p>
    <w:p>
      <w:pPr>
        <w:spacing w:after="0" w:line="180" w:lineRule="exact"/>
        <w:rPr>
          <w:sz w:val="20"/>
          <w:szCs w:val="20"/>
          <w:color w:val="auto"/>
        </w:rPr>
      </w:pPr>
    </w:p>
    <w:p>
      <w:pPr>
        <w:ind w:right="160" w:firstLine="172"/>
        <w:spacing w:after="0" w:line="264" w:lineRule="auto"/>
        <w:rPr>
          <w:sz w:val="20"/>
          <w:szCs w:val="20"/>
          <w:color w:val="auto"/>
        </w:rPr>
      </w:pPr>
      <w:r>
        <w:rPr>
          <w:rFonts w:ascii="Arial" w:cs="Arial" w:eastAsia="Arial" w:hAnsi="Arial"/>
          <w:sz w:val="17"/>
          <w:szCs w:val="17"/>
          <w:color w:val="auto"/>
        </w:rPr>
        <w:t>We recorded an income tax benefit of $0.4 million and $4.7 million for the three months ended September 30, 2022 and 2021, respectively, and an income tax benefit of $2.5 million and $92.2 million for the nine months ended September 30, 2022 and 2021, respectively. The tax benefit for the three and nine months ended September 30, 2022 is primarily the result of recognizing the benefit of DTAs previously subject to the domestic valuation allowance and the foreign income tax provision. The tax benefit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for the three and nine months ended September 30, 2021 was primarily the result of the deferred tax liability associated with acquisitions that occurred during the year and the tax liability associated with foreign subsidiaries. The net deferred tax liabilities recorded in connection with the prior year acquisitions and our current year taxable income provided sources of taxable income to support the realizability of pre-existing DTAs. We continue to maintain a partial valuation allowance for our domestic DTAs.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Operating and Financial Performance Metrics</w:t>
      </w:r>
    </w:p>
    <w:p>
      <w:pPr>
        <w:spacing w:after="0" w:line="108" w:lineRule="exact"/>
        <w:rPr>
          <w:sz w:val="20"/>
          <w:szCs w:val="20"/>
          <w:color w:val="auto"/>
        </w:rPr>
      </w:pPr>
    </w:p>
    <w:p>
      <w:pPr>
        <w:ind w:right="80" w:firstLine="621"/>
        <w:spacing w:after="0" w:line="285" w:lineRule="auto"/>
        <w:rPr>
          <w:sz w:val="20"/>
          <w:szCs w:val="20"/>
          <w:color w:val="auto"/>
        </w:rPr>
      </w:pPr>
      <w:r>
        <w:rPr>
          <w:rFonts w:ascii="Arial" w:cs="Arial" w:eastAsia="Arial" w:hAnsi="Arial"/>
          <w:sz w:val="16"/>
          <w:szCs w:val="16"/>
          <w:color w:val="auto"/>
        </w:rPr>
        <w:t>In addition to our GAAP results, we review non-GAAP financial measures, including Revenue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and net income (loss) are discussed above under the headings "Components of Our Results of Operations" and "Results of Operations."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0"/>
              </w:rPr>
              <w:t>Three Months Ended</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Nine Months Ended</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6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September 30, 2022</w:t>
            </w:r>
          </w:p>
        </w:tc>
        <w:tc>
          <w:tcPr>
            <w:tcW w:w="1400" w:type="dxa"/>
            <w:vAlign w:val="bottom"/>
            <w:gridSpan w:val="2"/>
            <w:vMerge w:val="restart"/>
          </w:tcPr>
          <w:p>
            <w:pPr>
              <w:jc w:val="right"/>
              <w:ind w:right="74"/>
              <w:spacing w:after="0"/>
              <w:rPr>
                <w:sz w:val="20"/>
                <w:szCs w:val="20"/>
                <w:color w:val="auto"/>
              </w:rPr>
            </w:pPr>
            <w:r>
              <w:rPr>
                <w:rFonts w:ascii="Arial" w:cs="Arial" w:eastAsia="Arial" w:hAnsi="Arial"/>
                <w:sz w:val="14"/>
                <w:szCs w:val="14"/>
                <w:b w:val="1"/>
                <w:bCs w:val="1"/>
                <w:color w:val="auto"/>
                <w:w w:val="93"/>
              </w:rPr>
              <w:t>September 30, 2021</w:t>
            </w:r>
          </w:p>
        </w:tc>
        <w:tc>
          <w:tcPr>
            <w:tcW w:w="124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91"/>
              </w:rPr>
              <w:t>Favorable/</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September 30, 2022</w:t>
            </w:r>
          </w:p>
        </w:tc>
        <w:tc>
          <w:tcPr>
            <w:tcW w:w="13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4"/>
              </w:rPr>
              <w:t>September 30, 2021</w:t>
            </w:r>
          </w:p>
        </w:tc>
        <w:tc>
          <w:tcPr>
            <w:tcW w:w="12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Favorable/</w:t>
            </w:r>
          </w:p>
        </w:tc>
        <w:tc>
          <w:tcPr>
            <w:tcW w:w="0" w:type="dxa"/>
            <w:vAlign w:val="bottom"/>
          </w:tcPr>
          <w:p>
            <w:pPr>
              <w:spacing w:after="0"/>
              <w:rPr>
                <w:sz w:val="1"/>
                <w:szCs w:val="1"/>
                <w:color w:val="auto"/>
              </w:rPr>
            </w:pPr>
          </w:p>
        </w:tc>
      </w:tr>
      <w:tr>
        <w:trPr>
          <w:trHeight w:val="185"/>
        </w:trPr>
        <w:tc>
          <w:tcPr>
            <w:tcW w:w="36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(Unfavorable)</w:t>
            </w:r>
          </w:p>
        </w:tc>
        <w:tc>
          <w:tcPr>
            <w:tcW w:w="124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(Unfavorable)</w:t>
            </w:r>
          </w:p>
        </w:tc>
        <w:tc>
          <w:tcPr>
            <w:tcW w:w="0" w:type="dxa"/>
            <w:vAlign w:val="bottom"/>
          </w:tcPr>
          <w:p>
            <w:pPr>
              <w:spacing w:after="0"/>
              <w:rPr>
                <w:sz w:val="1"/>
                <w:szCs w:val="1"/>
                <w:color w:val="auto"/>
              </w:rPr>
            </w:pPr>
          </w:p>
        </w:tc>
      </w:tr>
      <w:tr>
        <w:trPr>
          <w:trHeight w:val="185"/>
        </w:trPr>
        <w:tc>
          <w:tcPr>
            <w:tcW w:w="36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right"/>
              <w:ind w:right="5"/>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w w:val="95"/>
              </w:rPr>
              <w:t>(in thousands)</w:t>
            </w: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Financial Measures and non-GAAP Financial</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Measures:</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00" w:type="dxa"/>
            <w:vAlign w:val="bottom"/>
          </w:tcPr>
          <w:p>
            <w:pPr>
              <w:ind w:left="220"/>
              <w:spacing w:after="0"/>
              <w:rPr>
                <w:sz w:val="20"/>
                <w:szCs w:val="20"/>
                <w:color w:val="auto"/>
              </w:rPr>
            </w:pPr>
            <w:r>
              <w:rPr>
                <w:rFonts w:ascii="Arial" w:cs="Arial" w:eastAsia="Arial" w:hAnsi="Arial"/>
                <w:sz w:val="17"/>
                <w:szCs w:val="17"/>
                <w:color w:val="auto"/>
              </w:rPr>
              <w:t>Revenue</w:t>
            </w:r>
          </w:p>
        </w:tc>
        <w:tc>
          <w:tcPr>
            <w:tcW w:w="340" w:type="dxa"/>
            <w:vAlign w:val="bottom"/>
          </w:tcPr>
          <w:p>
            <w:pPr>
              <w:jc w:val="right"/>
              <w:ind w:right="162"/>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145,815</w:t>
            </w:r>
          </w:p>
        </w:tc>
        <w:tc>
          <w:tcPr>
            <w:tcW w:w="520" w:type="dxa"/>
            <w:vAlign w:val="bottom"/>
          </w:tcPr>
          <w:p>
            <w:pPr>
              <w:jc w:val="right"/>
              <w:ind w:right="28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34"/>
              <w:spacing w:after="0"/>
              <w:rPr>
                <w:sz w:val="20"/>
                <w:szCs w:val="20"/>
                <w:color w:val="auto"/>
              </w:rPr>
            </w:pPr>
            <w:r>
              <w:rPr>
                <w:rFonts w:ascii="Arial" w:cs="Arial" w:eastAsia="Arial" w:hAnsi="Arial"/>
                <w:sz w:val="17"/>
                <w:szCs w:val="17"/>
                <w:color w:val="auto"/>
              </w:rPr>
              <w:t>131,871</w:t>
            </w:r>
          </w:p>
        </w:tc>
        <w:tc>
          <w:tcPr>
            <w:tcW w:w="1140" w:type="dxa"/>
            <w:vAlign w:val="bottom"/>
          </w:tcPr>
          <w:p>
            <w:pPr>
              <w:jc w:val="center"/>
              <w:spacing w:after="0"/>
              <w:rPr>
                <w:sz w:val="20"/>
                <w:szCs w:val="20"/>
                <w:color w:val="auto"/>
              </w:rPr>
            </w:pPr>
            <w:r>
              <w:rPr>
                <w:rFonts w:ascii="Arial" w:cs="Arial" w:eastAsia="Arial" w:hAnsi="Arial"/>
                <w:sz w:val="17"/>
                <w:szCs w:val="17"/>
                <w:color w:val="auto"/>
                <w:w w:val="93"/>
              </w:rPr>
              <w:t>11%</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7"/>
                <w:szCs w:val="17"/>
                <w:color w:val="auto"/>
              </w:rPr>
              <w:t>$</w:t>
            </w:r>
          </w:p>
        </w:tc>
        <w:tc>
          <w:tcPr>
            <w:tcW w:w="900" w:type="dxa"/>
            <w:vAlign w:val="bottom"/>
          </w:tcPr>
          <w:p>
            <w:pPr>
              <w:ind w:left="220"/>
              <w:spacing w:after="0"/>
              <w:rPr>
                <w:sz w:val="20"/>
                <w:szCs w:val="20"/>
                <w:color w:val="auto"/>
              </w:rPr>
            </w:pPr>
            <w:r>
              <w:rPr>
                <w:rFonts w:ascii="Arial" w:cs="Arial" w:eastAsia="Arial" w:hAnsi="Arial"/>
                <w:sz w:val="17"/>
                <w:szCs w:val="17"/>
                <w:color w:val="auto"/>
              </w:rPr>
              <w:t>401,670</w:t>
            </w:r>
          </w:p>
        </w:tc>
        <w:tc>
          <w:tcPr>
            <w:tcW w:w="520" w:type="dxa"/>
            <w:vAlign w:val="bottom"/>
          </w:tcPr>
          <w:p>
            <w:pPr>
              <w:ind w:left="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307,127</w:t>
            </w:r>
          </w:p>
        </w:tc>
        <w:tc>
          <w:tcPr>
            <w:tcW w:w="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3"/>
              </w:rPr>
              <w:t>31%</w:t>
            </w:r>
          </w:p>
        </w:tc>
        <w:tc>
          <w:tcPr>
            <w:tcW w:w="0" w:type="dxa"/>
            <w:vAlign w:val="bottom"/>
          </w:tcPr>
          <w:p>
            <w:pPr>
              <w:spacing w:after="0"/>
              <w:rPr>
                <w:sz w:val="1"/>
                <w:szCs w:val="1"/>
                <w:color w:val="auto"/>
              </w:rPr>
            </w:pPr>
          </w:p>
        </w:tc>
      </w:tr>
      <w:tr>
        <w:trPr>
          <w:trHeight w:val="220"/>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Revenue ex-TAC</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127,650</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114,064</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7"/>
              </w:rPr>
              <w:t>357,998</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274,356</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30%</w:t>
            </w:r>
          </w:p>
        </w:tc>
        <w:tc>
          <w:tcPr>
            <w:tcW w:w="0" w:type="dxa"/>
            <w:vAlign w:val="bottom"/>
          </w:tcPr>
          <w:p>
            <w:pPr>
              <w:spacing w:after="0"/>
              <w:rPr>
                <w:sz w:val="1"/>
                <w:szCs w:val="1"/>
                <w:color w:val="auto"/>
              </w:rPr>
            </w:pPr>
          </w:p>
        </w:tc>
      </w:tr>
      <w:tr>
        <w:trPr>
          <w:trHeight w:val="220"/>
        </w:trPr>
        <w:tc>
          <w:tcPr>
            <w:tcW w:w="3600" w:type="dxa"/>
            <w:vAlign w:val="bottom"/>
          </w:tcPr>
          <w:p>
            <w:pPr>
              <w:ind w:left="220"/>
              <w:spacing w:after="0"/>
              <w:rPr>
                <w:sz w:val="20"/>
                <w:szCs w:val="20"/>
                <w:color w:val="auto"/>
              </w:rPr>
            </w:pPr>
            <w:r>
              <w:rPr>
                <w:rFonts w:ascii="Arial" w:cs="Arial" w:eastAsia="Arial" w:hAnsi="Arial"/>
                <w:sz w:val="17"/>
                <w:szCs w:val="17"/>
                <w:color w:val="auto"/>
              </w:rPr>
              <w:t>Gross profit</w:t>
            </w:r>
          </w:p>
        </w:tc>
        <w:tc>
          <w:tcPr>
            <w:tcW w:w="34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74,062</w:t>
            </w:r>
          </w:p>
        </w:tc>
        <w:tc>
          <w:tcPr>
            <w:tcW w:w="520" w:type="dxa"/>
            <w:vAlign w:val="bottom"/>
          </w:tcPr>
          <w:p>
            <w:pPr>
              <w:spacing w:after="0"/>
              <w:rPr>
                <w:sz w:val="19"/>
                <w:szCs w:val="19"/>
                <w:color w:val="auto"/>
              </w:rPr>
            </w:pPr>
          </w:p>
        </w:tc>
        <w:tc>
          <w:tcPr>
            <w:tcW w:w="880" w:type="dxa"/>
            <w:vAlign w:val="bottom"/>
          </w:tcPr>
          <w:p>
            <w:pPr>
              <w:jc w:val="right"/>
              <w:ind w:right="134"/>
              <w:spacing w:after="0"/>
              <w:rPr>
                <w:sz w:val="20"/>
                <w:szCs w:val="20"/>
                <w:color w:val="auto"/>
              </w:rPr>
            </w:pPr>
            <w:r>
              <w:rPr>
                <w:rFonts w:ascii="Arial" w:cs="Arial" w:eastAsia="Arial" w:hAnsi="Arial"/>
                <w:sz w:val="17"/>
                <w:szCs w:val="17"/>
                <w:color w:val="auto"/>
              </w:rPr>
              <w:t>68,330</w:t>
            </w:r>
          </w:p>
        </w:tc>
        <w:tc>
          <w:tcPr>
            <w:tcW w:w="1140" w:type="dxa"/>
            <w:vAlign w:val="bottom"/>
          </w:tcPr>
          <w:p>
            <w:pPr>
              <w:jc w:val="center"/>
              <w:spacing w:after="0"/>
              <w:rPr>
                <w:sz w:val="20"/>
                <w:szCs w:val="20"/>
                <w:color w:val="auto"/>
              </w:rPr>
            </w:pPr>
            <w:r>
              <w:rPr>
                <w:rFonts w:ascii="Arial" w:cs="Arial" w:eastAsia="Arial" w:hAnsi="Arial"/>
                <w:sz w:val="17"/>
                <w:szCs w:val="17"/>
                <w:color w:val="auto"/>
                <w:w w:val="97"/>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ind w:left="220"/>
              <w:spacing w:after="0"/>
              <w:rPr>
                <w:sz w:val="20"/>
                <w:szCs w:val="20"/>
                <w:color w:val="auto"/>
              </w:rPr>
            </w:pPr>
            <w:r>
              <w:rPr>
                <w:rFonts w:ascii="Arial" w:cs="Arial" w:eastAsia="Arial" w:hAnsi="Arial"/>
                <w:sz w:val="17"/>
                <w:szCs w:val="17"/>
                <w:color w:val="auto"/>
              </w:rPr>
              <w:t>205,520</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172,304</w:t>
            </w:r>
          </w:p>
        </w:tc>
        <w:tc>
          <w:tcPr>
            <w:tcW w:w="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3"/>
              </w:rPr>
              <w:t>19%</w:t>
            </w:r>
          </w:p>
        </w:tc>
        <w:tc>
          <w:tcPr>
            <w:tcW w:w="0" w:type="dxa"/>
            <w:vAlign w:val="bottom"/>
          </w:tcPr>
          <w:p>
            <w:pPr>
              <w:spacing w:after="0"/>
              <w:rPr>
                <w:sz w:val="1"/>
                <w:szCs w:val="1"/>
                <w:color w:val="auto"/>
              </w:rPr>
            </w:pPr>
          </w:p>
        </w:tc>
      </w:tr>
      <w:tr>
        <w:trPr>
          <w:trHeight w:val="220"/>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loss</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(24,391)</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(24,319)</w:t>
            </w:r>
          </w:p>
        </w:tc>
        <w:tc>
          <w:tcPr>
            <w:tcW w:w="124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99"/>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(93,938)</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(24,111)%</w:t>
            </w:r>
          </w:p>
        </w:tc>
        <w:tc>
          <w:tcPr>
            <w:tcW w:w="0" w:type="dxa"/>
            <w:vAlign w:val="bottom"/>
          </w:tcPr>
          <w:p>
            <w:pPr>
              <w:spacing w:after="0"/>
              <w:rPr>
                <w:sz w:val="1"/>
                <w:szCs w:val="1"/>
                <w:color w:val="auto"/>
              </w:rPr>
            </w:pPr>
          </w:p>
        </w:tc>
      </w:tr>
      <w:tr>
        <w:trPr>
          <w:trHeight w:val="220"/>
        </w:trPr>
        <w:tc>
          <w:tcPr>
            <w:tcW w:w="3600" w:type="dxa"/>
            <w:vAlign w:val="bottom"/>
          </w:tcPr>
          <w:p>
            <w:pPr>
              <w:ind w:left="220"/>
              <w:spacing w:after="0"/>
              <w:rPr>
                <w:sz w:val="20"/>
                <w:szCs w:val="20"/>
                <w:color w:val="auto"/>
              </w:rPr>
            </w:pPr>
            <w:r>
              <w:rPr>
                <w:rFonts w:ascii="Arial" w:cs="Arial" w:eastAsia="Arial" w:hAnsi="Arial"/>
                <w:sz w:val="17"/>
                <w:szCs w:val="17"/>
                <w:color w:val="auto"/>
              </w:rPr>
              <w:t>Adjusted EBITDA</w:t>
            </w:r>
          </w:p>
        </w:tc>
        <w:tc>
          <w:tcPr>
            <w:tcW w:w="34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44,400</w:t>
            </w:r>
          </w:p>
        </w:tc>
        <w:tc>
          <w:tcPr>
            <w:tcW w:w="520" w:type="dxa"/>
            <w:vAlign w:val="bottom"/>
          </w:tcPr>
          <w:p>
            <w:pPr>
              <w:spacing w:after="0"/>
              <w:rPr>
                <w:sz w:val="19"/>
                <w:szCs w:val="19"/>
                <w:color w:val="auto"/>
              </w:rPr>
            </w:pPr>
          </w:p>
        </w:tc>
        <w:tc>
          <w:tcPr>
            <w:tcW w:w="880" w:type="dxa"/>
            <w:vAlign w:val="bottom"/>
          </w:tcPr>
          <w:p>
            <w:pPr>
              <w:jc w:val="right"/>
              <w:ind w:right="134"/>
              <w:spacing w:after="0"/>
              <w:rPr>
                <w:sz w:val="20"/>
                <w:szCs w:val="20"/>
                <w:color w:val="auto"/>
              </w:rPr>
            </w:pPr>
            <w:r>
              <w:rPr>
                <w:rFonts w:ascii="Arial" w:cs="Arial" w:eastAsia="Arial" w:hAnsi="Arial"/>
                <w:sz w:val="17"/>
                <w:szCs w:val="17"/>
                <w:color w:val="auto"/>
              </w:rPr>
              <w:t>39,966</w:t>
            </w:r>
          </w:p>
        </w:tc>
        <w:tc>
          <w:tcPr>
            <w:tcW w:w="1140" w:type="dxa"/>
            <w:vAlign w:val="bottom"/>
          </w:tcPr>
          <w:p>
            <w:pPr>
              <w:jc w:val="center"/>
              <w:spacing w:after="0"/>
              <w:rPr>
                <w:sz w:val="20"/>
                <w:szCs w:val="20"/>
                <w:color w:val="auto"/>
              </w:rPr>
            </w:pPr>
            <w:r>
              <w:rPr>
                <w:rFonts w:ascii="Arial" w:cs="Arial" w:eastAsia="Arial" w:hAnsi="Arial"/>
                <w:sz w:val="17"/>
                <w:szCs w:val="17"/>
                <w:color w:val="auto"/>
                <w:w w:val="93"/>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7"/>
                <w:szCs w:val="17"/>
                <w:color w:val="auto"/>
              </w:rPr>
              <w:t>114,562</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81,121</w:t>
            </w:r>
          </w:p>
        </w:tc>
        <w:tc>
          <w:tcPr>
            <w:tcW w:w="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3"/>
              </w:rPr>
              <w:t>41%</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Revenue ex-TAC</w:t>
      </w:r>
    </w:p>
    <w:p>
      <w:pPr>
        <w:spacing w:after="0" w:line="95" w:lineRule="exact"/>
        <w:rPr>
          <w:sz w:val="20"/>
          <w:szCs w:val="20"/>
          <w:color w:val="auto"/>
        </w:rPr>
      </w:pPr>
    </w:p>
    <w:p>
      <w:pPr>
        <w:ind w:right="20" w:firstLine="621"/>
        <w:spacing w:after="0" w:line="304" w:lineRule="auto"/>
        <w:rPr>
          <w:sz w:val="20"/>
          <w:szCs w:val="20"/>
          <w:color w:val="auto"/>
        </w:rPr>
      </w:pPr>
      <w:r>
        <w:rPr>
          <w:rFonts w:ascii="Arial" w:cs="Arial" w:eastAsia="Arial" w:hAnsi="Arial"/>
          <w:sz w:val="15"/>
          <w:szCs w:val="15"/>
          <w:color w:val="auto"/>
        </w:rPr>
        <w:t>Revenue ex-TAC is revenue excluding traffic acquisition cost ("TAC"). Traffic acquisition cost, a component of cost of revenue, represents what we must pay sellers for the sale of advertising inventory through our platform for revenue reported on a gross basis. In calculating Revenue ex-TAC, we add back the cost of revenue, excluding TAC, to gross profit, the most comparable GAAP measurement. Revenue ex-TAC is a non-GAAP financial measure. Our management believes Revenue ex-TAC is a useful measure in assessing the performance of Magnite as a combined company following the SpotX Acquisition and facilitates a consistent comparison against our core business without considering the impact of traffic acquisition costs related to revenue reported on a gross basis.</w:t>
      </w:r>
    </w:p>
    <w:p>
      <w:pPr>
        <w:spacing w:after="0" w:line="33" w:lineRule="exact"/>
        <w:rPr>
          <w:sz w:val="20"/>
          <w:szCs w:val="20"/>
          <w:color w:val="auto"/>
        </w:rPr>
      </w:pPr>
    </w:p>
    <w:p>
      <w:pPr>
        <w:ind w:right="100" w:firstLine="621"/>
        <w:spacing w:after="0" w:line="257" w:lineRule="auto"/>
        <w:rPr>
          <w:sz w:val="20"/>
          <w:szCs w:val="20"/>
          <w:color w:val="auto"/>
        </w:rPr>
      </w:pPr>
      <w:r>
        <w:rPr>
          <w:rFonts w:ascii="Arial" w:cs="Arial" w:eastAsia="Arial" w:hAnsi="Arial"/>
          <w:sz w:val="17"/>
          <w:szCs w:val="17"/>
          <w:color w:val="auto"/>
        </w:rPr>
        <w:t>Our use of Revenue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Revenue ex-TAC differently, which may make comparisons difficult. Because of these and other limitations, you should consider our non-GAAP measures only as supplemental to GAAP-based financial performance measures, including revenue, net income (loss) and cash flows.</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the calculation of gross profit and reconciliation of gross profit to Revenue ex-TAC for the three and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and 2021:</w:t>
      </w:r>
    </w:p>
    <w:p>
      <w:pPr>
        <w:spacing w:after="0" w:line="377" w:lineRule="exact"/>
        <w:rPr>
          <w:sz w:val="20"/>
          <w:szCs w:val="20"/>
          <w:color w:val="auto"/>
        </w:rPr>
      </w:pPr>
    </w:p>
    <w:p>
      <w:pPr>
        <w:ind w:left="4980"/>
        <w:spacing w:after="0"/>
        <w:tabs>
          <w:tab w:leader="none" w:pos="878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1"/>
          <w:szCs w:val="11"/>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27305</wp:posOffset>
            </wp:positionV>
            <wp:extent cx="47478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4789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59" w:lineRule="exact"/>
        <w:rPr>
          <w:sz w:val="20"/>
          <w:szCs w:val="20"/>
          <w:color w:val="auto"/>
        </w:rPr>
      </w:pPr>
    </w:p>
    <w:p>
      <w:pPr>
        <w:ind w:left="3800"/>
        <w:spacing w:after="0"/>
        <w:tabs>
          <w:tab w:leader="none" w:pos="5100" w:val="left"/>
          <w:tab w:leader="none" w:pos="6600" w:val="left"/>
        </w:tabs>
        <w:rPr>
          <w:sz w:val="20"/>
          <w:szCs w:val="20"/>
          <w:color w:val="auto"/>
        </w:rPr>
      </w:pPr>
      <w:r>
        <w:rPr>
          <w:rFonts w:ascii="Arial" w:cs="Arial" w:eastAsia="Arial" w:hAnsi="Arial"/>
          <w:sz w:val="14"/>
          <w:szCs w:val="14"/>
          <w:b w:val="1"/>
          <w:bCs w:val="1"/>
          <w:color w:val="auto"/>
        </w:rPr>
        <w:t>September 30, 2022</w:t>
        <w:tab/>
        <w:t>September 30, 2021</w:t>
      </w:r>
      <w:r>
        <w:rPr>
          <w:sz w:val="20"/>
          <w:szCs w:val="20"/>
          <w:color w:val="auto"/>
        </w:rPr>
        <w:tab/>
      </w:r>
      <w:r>
        <w:rPr>
          <w:rFonts w:ascii="Arial" w:cs="Arial" w:eastAsia="Arial" w:hAnsi="Arial"/>
          <w:sz w:val="11"/>
          <w:szCs w:val="11"/>
          <w:b w:val="1"/>
          <w:bCs w:val="1"/>
          <w:color w:val="auto"/>
        </w:rPr>
        <w:t>Change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27305</wp:posOffset>
            </wp:positionV>
            <wp:extent cx="23329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32990" cy="8255"/>
                    </a:xfrm>
                    <a:prstGeom prst="rect">
                      <a:avLst/>
                    </a:prstGeom>
                    <a:noFill/>
                  </pic:spPr>
                </pic:pic>
              </a:graphicData>
            </a:graphic>
          </wp:anchor>
        </w:drawing>
      </w:r>
    </w:p>
    <w:p>
      <w:pPr>
        <w:spacing w:after="0" w:line="26"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tabs>
          <w:tab w:leader="none" w:pos="1300" w:val="left"/>
          <w:tab w:leader="none" w:pos="2800" w:val="left"/>
        </w:tabs>
        <w:rPr>
          <w:sz w:val="20"/>
          <w:szCs w:val="20"/>
          <w:color w:val="auto"/>
        </w:rPr>
      </w:pPr>
      <w:r>
        <w:rPr>
          <w:rFonts w:ascii="Arial" w:cs="Arial" w:eastAsia="Arial" w:hAnsi="Arial"/>
          <w:sz w:val="14"/>
          <w:szCs w:val="14"/>
          <w:b w:val="1"/>
          <w:bCs w:val="1"/>
          <w:color w:val="auto"/>
        </w:rPr>
        <w:t>September 30, 2022</w:t>
        <w:tab/>
        <w:t>September 30, 2021</w:t>
      </w:r>
      <w:r>
        <w:rPr>
          <w:sz w:val="20"/>
          <w:szCs w:val="20"/>
          <w:color w:val="auto"/>
        </w:rPr>
        <w:tab/>
      </w:r>
      <w:r>
        <w:rPr>
          <w:rFonts w:ascii="Arial" w:cs="Arial" w:eastAsia="Arial" w:hAnsi="Arial"/>
          <w:sz w:val="13"/>
          <w:szCs w:val="13"/>
          <w:b w:val="1"/>
          <w:bCs w:val="1"/>
          <w:color w:val="auto"/>
        </w:rPr>
        <w:t>Change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27305</wp:posOffset>
            </wp:positionV>
            <wp:extent cx="23577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26"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(in thousands)</w:t>
      </w:r>
    </w:p>
    <w:p>
      <w:pPr>
        <w:spacing w:after="0" w:line="43" w:lineRule="exact"/>
        <w:rPr>
          <w:sz w:val="20"/>
          <w:szCs w:val="20"/>
          <w:color w:val="auto"/>
        </w:rPr>
      </w:pPr>
    </w:p>
    <w:p>
      <w:pPr>
        <w:sectPr>
          <w:pgSz w:w="11900" w:h="16838" w:orient="portrait"/>
          <w:cols w:equalWidth="0" w:num="2">
            <w:col w:w="7240" w:space="340"/>
            <w:col w:w="366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145,815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131,871</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11 %</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401,670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307,127</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31 %</w:t>
            </w:r>
          </w:p>
        </w:tc>
      </w:tr>
      <w:tr>
        <w:trPr>
          <w:trHeight w:val="220"/>
        </w:trPr>
        <w:tc>
          <w:tcPr>
            <w:tcW w:w="37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Less: Cost of revenue</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71,753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63,541</w:t>
            </w:r>
          </w:p>
        </w:tc>
        <w:tc>
          <w:tcPr>
            <w:tcW w:w="1220" w:type="dxa"/>
            <w:vAlign w:val="bottom"/>
            <w:tcBorders>
              <w:bottom w:val="single" w:sz="8" w:color="CCEEFF"/>
            </w:tcBorders>
          </w:tcPr>
          <w:p>
            <w:pPr>
              <w:jc w:val="right"/>
              <w:ind w:right="34"/>
              <w:spacing w:after="0"/>
              <w:rPr>
                <w:sz w:val="20"/>
                <w:szCs w:val="20"/>
                <w:color w:val="auto"/>
              </w:rPr>
            </w:pPr>
            <w:r>
              <w:rPr>
                <w:rFonts w:ascii="Arial" w:cs="Arial" w:eastAsia="Arial" w:hAnsi="Arial"/>
                <w:sz w:val="17"/>
                <w:szCs w:val="17"/>
                <w:color w:val="auto"/>
              </w:rPr>
              <w:t>13 %</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196,150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134,823</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45 %</w:t>
            </w:r>
          </w:p>
        </w:tc>
      </w:tr>
      <w:tr>
        <w:trPr>
          <w:trHeight w:val="213"/>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74,062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68,330</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8 %</w:t>
            </w: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205,520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172,304</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19 %</w:t>
            </w:r>
          </w:p>
        </w:tc>
      </w:tr>
      <w:tr>
        <w:trPr>
          <w:trHeight w:val="213"/>
        </w:trPr>
        <w:tc>
          <w:tcPr>
            <w:tcW w:w="37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Add back: Cost of revenue, excluding TAC</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53,588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45,734</w:t>
            </w:r>
          </w:p>
        </w:tc>
        <w:tc>
          <w:tcPr>
            <w:tcW w:w="1220" w:type="dxa"/>
            <w:vAlign w:val="bottom"/>
            <w:tcBorders>
              <w:bottom w:val="single" w:sz="8" w:color="CCEEFF"/>
            </w:tcBorders>
          </w:tcPr>
          <w:p>
            <w:pPr>
              <w:jc w:val="right"/>
              <w:ind w:right="34"/>
              <w:spacing w:after="0"/>
              <w:rPr>
                <w:sz w:val="20"/>
                <w:szCs w:val="20"/>
                <w:color w:val="auto"/>
              </w:rPr>
            </w:pPr>
            <w:r>
              <w:rPr>
                <w:rFonts w:ascii="Arial" w:cs="Arial" w:eastAsia="Arial" w:hAnsi="Arial"/>
                <w:sz w:val="17"/>
                <w:szCs w:val="17"/>
                <w:color w:val="auto"/>
              </w:rPr>
              <w:t>17 %</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152,478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102,052</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49 %</w:t>
            </w:r>
          </w:p>
        </w:tc>
      </w:tr>
      <w:tr>
        <w:trPr>
          <w:trHeight w:val="238"/>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 ex-TAC</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127,650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114,064</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12 %</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357,998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274,356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30 %</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813"/>
        </w:trPr>
        <w:tc>
          <w:tcPr>
            <w:tcW w:w="3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14"/>
              <w:spacing w:after="0"/>
              <w:rPr>
                <w:sz w:val="20"/>
                <w:szCs w:val="20"/>
                <w:color w:val="auto"/>
              </w:rPr>
            </w:pPr>
            <w:r>
              <w:rPr>
                <w:rFonts w:ascii="Arial" w:cs="Arial" w:eastAsia="Arial" w:hAnsi="Arial"/>
                <w:sz w:val="17"/>
                <w:szCs w:val="17"/>
                <w:color w:val="auto"/>
              </w:rPr>
              <w:t>47</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9"/>
        </w:trPr>
        <w:tc>
          <w:tcPr>
            <w:tcW w:w="37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600" w:firstLine="621"/>
        <w:spacing w:after="0" w:line="316" w:lineRule="auto"/>
        <w:rPr>
          <w:sz w:val="20"/>
          <w:szCs w:val="20"/>
          <w:color w:val="auto"/>
        </w:rPr>
      </w:pPr>
      <w:r>
        <w:rPr>
          <w:rFonts w:ascii="Arial" w:cs="Arial" w:eastAsia="Arial" w:hAnsi="Arial"/>
          <w:sz w:val="16"/>
          <w:szCs w:val="16"/>
          <w:color w:val="auto"/>
        </w:rPr>
        <w:t>We track the breakdown of Revenue ex-TAC across channels to better understand how our clients are transacting on our platform, which informs decisions as to business strategy and the allocation of resources and capital. The following table presents Revenue ex-TAC by channel:</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Revenue ex-TAC</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
        </w:trPr>
        <w:tc>
          <w:tcPr>
            <w:tcW w:w="3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0"/>
        </w:trPr>
        <w:tc>
          <w:tcPr>
            <w:tcW w:w="3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w w:val="90"/>
              </w:rPr>
              <w:t>Nine Months Ended</w:t>
            </w:r>
          </w:p>
        </w:tc>
        <w:tc>
          <w:tcPr>
            <w:tcW w:w="1140" w:type="dxa"/>
            <w:vAlign w:val="bottom"/>
            <w:tcBorders>
              <w:bottom w:val="single" w:sz="8" w:color="auto"/>
            </w:tcBorders>
          </w:tcPr>
          <w:p>
            <w:pPr>
              <w:spacing w:after="0"/>
              <w:rPr>
                <w:sz w:val="15"/>
                <w:szCs w:val="15"/>
                <w:color w:val="auto"/>
              </w:rPr>
            </w:pPr>
          </w:p>
        </w:tc>
      </w:tr>
      <w:tr>
        <w:trPr>
          <w:trHeight w:val="187"/>
        </w:trPr>
        <w:tc>
          <w:tcPr>
            <w:tcW w:w="3740" w:type="dxa"/>
            <w:vAlign w:val="bottom"/>
          </w:tcPr>
          <w:p>
            <w:pPr>
              <w:spacing w:after="0"/>
              <w:rPr>
                <w:sz w:val="16"/>
                <w:szCs w:val="16"/>
                <w:color w:val="auto"/>
              </w:rPr>
            </w:pPr>
          </w:p>
        </w:tc>
        <w:tc>
          <w:tcPr>
            <w:tcW w:w="13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3"/>
              </w:rPr>
              <w:t>September 30, 2022</w:t>
            </w: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September 30, 2021</w:t>
            </w: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Change %</w:t>
            </w:r>
          </w:p>
        </w:tc>
        <w:tc>
          <w:tcPr>
            <w:tcW w:w="13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88"/>
              </w:rPr>
              <w:t>September 30, 2022</w:t>
            </w: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September 30, 2021</w:t>
            </w:r>
          </w:p>
        </w:tc>
        <w:tc>
          <w:tcPr>
            <w:tcW w:w="11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Change %</w:t>
            </w:r>
          </w:p>
        </w:tc>
      </w:tr>
      <w:tr>
        <w:trPr>
          <w:trHeight w:val="186"/>
        </w:trPr>
        <w:tc>
          <w:tcPr>
            <w:tcW w:w="3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gridSpan w:val="3"/>
          </w:tcPr>
          <w:p>
            <w:pPr>
              <w:ind w:left="500"/>
              <w:spacing w:after="0"/>
              <w:rPr>
                <w:sz w:val="20"/>
                <w:szCs w:val="20"/>
                <w:color w:val="auto"/>
              </w:rPr>
            </w:pPr>
            <w:r>
              <w:rPr>
                <w:rFonts w:ascii="Arial" w:cs="Arial" w:eastAsia="Arial" w:hAnsi="Arial"/>
                <w:sz w:val="14"/>
                <w:szCs w:val="14"/>
                <w:b w:val="1"/>
                <w:bCs w:val="1"/>
                <w:color w:val="auto"/>
                <w:w w:val="97"/>
              </w:rPr>
              <w:t>(in thousands)</w:t>
            </w:r>
          </w:p>
        </w:tc>
        <w:tc>
          <w:tcPr>
            <w:tcW w:w="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7"/>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Channel:</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0"/>
        </w:trPr>
        <w:tc>
          <w:tcPr>
            <w:tcW w:w="3740" w:type="dxa"/>
            <w:vAlign w:val="bottom"/>
          </w:tcPr>
          <w:p>
            <w:pPr>
              <w:ind w:left="340"/>
              <w:spacing w:after="0"/>
              <w:rPr>
                <w:sz w:val="20"/>
                <w:szCs w:val="20"/>
                <w:color w:val="auto"/>
              </w:rPr>
            </w:pPr>
            <w:r>
              <w:rPr>
                <w:rFonts w:ascii="Arial" w:cs="Arial" w:eastAsia="Arial" w:hAnsi="Arial"/>
                <w:sz w:val="17"/>
                <w:szCs w:val="17"/>
                <w:color w:val="auto"/>
              </w:rPr>
              <w:t>CTV</w:t>
            </w:r>
          </w:p>
        </w:tc>
        <w:tc>
          <w:tcPr>
            <w:tcW w:w="360" w:type="dxa"/>
            <w:vAlign w:val="bottom"/>
          </w:tcPr>
          <w:p>
            <w:pPr>
              <w:jc w:val="right"/>
              <w:ind w:right="180"/>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55,761</w:t>
            </w:r>
          </w:p>
        </w:tc>
        <w:tc>
          <w:tcPr>
            <w:tcW w:w="8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43,142</w:t>
            </w:r>
          </w:p>
        </w:tc>
        <w:tc>
          <w:tcPr>
            <w:tcW w:w="1120" w:type="dxa"/>
            <w:vAlign w:val="bottom"/>
          </w:tcPr>
          <w:p>
            <w:pPr>
              <w:jc w:val="right"/>
              <w:spacing w:after="0"/>
              <w:rPr>
                <w:sz w:val="20"/>
                <w:szCs w:val="20"/>
                <w:color w:val="auto"/>
              </w:rPr>
            </w:pPr>
            <w:r>
              <w:rPr>
                <w:rFonts w:ascii="Arial" w:cs="Arial" w:eastAsia="Arial" w:hAnsi="Arial"/>
                <w:sz w:val="17"/>
                <w:szCs w:val="17"/>
                <w:color w:val="auto"/>
              </w:rPr>
              <w:t>29 %</w:t>
            </w:r>
          </w:p>
        </w:tc>
        <w:tc>
          <w:tcPr>
            <w:tcW w:w="640" w:type="dxa"/>
            <w:vAlign w:val="bottom"/>
          </w:tcPr>
          <w:p>
            <w:pPr>
              <w:jc w:val="right"/>
              <w:ind w:right="3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150,180</w:t>
            </w:r>
          </w:p>
        </w:tc>
        <w:tc>
          <w:tcPr>
            <w:tcW w:w="20" w:type="dxa"/>
            <w:vAlign w:val="bottom"/>
          </w:tcPr>
          <w:p>
            <w:pPr>
              <w:spacing w:after="0"/>
              <w:rPr>
                <w:sz w:val="19"/>
                <w:szCs w:val="19"/>
                <w:color w:val="auto"/>
              </w:rPr>
            </w:pPr>
          </w:p>
        </w:tc>
        <w:tc>
          <w:tcPr>
            <w:tcW w:w="560" w:type="dxa"/>
            <w:vAlign w:val="bottom"/>
            <w:gridSpan w:val="2"/>
          </w:tcPr>
          <w:p>
            <w:pPr>
              <w:jc w:val="right"/>
              <w:ind w:right="311"/>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89,382</w:t>
            </w:r>
          </w:p>
        </w:tc>
        <w:tc>
          <w:tcPr>
            <w:tcW w:w="1140" w:type="dxa"/>
            <w:vAlign w:val="bottom"/>
          </w:tcPr>
          <w:p>
            <w:pPr>
              <w:jc w:val="right"/>
              <w:spacing w:after="0"/>
              <w:rPr>
                <w:sz w:val="20"/>
                <w:szCs w:val="20"/>
                <w:color w:val="auto"/>
              </w:rPr>
            </w:pPr>
            <w:r>
              <w:rPr>
                <w:rFonts w:ascii="Arial" w:cs="Arial" w:eastAsia="Arial" w:hAnsi="Arial"/>
                <w:sz w:val="17"/>
                <w:szCs w:val="17"/>
                <w:color w:val="auto"/>
              </w:rPr>
              <w:t>68 %</w:t>
            </w:r>
          </w:p>
        </w:tc>
      </w:tr>
      <w:tr>
        <w:trPr>
          <w:trHeight w:val="220"/>
        </w:trPr>
        <w:tc>
          <w:tcPr>
            <w:tcW w:w="3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Desktop</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27,155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29,192</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76,566</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w:t>
            </w:r>
          </w:p>
        </w:tc>
      </w:tr>
      <w:tr>
        <w:trPr>
          <w:trHeight w:val="220"/>
        </w:trPr>
        <w:tc>
          <w:tcPr>
            <w:tcW w:w="37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Mobile</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44,734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41,730</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7 %</w:t>
            </w:r>
          </w:p>
        </w:tc>
        <w:tc>
          <w:tcPr>
            <w:tcW w:w="6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126,999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108,408</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17 %</w:t>
            </w:r>
          </w:p>
        </w:tc>
      </w:tr>
      <w:tr>
        <w:trPr>
          <w:trHeight w:val="233"/>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127,650</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114,064</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640" w:type="dxa"/>
            <w:vAlign w:val="bottom"/>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357,998</w:t>
            </w:r>
          </w:p>
        </w:tc>
        <w:tc>
          <w:tcPr>
            <w:tcW w:w="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11"/>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274,356</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both"/>
        <w:ind w:right="160" w:firstLine="621"/>
        <w:spacing w:after="0" w:line="268" w:lineRule="auto"/>
        <w:rPr>
          <w:sz w:val="20"/>
          <w:szCs w:val="20"/>
          <w:color w:val="auto"/>
        </w:rPr>
      </w:pPr>
      <w:r>
        <w:rPr>
          <w:rFonts w:ascii="Arial" w:cs="Arial" w:eastAsia="Arial" w:hAnsi="Arial"/>
          <w:sz w:val="17"/>
          <w:szCs w:val="17"/>
          <w:color w:val="auto"/>
        </w:rPr>
        <w:t>Revenue ex-TAC increased $13.6 million, or 12%, for the three months ended September 30, 2022 compared to the three months ended September 30, 2021. The increase in Revenue ex-TAC was primarily due to growth in CTV and mobile. This was partially offset by a 7% year-over-year decline in our desktop business.</w:t>
      </w:r>
    </w:p>
    <w:p>
      <w:pPr>
        <w:spacing w:after="0" w:line="57" w:lineRule="exact"/>
        <w:rPr>
          <w:sz w:val="20"/>
          <w:szCs w:val="20"/>
          <w:color w:val="auto"/>
        </w:rPr>
      </w:pPr>
    </w:p>
    <w:p>
      <w:pPr>
        <w:ind w:right="200" w:firstLine="621"/>
        <w:spacing w:after="0" w:line="268" w:lineRule="auto"/>
        <w:rPr>
          <w:sz w:val="20"/>
          <w:szCs w:val="20"/>
          <w:color w:val="auto"/>
        </w:rPr>
      </w:pPr>
      <w:r>
        <w:rPr>
          <w:rFonts w:ascii="Arial" w:cs="Arial" w:eastAsia="Arial" w:hAnsi="Arial"/>
          <w:sz w:val="17"/>
          <w:szCs w:val="17"/>
          <w:color w:val="auto"/>
        </w:rPr>
        <w:t>Revenue ex-TAC increased $83.6 million, or 30%, for the nine months ended September 30, 2022 compared to the nine months ended September 30, 2021. The increase in Revenue ex-TAC was primarily due to incremental revenue from the SpotX Acquisition, which was completed on April 30, 2021, and the SpringServe Acquisition, which was completed on July 1, 2021, and growth in CTV and mobile.</w:t>
      </w:r>
    </w:p>
    <w:p>
      <w:pPr>
        <w:spacing w:after="0" w:line="57" w:lineRule="exact"/>
        <w:rPr>
          <w:sz w:val="20"/>
          <w:szCs w:val="20"/>
          <w:color w:val="auto"/>
        </w:rPr>
      </w:pPr>
    </w:p>
    <w:p>
      <w:pPr>
        <w:ind w:right="20" w:firstLine="621"/>
        <w:spacing w:after="0" w:line="281" w:lineRule="auto"/>
        <w:rPr>
          <w:sz w:val="20"/>
          <w:szCs w:val="20"/>
          <w:color w:val="auto"/>
        </w:rPr>
      </w:pPr>
      <w:r>
        <w:rPr>
          <w:rFonts w:ascii="Arial" w:cs="Arial" w:eastAsia="Arial" w:hAnsi="Arial"/>
          <w:sz w:val="16"/>
          <w:szCs w:val="16"/>
          <w:color w:val="auto"/>
        </w:rPr>
        <w:t>We expect Revenue ex-TAC to increase through the remainder of 2022 as compared to the same period in the prior year. We believe that CTV will be our biggest growth driver in future periods and continue to represent a higher percentage of our overall Revenue ex-TAC, with mobile as our second biggest driver. Our mobile business consists of two components, mobile web and mobile applications. Initially our mobile business consisted primarily of mobile web, which is similar to our desktop business, but our mobile application business has been the growth driver behind our mobile business. We therefore expect our growth within mobile to come largely from our mobile applications business and, in particular, mobile in-app video.</w:t>
      </w:r>
    </w:p>
    <w:p>
      <w:pPr>
        <w:spacing w:after="0" w:line="35" w:lineRule="exact"/>
        <w:rPr>
          <w:sz w:val="20"/>
          <w:szCs w:val="20"/>
          <w:color w:val="auto"/>
        </w:rPr>
      </w:pPr>
    </w:p>
    <w:p>
      <w:pPr>
        <w:ind w:right="20" w:firstLine="621"/>
        <w:spacing w:after="0" w:line="285" w:lineRule="auto"/>
        <w:rPr>
          <w:sz w:val="20"/>
          <w:szCs w:val="20"/>
          <w:color w:val="auto"/>
        </w:rPr>
      </w:pPr>
      <w:r>
        <w:rPr>
          <w:rFonts w:ascii="Arial" w:cs="Arial" w:eastAsia="Arial" w:hAnsi="Arial"/>
          <w:sz w:val="16"/>
          <w:szCs w:val="16"/>
          <w:color w:val="auto"/>
        </w:rPr>
        <w:t>Lower industry growth rates in desktop will make growing desktop Revenue ex-TAC more challenging; however, in future periods we believe we will be able to grow our desktop business in excess of industry projections by capturing market share through SPO and expansion of publisher relationships. We expect our desktop business to decline as an overall percentage of our revenue in future periods. However, we expect that it will continue to represent a significant part of our Revenue ex-TAC in the near term. Therefore, the mix of our desktop business will continue to dampen our overall growth rate.</w:t>
      </w:r>
    </w:p>
    <w:p>
      <w:pPr>
        <w:spacing w:after="0" w:line="3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Adjusted EBITDA</w:t>
      </w:r>
    </w:p>
    <w:p>
      <w:pPr>
        <w:spacing w:after="0" w:line="250" w:lineRule="exact"/>
        <w:rPr>
          <w:sz w:val="20"/>
          <w:szCs w:val="20"/>
          <w:color w:val="auto"/>
        </w:rPr>
      </w:pPr>
    </w:p>
    <w:p>
      <w:pPr>
        <w:ind w:right="40" w:firstLine="621"/>
        <w:spacing w:after="0" w:line="261" w:lineRule="auto"/>
        <w:rPr>
          <w:sz w:val="20"/>
          <w:szCs w:val="20"/>
          <w:color w:val="auto"/>
        </w:rPr>
      </w:pPr>
      <w:r>
        <w:rPr>
          <w:rFonts w:ascii="Arial" w:cs="Arial" w:eastAsia="Arial" w:hAnsi="Arial"/>
          <w:sz w:val="17"/>
          <w:szCs w:val="17"/>
          <w:color w:val="auto"/>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non-operational real estate expense (income), net, and provision (benefit) for income taxes. We believe Adjusted EBITDA is useful to investors in evaluating our performance for the following reasons:</w:t>
      </w:r>
    </w:p>
    <w:p>
      <w:pPr>
        <w:spacing w:after="0" w:line="63" w:lineRule="exact"/>
        <w:rPr>
          <w:sz w:val="20"/>
          <w:szCs w:val="20"/>
          <w:color w:val="auto"/>
        </w:rPr>
      </w:pPr>
    </w:p>
    <w:p>
      <w:pPr>
        <w:ind w:left="620" w:right="180" w:hanging="306"/>
        <w:spacing w:after="0" w:line="268"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spacing w:after="0" w:line="43" w:lineRule="exact"/>
        <w:rPr>
          <w:rFonts w:ascii="Arial" w:cs="Arial" w:eastAsia="Arial" w:hAnsi="Arial"/>
          <w:sz w:val="17"/>
          <w:szCs w:val="17"/>
          <w:color w:val="auto"/>
        </w:rPr>
      </w:pPr>
    </w:p>
    <w:p>
      <w:pPr>
        <w:ind w:left="620" w:right="200" w:hanging="306"/>
        <w:spacing w:after="0" w:line="293" w:lineRule="auto"/>
        <w:tabs>
          <w:tab w:leader="none" w:pos="616"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may also be used as a metric for determining payment of cash incentive compensation.</w:t>
      </w:r>
    </w:p>
    <w:p>
      <w:pPr>
        <w:spacing w:after="0" w:line="37" w:lineRule="exact"/>
        <w:rPr>
          <w:rFonts w:ascii="Arial" w:cs="Arial" w:eastAsia="Arial" w:hAnsi="Arial"/>
          <w:sz w:val="16"/>
          <w:szCs w:val="16"/>
          <w:color w:val="auto"/>
        </w:rPr>
      </w:pPr>
    </w:p>
    <w:p>
      <w:pPr>
        <w:jc w:val="both"/>
        <w:ind w:left="620" w:right="80" w:hanging="306"/>
        <w:spacing w:after="0" w:line="268"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21"/>
        <w:spacing w:after="0" w:line="268" w:lineRule="auto"/>
        <w:rPr>
          <w:sz w:val="20"/>
          <w:szCs w:val="20"/>
          <w:color w:val="auto"/>
        </w:rPr>
      </w:pPr>
      <w:r>
        <w:rPr>
          <w:rFonts w:ascii="Arial" w:cs="Arial" w:eastAsia="Arial" w:hAnsi="Arial"/>
          <w:sz w:val="17"/>
          <w:szCs w:val="17"/>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57" w:lineRule="exact"/>
        <w:rPr>
          <w:sz w:val="20"/>
          <w:szCs w:val="20"/>
          <w:color w:val="auto"/>
        </w:rPr>
      </w:pPr>
    </w:p>
    <w:p>
      <w:pPr>
        <w:ind w:left="620" w:right="100" w:hanging="306"/>
        <w:spacing w:after="0" w:line="283"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Stock-based compensation is a non-cash charge and will remain an element of our long-term incentive compensation package, although we exclude it as an expense when evaluating our ongoing operating performance for a particular period.</w:t>
      </w:r>
    </w:p>
    <w:p>
      <w:pPr>
        <w:spacing w:after="0" w:line="43" w:lineRule="exact"/>
        <w:rPr>
          <w:rFonts w:ascii="Arial" w:cs="Arial" w:eastAsia="Arial" w:hAnsi="Arial"/>
          <w:sz w:val="17"/>
          <w:szCs w:val="17"/>
          <w:color w:val="auto"/>
        </w:rPr>
      </w:pPr>
    </w:p>
    <w:p>
      <w:pPr>
        <w:ind w:left="620" w:right="540" w:hanging="306"/>
        <w:spacing w:after="0" w:line="283"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Depreciation and amortization are non-cash charges, and the assets being depreciated or amortized will often have to be replaced in the future, but Adjusted EBITDA does not reflect any cash requirements for these replacements.</w:t>
      </w:r>
    </w:p>
    <w:p>
      <w:pPr>
        <w:spacing w:after="0" w:line="30" w:lineRule="exact"/>
        <w:rPr>
          <w:rFonts w:ascii="Arial" w:cs="Arial" w:eastAsia="Arial" w:hAnsi="Arial"/>
          <w:sz w:val="17"/>
          <w:szCs w:val="17"/>
          <w:color w:val="auto"/>
        </w:rPr>
      </w:pPr>
    </w:p>
    <w:p>
      <w:pPr>
        <w:ind w:left="620" w:hanging="306"/>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Impairment charges are non-cash charges related to goodwill, intangible assets and/or long-lived assets.</w:t>
      </w:r>
    </w:p>
    <w:p>
      <w:pPr>
        <w:spacing w:after="0" w:line="102" w:lineRule="exact"/>
        <w:rPr>
          <w:rFonts w:ascii="Arial" w:cs="Arial" w:eastAsia="Arial" w:hAnsi="Arial"/>
          <w:sz w:val="17"/>
          <w:szCs w:val="17"/>
          <w:color w:val="auto"/>
        </w:rPr>
      </w:pPr>
    </w:p>
    <w:p>
      <w:pPr>
        <w:ind w:left="620" w:right="160" w:hanging="306"/>
        <w:spacing w:after="0" w:line="283"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EBITDA does not reflect non-cash charges related to acquisition and related items, such as amortization of acquired intangible assets, merger, acquisition, or restructuring related severance costs, and changes in the fair value of contingent consideration.</w:t>
      </w:r>
    </w:p>
    <w:p>
      <w:pPr>
        <w:spacing w:after="0" w:line="43" w:lineRule="exact"/>
        <w:rPr>
          <w:rFonts w:ascii="Arial" w:cs="Arial" w:eastAsia="Arial" w:hAnsi="Arial"/>
          <w:sz w:val="17"/>
          <w:szCs w:val="17"/>
          <w:color w:val="auto"/>
        </w:rPr>
      </w:pPr>
    </w:p>
    <w:p>
      <w:pPr>
        <w:ind w:left="620" w:right="360" w:hanging="306"/>
        <w:spacing w:after="0" w:line="283"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EBITDA does not reflect cash and non-cash charges and changes in, or cash requirements for, acquisition and related items, such as certain transaction expenses and expenses associated with earn-out amounts.</w:t>
      </w:r>
    </w:p>
    <w:p>
      <w:pPr>
        <w:spacing w:after="0" w:line="30" w:lineRule="exact"/>
        <w:rPr>
          <w:rFonts w:ascii="Arial" w:cs="Arial" w:eastAsia="Arial" w:hAnsi="Arial"/>
          <w:sz w:val="17"/>
          <w:szCs w:val="17"/>
          <w:color w:val="auto"/>
        </w:rPr>
      </w:pPr>
    </w:p>
    <w:p>
      <w:pPr>
        <w:ind w:left="620" w:right="600" w:hanging="306"/>
        <w:spacing w:after="0" w:line="283"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EBITDA does not reflect changes in our working capital needs, capital expenditures, non-operational real estate expenses or income, or contractual commitments.</w:t>
      </w:r>
    </w:p>
    <w:p>
      <w:pPr>
        <w:spacing w:after="0" w:line="43" w:lineRule="exact"/>
        <w:rPr>
          <w:rFonts w:ascii="Arial" w:cs="Arial" w:eastAsia="Arial" w:hAnsi="Arial"/>
          <w:sz w:val="17"/>
          <w:szCs w:val="17"/>
          <w:color w:val="auto"/>
        </w:rPr>
      </w:pPr>
    </w:p>
    <w:p>
      <w:pPr>
        <w:ind w:left="620" w:hanging="306"/>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EBITDA does not reflect cash requirements for income taxes and the cash impact of other income or expense.</w:t>
      </w:r>
    </w:p>
    <w:p>
      <w:pPr>
        <w:spacing w:after="0" w:line="102" w:lineRule="exact"/>
        <w:rPr>
          <w:rFonts w:ascii="Arial" w:cs="Arial" w:eastAsia="Arial" w:hAnsi="Arial"/>
          <w:sz w:val="17"/>
          <w:szCs w:val="17"/>
          <w:color w:val="auto"/>
        </w:rPr>
      </w:pPr>
    </w:p>
    <w:p>
      <w:pPr>
        <w:ind w:left="620" w:hanging="306"/>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companies may calculate Adjusted EBITDA differently than we do, limiting its usefulness as a comparative measure.</w:t>
      </w:r>
    </w:p>
    <w:p>
      <w:pPr>
        <w:spacing w:after="0" w:line="180" w:lineRule="exact"/>
        <w:rPr>
          <w:sz w:val="20"/>
          <w:szCs w:val="20"/>
          <w:color w:val="auto"/>
        </w:rPr>
      </w:pPr>
    </w:p>
    <w:p>
      <w:pPr>
        <w:jc w:val="both"/>
        <w:ind w:right="80" w:firstLine="621"/>
        <w:spacing w:after="0" w:line="268" w:lineRule="auto"/>
        <w:rPr>
          <w:sz w:val="20"/>
          <w:szCs w:val="20"/>
          <w:color w:val="auto"/>
        </w:rPr>
      </w:pPr>
      <w:r>
        <w:rPr>
          <w:rFonts w:ascii="Arial" w:cs="Arial" w:eastAsia="Arial" w:hAnsi="Arial"/>
          <w:sz w:val="17"/>
          <w:szCs w:val="17"/>
          <w:color w:val="auto"/>
        </w:rPr>
        <w:t>Our Adjusted EBITDA is influenced by fluctuations in our revenue, cost of revenue, and the timing and amounts of the cost of our operations. Adjusted EBITDA should not be considered as an alternative to net income (loss), income (loss) from operations, or any other measure of financial performance calculated and presented in accordance with GAAP.</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a reconciliation of net loss, the most comparable GAAP measure, to Adjusted EBITDA for the three and nine months ended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and 2021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2760" w:type="dxa"/>
            <w:vAlign w:val="bottom"/>
            <w:gridSpan w:val="4"/>
          </w:tcPr>
          <w:p>
            <w:pPr>
              <w:jc w:val="right"/>
              <w:ind w:right="755"/>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5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5"/>
        </w:trPr>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5"/>
                <w:szCs w:val="15"/>
                <w:color w:val="auto"/>
              </w:rPr>
            </w:pPr>
          </w:p>
        </w:tc>
        <w:tc>
          <w:tcPr>
            <w:tcW w:w="1260" w:type="dxa"/>
            <w:vAlign w:val="bottom"/>
          </w:tcPr>
          <w:p>
            <w:pPr>
              <w:jc w:val="right"/>
              <w:ind w:right="35"/>
              <w:spacing w:after="0"/>
              <w:rPr>
                <w:sz w:val="20"/>
                <w:szCs w:val="20"/>
                <w:color w:val="auto"/>
              </w:rPr>
            </w:pPr>
            <w:r>
              <w:rPr>
                <w:rFonts w:ascii="Arial" w:cs="Arial" w:eastAsia="Arial" w:hAnsi="Arial"/>
                <w:sz w:val="14"/>
                <w:szCs w:val="14"/>
                <w:b w:val="1"/>
                <w:bCs w:val="1"/>
                <w:color w:val="auto"/>
                <w:w w:val="85"/>
              </w:rPr>
              <w:t>September 30, 2021</w:t>
            </w:r>
          </w:p>
        </w:tc>
      </w:tr>
      <w:tr>
        <w:trPr>
          <w:trHeight w:val="25"/>
        </w:trPr>
        <w:tc>
          <w:tcPr>
            <w:tcW w:w="5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3"/>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Add back (deduct):</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169"/>
        </w:trPr>
        <w:tc>
          <w:tcPr>
            <w:tcW w:w="5400" w:type="dxa"/>
            <w:vAlign w:val="bottom"/>
            <w:shd w:val="clear" w:color="auto" w:fill="CCEEFF"/>
          </w:tcPr>
          <w:p>
            <w:pPr>
              <w:ind w:left="340"/>
              <w:spacing w:after="0" w:line="169" w:lineRule="exact"/>
              <w:rPr>
                <w:sz w:val="20"/>
                <w:szCs w:val="20"/>
                <w:color w:val="auto"/>
              </w:rPr>
            </w:pPr>
            <w:r>
              <w:rPr>
                <w:rFonts w:ascii="Arial" w:cs="Arial" w:eastAsia="Arial" w:hAnsi="Arial"/>
                <w:sz w:val="17"/>
                <w:szCs w:val="17"/>
                <w:color w:val="auto"/>
              </w:rPr>
              <w:t>Depreciation and amortization expense, excluding amortization of</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32"/>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acquired intangible assets</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23,293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17,771</w:t>
            </w:r>
          </w:p>
        </w:tc>
      </w:tr>
      <w:tr>
        <w:trPr>
          <w:trHeight w:val="220"/>
        </w:trPr>
        <w:tc>
          <w:tcPr>
            <w:tcW w:w="5400" w:type="dxa"/>
            <w:vAlign w:val="bottom"/>
          </w:tcPr>
          <w:p>
            <w:pPr>
              <w:ind w:left="340"/>
              <w:spacing w:after="0"/>
              <w:rPr>
                <w:sz w:val="20"/>
                <w:szCs w:val="20"/>
                <w:color w:val="auto"/>
              </w:rPr>
            </w:pPr>
            <w:r>
              <w:rPr>
                <w:rFonts w:ascii="Arial" w:cs="Arial" w:eastAsia="Arial" w:hAnsi="Arial"/>
                <w:sz w:val="17"/>
                <w:szCs w:val="17"/>
                <w:color w:val="auto"/>
              </w:rPr>
              <w:t>Amortization of acquired intangibles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38,067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42,184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115,348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79,313</w:t>
            </w:r>
          </w:p>
        </w:tc>
      </w:tr>
      <w:tr>
        <w:trPr>
          <w:trHeight w:val="220"/>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Stock-based compensation expense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28,521</w:t>
            </w:r>
          </w:p>
        </w:tc>
      </w:tr>
      <w:tr>
        <w:trPr>
          <w:trHeight w:val="169"/>
        </w:trPr>
        <w:tc>
          <w:tcPr>
            <w:tcW w:w="5400" w:type="dxa"/>
            <w:vAlign w:val="bottom"/>
          </w:tcPr>
          <w:p>
            <w:pPr>
              <w:ind w:left="340"/>
              <w:spacing w:after="0" w:line="169" w:lineRule="exact"/>
              <w:rPr>
                <w:sz w:val="20"/>
                <w:szCs w:val="20"/>
                <w:color w:val="auto"/>
              </w:rPr>
            </w:pPr>
            <w:r>
              <w:rPr>
                <w:rFonts w:ascii="Arial" w:cs="Arial" w:eastAsia="Arial" w:hAnsi="Arial"/>
                <w:sz w:val="17"/>
                <w:szCs w:val="17"/>
                <w:color w:val="auto"/>
              </w:rPr>
              <w:t>Merger, acquisition, and restructuring costs, excluding stock-based</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2"/>
        </w:trPr>
        <w:tc>
          <w:tcPr>
            <w:tcW w:w="5400" w:type="dxa"/>
            <w:vAlign w:val="bottom"/>
          </w:tcPr>
          <w:p>
            <w:pPr>
              <w:ind w:left="340"/>
              <w:spacing w:after="0"/>
              <w:rPr>
                <w:sz w:val="20"/>
                <w:szCs w:val="20"/>
                <w:color w:val="auto"/>
              </w:rPr>
            </w:pPr>
            <w:r>
              <w:rPr>
                <w:rFonts w:ascii="Arial" w:cs="Arial" w:eastAsia="Arial" w:hAnsi="Arial"/>
                <w:sz w:val="17"/>
                <w:szCs w:val="17"/>
                <w:color w:val="auto"/>
              </w:rPr>
              <w:t>compensation expense</w:t>
            </w:r>
          </w:p>
        </w:tc>
        <w:tc>
          <w:tcPr>
            <w:tcW w:w="1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5,464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36,707</w:t>
            </w:r>
          </w:p>
        </w:tc>
      </w:tr>
      <w:tr>
        <w:trPr>
          <w:trHeight w:val="220"/>
        </w:trPr>
        <w:tc>
          <w:tcPr>
            <w:tcW w:w="5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Non-operational real estate expense, net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r>
      <w:tr>
        <w:trPr>
          <w:trHeight w:val="220"/>
        </w:trPr>
        <w:tc>
          <w:tcPr>
            <w:tcW w:w="5400" w:type="dxa"/>
            <w:vAlign w:val="bottom"/>
          </w:tcPr>
          <w:p>
            <w:pPr>
              <w:ind w:left="340"/>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7,280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21,273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12,595</w:t>
            </w:r>
          </w:p>
        </w:tc>
      </w:tr>
      <w:tr>
        <w:trPr>
          <w:trHeight w:val="220"/>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exchange gain, net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(1,358)</w:t>
            </w:r>
          </w:p>
        </w:tc>
      </w:tr>
      <w:tr>
        <w:trPr>
          <w:trHeight w:val="220"/>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Benefit for income taxes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(4,708)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(92,237)</w:t>
            </w:r>
          </w:p>
        </w:tc>
      </w:tr>
      <w:tr>
        <w:trPr>
          <w:trHeight w:val="23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39,966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114,562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81,121</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right="300" w:firstLine="621"/>
        <w:spacing w:after="0" w:line="353" w:lineRule="auto"/>
        <w:rPr>
          <w:sz w:val="20"/>
          <w:szCs w:val="20"/>
          <w:color w:val="auto"/>
        </w:rPr>
      </w:pPr>
      <w:r>
        <w:rPr>
          <w:rFonts w:ascii="Arial" w:cs="Arial" w:eastAsia="Arial" w:hAnsi="Arial"/>
          <w:sz w:val="15"/>
          <w:szCs w:val="15"/>
          <w:color w:val="auto"/>
        </w:rPr>
        <w:t>Adjusted EBITDA increased by $4.4 million during the three months ended September 30, 2022 compared to the three months ended September 30, 2021, primarily due to increases in revenue, which are discussed in section "Comparison of the Three and Nine Months Ended September 30, 2022 and 2021."</w:t>
      </w:r>
    </w:p>
    <w:p>
      <w:pPr>
        <w:spacing w:after="0" w:line="75" w:lineRule="exact"/>
        <w:rPr>
          <w:sz w:val="20"/>
          <w:szCs w:val="20"/>
          <w:color w:val="auto"/>
        </w:rPr>
      </w:pPr>
    </w:p>
    <w:p>
      <w:pPr>
        <w:ind w:right="120" w:firstLine="621"/>
        <w:spacing w:after="0" w:line="283" w:lineRule="auto"/>
        <w:rPr>
          <w:sz w:val="20"/>
          <w:szCs w:val="20"/>
          <w:color w:val="auto"/>
        </w:rPr>
      </w:pPr>
      <w:r>
        <w:rPr>
          <w:rFonts w:ascii="Arial" w:cs="Arial" w:eastAsia="Arial" w:hAnsi="Arial"/>
          <w:sz w:val="17"/>
          <w:szCs w:val="17"/>
          <w:color w:val="auto"/>
        </w:rPr>
        <w:t>Adjusted EBITDA increased by $33.4 million during the nine months ended September 30, 2022, primarily due to incremental revenue growth from the SpotX Acquisition and organic growth.</w:t>
      </w:r>
    </w:p>
    <w:p>
      <w:pPr>
        <w:spacing w:after="0" w:line="121" w:lineRule="exact"/>
        <w:rPr>
          <w:sz w:val="20"/>
          <w:szCs w:val="20"/>
          <w:color w:val="auto"/>
        </w:rPr>
      </w:pPr>
    </w:p>
    <w:p>
      <w:pPr>
        <w:ind w:right="520" w:firstLine="621"/>
        <w:spacing w:after="0" w:line="283" w:lineRule="auto"/>
        <w:rPr>
          <w:sz w:val="20"/>
          <w:szCs w:val="20"/>
          <w:color w:val="auto"/>
        </w:rPr>
      </w:pPr>
      <w:r>
        <w:rPr>
          <w:rFonts w:ascii="Arial" w:cs="Arial" w:eastAsia="Arial" w:hAnsi="Arial"/>
          <w:sz w:val="17"/>
          <w:szCs w:val="17"/>
          <w:color w:val="auto"/>
        </w:rPr>
        <w:t>We expect Adjusted EBITDA to continue to increase through the remainder of 2022 as compared to the same period in the prior year as a result of continued growth in revenue and ongoing operating leverage.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Liquidity</w:t>
      </w:r>
    </w:p>
    <w:p>
      <w:pPr>
        <w:spacing w:after="0" w:line="76" w:lineRule="exact"/>
        <w:rPr>
          <w:sz w:val="20"/>
          <w:szCs w:val="20"/>
          <w:color w:val="auto"/>
        </w:rPr>
      </w:pPr>
    </w:p>
    <w:p>
      <w:pPr>
        <w:ind w:right="200" w:firstLine="621"/>
        <w:spacing w:after="0" w:line="291" w:lineRule="auto"/>
        <w:rPr>
          <w:sz w:val="20"/>
          <w:szCs w:val="20"/>
          <w:color w:val="auto"/>
        </w:rPr>
      </w:pPr>
      <w:r>
        <w:rPr>
          <w:rFonts w:ascii="Arial" w:cs="Arial" w:eastAsia="Arial" w:hAnsi="Arial"/>
          <w:sz w:val="15"/>
          <w:szCs w:val="15"/>
          <w:color w:val="auto"/>
        </w:rPr>
        <w:t>As of September 30, 2022, we had cash and cash equivalents of $253.6 million, of which $40.2 million was held in foreign currency denominated cash accounts, and an aggregate gross principal amount of $755.5 million of indebtedness outstanding under our Term Loan B Facility (as defined below) and our Convertible Senior Notes (as defined below). In addition, we are party to a $65.0 million Revolving Credit Facility (as defined below), of which approximately $5.3 million is assigned to outstanding but undrawn letters of credit. See "Capital Resources" below for further information about our outstanding debt.</w:t>
      </w:r>
    </w:p>
    <w:p>
      <w:pPr>
        <w:spacing w:after="0" w:line="43" w:lineRule="exact"/>
        <w:rPr>
          <w:sz w:val="20"/>
          <w:szCs w:val="20"/>
          <w:color w:val="auto"/>
        </w:rPr>
      </w:pPr>
    </w:p>
    <w:p>
      <w:pPr>
        <w:ind w:right="120" w:firstLine="621"/>
        <w:spacing w:after="0" w:line="279" w:lineRule="auto"/>
        <w:rPr>
          <w:sz w:val="20"/>
          <w:szCs w:val="20"/>
          <w:color w:val="auto"/>
        </w:rPr>
      </w:pPr>
      <w:r>
        <w:rPr>
          <w:rFonts w:ascii="Arial" w:cs="Arial" w:eastAsia="Arial" w:hAnsi="Arial"/>
          <w:sz w:val="16"/>
          <w:szCs w:val="16"/>
          <w:color w:val="auto"/>
        </w:rPr>
        <w:t>Our principal cash requirements for the twelve-month period following this report primarily consist of personnel costs, contractual payment obligations, including office leases, data center costs and cloud hosting costs, capital expenditures, payment of interest and required principal payments on our Convertible Senior Notes and Term Loan B Facility, taxes paid related to net share settlement associated with vesting of stock-based compensation awards, cash outlays for income taxes, and cash requirements to fund working capital. In the longer term, we would expect to have similar cash requirements, with increases in absolute dollars associated with the continued growth of our business and expansion of operations. See "Contractual Obligations and Known Future Cash Requirements" for a further discussion of our known material contractual obligations.</w:t>
      </w:r>
    </w:p>
    <w:p>
      <w:pPr>
        <w:spacing w:after="0" w:line="36" w:lineRule="exact"/>
        <w:rPr>
          <w:sz w:val="20"/>
          <w:szCs w:val="20"/>
          <w:color w:val="auto"/>
        </w:rPr>
      </w:pPr>
    </w:p>
    <w:p>
      <w:pPr>
        <w:ind w:right="100" w:firstLine="621"/>
        <w:spacing w:after="0" w:line="261" w:lineRule="auto"/>
        <w:rPr>
          <w:sz w:val="20"/>
          <w:szCs w:val="20"/>
          <w:color w:val="auto"/>
        </w:rPr>
      </w:pPr>
      <w:r>
        <w:rPr>
          <w:rFonts w:ascii="Arial" w:cs="Arial" w:eastAsia="Arial" w:hAnsi="Arial"/>
          <w:sz w:val="17"/>
          <w:szCs w:val="17"/>
          <w:color w:val="auto"/>
        </w:rPr>
        <w:t>Our working capital needs and cash conversion cycle, which is influenced by seasonality and may be negatively impacted as a result of COVID-19, inflationary, recessionary and other macroeconomic challenges, can have large fluctuations due to the timing of receipts from buyers and timing of disbursements to sellers. In addition, in the event a buyer defaults on payment, we may still be required to pay sellers for the inventory purchased. Our capital expenditure investments tend to be higher in the second half of the year. The impacts from changes in working capital and capital expenditures can significantly impact our cash flows and therefore, our liquidity during any period presented.</w:t>
      </w:r>
    </w:p>
    <w:p>
      <w:pPr>
        <w:spacing w:after="0" w:line="63" w:lineRule="exact"/>
        <w:rPr>
          <w:sz w:val="20"/>
          <w:szCs w:val="20"/>
          <w:color w:val="auto"/>
        </w:rPr>
      </w:pPr>
    </w:p>
    <w:p>
      <w:pPr>
        <w:ind w:right="240" w:firstLine="621"/>
        <w:spacing w:after="0" w:line="264" w:lineRule="auto"/>
        <w:rPr>
          <w:sz w:val="20"/>
          <w:szCs w:val="20"/>
          <w:color w:val="auto"/>
        </w:rPr>
      </w:pPr>
      <w:r>
        <w:rPr>
          <w:rFonts w:ascii="Arial" w:cs="Arial" w:eastAsia="Arial" w:hAnsi="Arial"/>
          <w:sz w:val="17"/>
          <w:szCs w:val="17"/>
          <w:color w:val="auto"/>
        </w:rPr>
        <w:t>We have historically relied upon cash and cash equivalents, cash generated from operations, borrowings under credit facilities and issuance of debt for our liquidity needs. Our ability to meet our cash requirements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w:t>
      </w:r>
    </w:p>
    <w:p>
      <w:pPr>
        <w:spacing w:after="0" w:line="58" w:lineRule="exact"/>
        <w:rPr>
          <w:sz w:val="20"/>
          <w:szCs w:val="20"/>
          <w:color w:val="auto"/>
        </w:rPr>
      </w:pPr>
    </w:p>
    <w:p>
      <w:pPr>
        <w:ind w:right="20" w:firstLine="621"/>
        <w:spacing w:after="0" w:line="259" w:lineRule="auto"/>
        <w:rPr>
          <w:sz w:val="20"/>
          <w:szCs w:val="20"/>
          <w:color w:val="auto"/>
        </w:rPr>
      </w:pPr>
      <w:r>
        <w:rPr>
          <w:rFonts w:ascii="Arial" w:cs="Arial" w:eastAsia="Arial" w:hAnsi="Arial"/>
          <w:sz w:val="17"/>
          <w:szCs w:val="17"/>
          <w:color w:val="auto"/>
        </w:rPr>
        <w:t>We believe our existing cash and cash equivalents, cash generated from operating activities, and amounts available to borrow under our Revolving Credit Facility will be sufficient to meet our working capital requirements for at least the next twelve months from the issuance of our financial statements. However, there are multiple factors that could impact our cash balances in the future, including the factors described above with respect to working capital and cash conversion cycles, as well as the duration and severity of events beyond our control, such as health epidemics, including the COVID-19 pandemic, geopolitical events, including the evolving conflict in Ukraine, and economic and macroeconomic factors like labor shortages, supply chain disruptions, and inflation impacting the markets and communities in which our clients operate and the factors set forth in Part II, Item 1A: "Risk Factors" of our Annual Report on Form 10-K for the year ended December 31, 2021.</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Capital Resources</w:t>
      </w:r>
    </w:p>
    <w:p>
      <w:pPr>
        <w:spacing w:after="0" w:line="102" w:lineRule="exact"/>
        <w:rPr>
          <w:sz w:val="20"/>
          <w:szCs w:val="20"/>
          <w:color w:val="auto"/>
        </w:rPr>
      </w:pPr>
    </w:p>
    <w:p>
      <w:pPr>
        <w:ind w:firstLine="621"/>
        <w:spacing w:after="0" w:line="279" w:lineRule="auto"/>
        <w:rPr>
          <w:sz w:val="20"/>
          <w:szCs w:val="20"/>
          <w:color w:val="auto"/>
        </w:rPr>
      </w:pPr>
      <w:r>
        <w:rPr>
          <w:rFonts w:ascii="Arial" w:cs="Arial" w:eastAsia="Arial" w:hAnsi="Arial"/>
          <w:sz w:val="16"/>
          <w:szCs w:val="16"/>
          <w:color w:val="auto"/>
        </w:rPr>
        <w:t>In March 2021, we sold convertible senior notes ("Convertible Senior Notes") for gross proceeds of $400.0 million. The Convertible Senior Notes are senior, unsecured obligations with interest payable semi-annually in cash at a rate of 0.25% per annum in arrears on March 15 and September 15. The Convertible Senior Notes will mature on March 15, 2026, unless earlier converted, redeemed, or repurchased. The initial conversion rate is 15.6539 shares per $1,000 principal amount of notes, which represents an initial conversion price of approximately $63.88 per share of the Company’s common stock and is subject to adjustment as described in the Offering Memorandum. At September 30, 2022, the balance of the Convertible Senior Notes was $392.1 million, net of unamortized debt issuance costs of $7.9 million. Accrued interest for the Convertible Senior Notes at September 30, 2022 was immaterial.</w:t>
      </w:r>
    </w:p>
    <w:p>
      <w:pPr>
        <w:spacing w:after="0" w:line="49" w:lineRule="exact"/>
        <w:rPr>
          <w:sz w:val="20"/>
          <w:szCs w:val="20"/>
          <w:color w:val="auto"/>
        </w:rPr>
      </w:pPr>
    </w:p>
    <w:p>
      <w:pPr>
        <w:ind w:firstLine="621"/>
        <w:spacing w:after="0" w:line="259" w:lineRule="auto"/>
        <w:rPr>
          <w:sz w:val="20"/>
          <w:szCs w:val="20"/>
          <w:color w:val="auto"/>
        </w:rPr>
      </w:pPr>
      <w:r>
        <w:rPr>
          <w:rFonts w:ascii="Arial" w:cs="Arial" w:eastAsia="Arial" w:hAnsi="Arial"/>
          <w:sz w:val="17"/>
          <w:szCs w:val="17"/>
          <w:color w:val="auto"/>
        </w:rPr>
        <w:t>In conjunction with the issuance of the Convertible Senior Notes, we entered into capped call transactions to reduce the Company's exposure to additional cash payments above principal balances in the event of a cash conversion of the Convertible Senior Notes. The Company may owe additional cash or shares to the holders of the Convertible Senior Notes upon early conversion if our stock price exceeds $91.260 per share, which is subject to certain adjustments. Although the Company’s incremental exposure to the additional cash payment above the principal amount of the Convertible Senior Notes is reduced by the capped calls, conversion of the Convertible Senior Notes by the holders may cause dilution to the ownership interests of existing stockholders. See Note 13 "Debt" in the notes to unaudited condensed consolidated financial statements included in this Quarterly Report for more information regarding terms and conditions of the Convertible Senior Notes and the capped call transactions.</w:t>
      </w:r>
    </w:p>
    <w:p>
      <w:pPr>
        <w:spacing w:after="0" w:line="50" w:lineRule="exact"/>
        <w:rPr>
          <w:sz w:val="20"/>
          <w:szCs w:val="20"/>
          <w:color w:val="auto"/>
        </w:rPr>
      </w:pPr>
    </w:p>
    <w:p>
      <w:pPr>
        <w:ind w:right="80" w:firstLine="621"/>
        <w:spacing w:after="0" w:line="309" w:lineRule="auto"/>
        <w:rPr>
          <w:sz w:val="20"/>
          <w:szCs w:val="20"/>
          <w:color w:val="auto"/>
        </w:rPr>
      </w:pPr>
      <w:r>
        <w:rPr>
          <w:rFonts w:ascii="Arial" w:cs="Arial" w:eastAsia="Arial" w:hAnsi="Arial"/>
          <w:sz w:val="15"/>
          <w:szCs w:val="15"/>
          <w:color w:val="auto"/>
        </w:rPr>
        <w:t>On April 30, 2021, and in conjunction with the SpotX Acquisition, we entered into a credit agreement (the "Credit Agreement") with Goldman Sachs Bank USA as administrative and collateral agent, and other lending parties thereto for a $360.0 million seven-year senior secured term loan facility ("Term Loan B Facility") and a $52.5 million senior secured revolving credit facility (the "Revolving Credit Facility"), which was subsequently increased to $65.0 million in June 2021. As part of the Term Loan B Facility, the Company received $325 million in proceeds, net of discounts and fees, which were used to finance the SpotX</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line="332" w:lineRule="auto"/>
        <w:rPr>
          <w:sz w:val="20"/>
          <w:szCs w:val="20"/>
          <w:color w:val="auto"/>
        </w:rPr>
      </w:pPr>
      <w:r>
        <w:rPr>
          <w:rFonts w:ascii="Arial" w:cs="Arial" w:eastAsia="Arial" w:hAnsi="Arial"/>
          <w:sz w:val="15"/>
          <w:szCs w:val="15"/>
          <w:color w:val="auto"/>
        </w:rPr>
        <w:t>Acquisition and related transactions and for general corporate purposes. At September 30, 2022, amounts available under the Revolving Credit Facility were $59.7 million, net of letters of credit outstanding in the amount of $5.3 million. Accrued interest for the Term Loan B Facility at September 30, 2022 was $0.7 million.</w:t>
      </w:r>
    </w:p>
    <w:p>
      <w:pPr>
        <w:spacing w:after="0" w:line="1" w:lineRule="exact"/>
        <w:rPr>
          <w:sz w:val="20"/>
          <w:szCs w:val="20"/>
          <w:color w:val="auto"/>
        </w:rPr>
      </w:pPr>
    </w:p>
    <w:p>
      <w:pPr>
        <w:ind w:right="80" w:firstLine="621"/>
        <w:spacing w:after="0" w:line="245" w:lineRule="auto"/>
        <w:rPr>
          <w:sz w:val="20"/>
          <w:szCs w:val="20"/>
          <w:color w:val="auto"/>
        </w:rPr>
      </w:pPr>
      <w:r>
        <w:rPr>
          <w:rFonts w:ascii="Arial" w:cs="Arial" w:eastAsia="Arial" w:hAnsi="Arial"/>
          <w:sz w:val="17"/>
          <w:szCs w:val="17"/>
          <w:color w:val="auto"/>
        </w:rPr>
        <w:t>In December 2021, the Board of Directors approved a share repurchase program, under which the company is authorized to purchase up to $50.0 million of its common stock from December 10, 2021 through December 10, 2022. The repurchase program allows the company to repurchase its common stock using open market stock purchases, privately negotiated transactions, block trades or other means in accordance with U.S. securities laws. Approximately $28.3 million remained available for purchase under this share repurchase program as of September 30, 2022. On November 4, 2022, the Board of Directors approved an extension of the share repurchase program through December 15, 2023.</w:t>
      </w:r>
    </w:p>
    <w:p>
      <w:pPr>
        <w:spacing w:after="0" w:line="76" w:lineRule="exact"/>
        <w:rPr>
          <w:sz w:val="20"/>
          <w:szCs w:val="20"/>
          <w:color w:val="auto"/>
        </w:rPr>
      </w:pPr>
    </w:p>
    <w:p>
      <w:pPr>
        <w:jc w:val="both"/>
        <w:ind w:right="120" w:firstLine="621"/>
        <w:spacing w:after="0" w:line="261" w:lineRule="auto"/>
        <w:rPr>
          <w:sz w:val="20"/>
          <w:szCs w:val="20"/>
          <w:color w:val="auto"/>
        </w:rPr>
      </w:pPr>
      <w:r>
        <w:rPr>
          <w:rFonts w:ascii="Arial" w:cs="Arial" w:eastAsia="Arial" w:hAnsi="Arial"/>
          <w:sz w:val="17"/>
          <w:szCs w:val="17"/>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50" w:lineRule="exact"/>
        <w:rPr>
          <w:sz w:val="20"/>
          <w:szCs w:val="20"/>
          <w:color w:val="auto"/>
        </w:rPr>
      </w:pPr>
    </w:p>
    <w:p>
      <w:pPr>
        <w:ind w:right="380" w:firstLine="621"/>
        <w:spacing w:after="0" w:line="316" w:lineRule="auto"/>
        <w:rPr>
          <w:sz w:val="20"/>
          <w:szCs w:val="20"/>
          <w:color w:val="auto"/>
        </w:rPr>
      </w:pPr>
      <w:r>
        <w:rPr>
          <w:rFonts w:ascii="Arial" w:cs="Arial" w:eastAsia="Arial" w:hAnsi="Arial"/>
          <w:sz w:val="16"/>
          <w:szCs w:val="16"/>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20" w:lineRule="exact"/>
        <w:rPr>
          <w:sz w:val="20"/>
          <w:szCs w:val="20"/>
          <w:color w:val="auto"/>
        </w:rPr>
      </w:pPr>
    </w:p>
    <w:p>
      <w:pPr>
        <w:ind w:firstLine="621"/>
        <w:spacing w:after="0" w:line="261" w:lineRule="auto"/>
        <w:rPr>
          <w:sz w:val="20"/>
          <w:szCs w:val="20"/>
          <w:color w:val="auto"/>
        </w:rPr>
      </w:pPr>
      <w:r>
        <w:rPr>
          <w:rFonts w:ascii="Arial" w:cs="Arial" w:eastAsia="Arial" w:hAnsi="Arial"/>
          <w:sz w:val="17"/>
          <w:szCs w:val="17"/>
          <w:color w:val="auto"/>
        </w:rPr>
        <w:t>Our cash and cash equivalents balance is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as a result of COVID-19.</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Cash Flows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131" w:lineRule="exact"/>
        <w:rPr>
          <w:sz w:val="20"/>
          <w:szCs w:val="20"/>
          <w:color w:val="auto"/>
        </w:rPr>
      </w:pPr>
    </w:p>
    <w:tbl>
      <w:tblPr>
        <w:tblLayout w:type="fixed"/>
        <w:tblInd w:w="100" w:type="dxa"/>
        <w:tblCellMar>
          <w:top w:w="0" w:type="dxa"/>
          <w:left w:w="0" w:type="dxa"/>
          <w:bottom w:w="0" w:type="dxa"/>
          <w:right w:w="0" w:type="dxa"/>
        </w:tblCellMar>
      </w:tblPr>
      <w:tr>
        <w:trPr>
          <w:trHeight w:val="179"/>
        </w:trPr>
        <w:tc>
          <w:tcPr>
            <w:tcW w:w="7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gridSpan w:val="4"/>
          </w:tcPr>
          <w:p>
            <w:pPr>
              <w:jc w:val="right"/>
              <w:ind w:right="1037"/>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7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0"/>
        </w:trPr>
        <w:tc>
          <w:tcPr>
            <w:tcW w:w="7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1"/>
              </w:rPr>
              <w:t>September 30, 2021</w:t>
            </w:r>
          </w:p>
        </w:tc>
      </w:tr>
      <w:tr>
        <w:trPr>
          <w:trHeight w:val="186"/>
        </w:trPr>
        <w:tc>
          <w:tcPr>
            <w:tcW w:w="7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gridSpan w:val="4"/>
          </w:tcPr>
          <w:p>
            <w:pPr>
              <w:jc w:val="right"/>
              <w:ind w:right="1217"/>
              <w:spacing w:after="0"/>
              <w:rPr>
                <w:sz w:val="20"/>
                <w:szCs w:val="20"/>
                <w:color w:val="auto"/>
              </w:rPr>
            </w:pPr>
            <w:r>
              <w:rPr>
                <w:rFonts w:ascii="Arial" w:cs="Arial" w:eastAsia="Arial" w:hAnsi="Arial"/>
                <w:sz w:val="14"/>
                <w:szCs w:val="14"/>
                <w:b w:val="1"/>
                <w:bCs w:val="1"/>
                <w:color w:val="auto"/>
              </w:rPr>
              <w:t>(in thousands)</w:t>
            </w:r>
          </w:p>
        </w:tc>
      </w:tr>
      <w:tr>
        <w:trPr>
          <w:trHeight w:val="227"/>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58,000</w:t>
            </w:r>
          </w:p>
        </w:tc>
      </w:tr>
      <w:tr>
        <w:trPr>
          <w:trHeight w:val="220"/>
        </w:trPr>
        <w:tc>
          <w:tcPr>
            <w:tcW w:w="7600" w:type="dxa"/>
            <w:vAlign w:val="bottom"/>
          </w:tcPr>
          <w:p>
            <w:pPr>
              <w:ind w:left="20"/>
              <w:spacing w:after="0"/>
              <w:rPr>
                <w:sz w:val="20"/>
                <w:szCs w:val="20"/>
                <w:color w:val="auto"/>
              </w:rPr>
            </w:pPr>
            <w:r>
              <w:rPr>
                <w:rFonts w:ascii="Arial" w:cs="Arial" w:eastAsia="Arial" w:hAnsi="Arial"/>
                <w:sz w:val="17"/>
                <w:szCs w:val="17"/>
                <w:color w:val="auto"/>
              </w:rPr>
              <w:t>Cash flows used in investing activities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(49,936)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(675,570)</w:t>
            </w:r>
          </w:p>
        </w:tc>
      </w:tr>
      <w:tr>
        <w:trPr>
          <w:trHeight w:val="220"/>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(used in) provided by financing activities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688,863</w:t>
            </w:r>
          </w:p>
        </w:tc>
      </w:tr>
      <w:tr>
        <w:trPr>
          <w:trHeight w:val="22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Effects of exchange rate changes on cash, cash equivalents and restricted cash</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w:t>
            </w: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 in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70,702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89" w:lineRule="exact"/>
        <w:rPr>
          <w:sz w:val="20"/>
          <w:szCs w:val="20"/>
          <w:color w:val="auto"/>
        </w:rPr>
      </w:pPr>
    </w:p>
    <w:p>
      <w:pPr>
        <w:jc w:val="both"/>
        <w:ind w:right="120" w:firstLine="621"/>
        <w:spacing w:after="0" w:line="268" w:lineRule="auto"/>
        <w:rPr>
          <w:sz w:val="20"/>
          <w:szCs w:val="20"/>
          <w:color w:val="auto"/>
        </w:rPr>
      </w:pPr>
      <w:r>
        <w:rPr>
          <w:rFonts w:ascii="Arial" w:cs="Arial" w:eastAsia="Arial" w:hAnsi="Arial"/>
          <w:sz w:val="17"/>
          <w:szCs w:val="17"/>
          <w:color w:val="auto"/>
        </w:rPr>
        <w:t>Our cash flows from operating activities are primarily driven by revenues generated from advertising activity, offset by the cash costs of operations, and are significantly influenced by the timing of and fluctuations in receipts from buyers and related payments to sellers. Our future cash flows will be diminished if we cannot increase our revenue levels and manage costs appropriately.</w:t>
      </w:r>
    </w:p>
    <w:p>
      <w:pPr>
        <w:spacing w:after="0" w:line="57" w:lineRule="exact"/>
        <w:rPr>
          <w:sz w:val="20"/>
          <w:szCs w:val="20"/>
          <w:color w:val="auto"/>
        </w:rPr>
      </w:pPr>
    </w:p>
    <w:p>
      <w:pPr>
        <w:ind w:right="40" w:firstLine="621"/>
        <w:spacing w:after="0" w:line="260" w:lineRule="auto"/>
        <w:rPr>
          <w:sz w:val="20"/>
          <w:szCs w:val="20"/>
          <w:color w:val="auto"/>
        </w:rPr>
      </w:pPr>
      <w:r>
        <w:rPr>
          <w:rFonts w:ascii="Arial" w:cs="Arial" w:eastAsia="Arial" w:hAnsi="Arial"/>
          <w:sz w:val="17"/>
          <w:szCs w:val="17"/>
          <w:color w:val="auto"/>
        </w:rPr>
        <w:t>For the nine months ended September 30, 2022, net cash provided by operating activities was $103.8 million compared to net cash provided by operating activities of $58.0 million for the nine months ended September 30, 2021. Our operating activities included our net loss of $93.9 million and $0.4 million for the nine months ended September 30, 2022 and 2021, respectively, which were offset by non-cash adjustments of $191.3 million and $36.8 million, respectively. Net changes in our working capital resulted in increases of $6.5 million and $21.6 million in cash provided by operating activities for the nine months ended September 30, 2022 and September 30, 2021, respectively. The net changes in working capital for both periods are primarily due to the timing of cash receipts from buyers and the timing of payments to sellers.</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believe that cash flows from operations will continue to fluctuate, but in general will increase over time as our business continues to grow.</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89" w:lineRule="exact"/>
        <w:rPr>
          <w:sz w:val="20"/>
          <w:szCs w:val="20"/>
          <w:color w:val="auto"/>
        </w:rPr>
      </w:pPr>
    </w:p>
    <w:p>
      <w:pPr>
        <w:ind w:right="20" w:firstLine="621"/>
        <w:spacing w:after="0" w:line="268" w:lineRule="auto"/>
        <w:rPr>
          <w:sz w:val="20"/>
          <w:szCs w:val="20"/>
          <w:color w:val="auto"/>
        </w:rPr>
      </w:pPr>
      <w:r>
        <w:rPr>
          <w:rFonts w:ascii="Arial" w:cs="Arial" w:eastAsia="Arial" w:hAnsi="Arial"/>
          <w:sz w:val="17"/>
          <w:szCs w:val="17"/>
          <w:color w:val="auto"/>
        </w:rPr>
        <w:t>Our primary investing activities have consisted of acquisitions of businesses, purchases of property and equipment, capital expenditures in support of creating and enhancing our technology infrastructure, and investments in, and maturities of, available-for-sale securities. Purchases of property and equipment and investments in internal use software development may vary from period-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to-period due to the timing of the expansion of our operations, changes to headcount, and the cycles of our internal use software development. We anticipate investment in internal use software development to slightly increase compared to past years' investment levels as we continue to innovate new solutions on our platform. As the business continues to grow, we expect our investment in property and equipment to increase compared to 2021. Historically, a majority of our purchases in property and equipment have occurred in the latter half of the year in preparation for the peak volumes of the fourth quarter and early in the first quarter of the following year. We expect those trends to continue, with higher levels of property and equipment spend in the latter half of this year compared to the first half of the year. Investments in, and maturities of, available-for-sale securities and acquisitions of businesses vary from period-to-period.</w:t>
      </w:r>
    </w:p>
    <w:p>
      <w:pPr>
        <w:spacing w:after="0" w:line="36" w:lineRule="exact"/>
        <w:rPr>
          <w:sz w:val="20"/>
          <w:szCs w:val="20"/>
          <w:color w:val="auto"/>
        </w:rPr>
      </w:pPr>
    </w:p>
    <w:p>
      <w:pPr>
        <w:ind w:firstLine="621"/>
        <w:spacing w:after="0" w:line="285" w:lineRule="auto"/>
        <w:rPr>
          <w:sz w:val="20"/>
          <w:szCs w:val="20"/>
          <w:color w:val="auto"/>
        </w:rPr>
      </w:pPr>
      <w:r>
        <w:rPr>
          <w:rFonts w:ascii="Arial" w:cs="Arial" w:eastAsia="Arial" w:hAnsi="Arial"/>
          <w:sz w:val="16"/>
          <w:szCs w:val="16"/>
          <w:color w:val="auto"/>
        </w:rPr>
        <w:t>During the nine months ended September 30, 2022 and 2021, our investing activities used net cash of $49.9 million and $675.6 million, respectively. During the nine months ended September 30, 2022 and 2021, we used cash for purchases of property and equipment of $18.0 million and $14.0 million, respectively, and used cash for investments in our internally developed software of $11.2 million and $8.5 million, respectively. The nine months ended September 30, 2022 and 2021 included net cash used of $20.8 million to acquire Carbon and $653.1 million to acquire SpotX and SpringServe, respectively.</w:t>
      </w:r>
    </w:p>
    <w:p>
      <w:pPr>
        <w:spacing w:after="0" w:line="44" w:lineRule="exact"/>
        <w:rPr>
          <w:sz w:val="20"/>
          <w:szCs w:val="20"/>
          <w:color w:val="auto"/>
        </w:rPr>
      </w:pPr>
    </w:p>
    <w:p>
      <w:pPr>
        <w:ind w:right="100" w:firstLine="621"/>
        <w:spacing w:after="0" w:line="268" w:lineRule="auto"/>
        <w:rPr>
          <w:sz w:val="20"/>
          <w:szCs w:val="20"/>
          <w:color w:val="auto"/>
        </w:rPr>
      </w:pPr>
      <w:r>
        <w:rPr>
          <w:rFonts w:ascii="Arial" w:cs="Arial" w:eastAsia="Arial" w:hAnsi="Arial"/>
          <w:sz w:val="17"/>
          <w:szCs w:val="17"/>
          <w:color w:val="auto"/>
        </w:rPr>
        <w:t>We believe that cash flows used in our investing activities will generally increase in order to support our overall growth, in particular with respect to investments in property and equipment and internally developed software. In addition, our cash flows from investing activities may fluctuate depending on future acquisition activity.</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02" w:lineRule="exact"/>
        <w:rPr>
          <w:sz w:val="20"/>
          <w:szCs w:val="20"/>
          <w:color w:val="auto"/>
        </w:rPr>
      </w:pPr>
    </w:p>
    <w:p>
      <w:pPr>
        <w:ind w:right="580" w:firstLine="621"/>
        <w:spacing w:after="0" w:line="283" w:lineRule="auto"/>
        <w:rPr>
          <w:sz w:val="20"/>
          <w:szCs w:val="20"/>
          <w:color w:val="auto"/>
        </w:rPr>
      </w:pPr>
      <w:r>
        <w:rPr>
          <w:rFonts w:ascii="Arial" w:cs="Arial" w:eastAsia="Arial" w:hAnsi="Arial"/>
          <w:sz w:val="17"/>
          <w:szCs w:val="17"/>
          <w:color w:val="auto"/>
        </w:rPr>
        <w:t>Our financing activities consisted of our Convertible Senior Notes transactions, repayment of amounts borrowed under our Term Loan B Facility, transactions related to our equity plans, and stock purchases under the share repurchase plan.</w:t>
      </w:r>
    </w:p>
    <w:p>
      <w:pPr>
        <w:spacing w:after="0" w:line="43" w:lineRule="exact"/>
        <w:rPr>
          <w:sz w:val="20"/>
          <w:szCs w:val="20"/>
          <w:color w:val="auto"/>
        </w:rPr>
      </w:pPr>
    </w:p>
    <w:p>
      <w:pPr>
        <w:ind w:right="80" w:firstLine="621"/>
        <w:spacing w:after="0" w:line="261" w:lineRule="auto"/>
        <w:rPr>
          <w:sz w:val="20"/>
          <w:szCs w:val="20"/>
          <w:color w:val="auto"/>
        </w:rPr>
      </w:pPr>
      <w:r>
        <w:rPr>
          <w:rFonts w:ascii="Arial" w:cs="Arial" w:eastAsia="Arial" w:hAnsi="Arial"/>
          <w:sz w:val="17"/>
          <w:szCs w:val="17"/>
          <w:color w:val="auto"/>
        </w:rPr>
        <w:t>For the nine months ended September 30, 2022 and 2021, net cash used by financing activities was $28.3 million compared to net cash provided by financing activities of $688.9 million, respectively. Cash outflows from financing activities for the nine months ended September 30, 2022 included $15.7 million payment related to share repurchases, $11.9 million for taxes paid related to net share settlement of stock-based awards, and $2.7 million repayment of our Term Loan B. The outflows were partially offset by cash proceeds from issuance of common stock from the employee stock purchase plan of $2.1 million and cash proceeds from stock options exercised of $1.8 million.</w:t>
      </w:r>
    </w:p>
    <w:p>
      <w:pPr>
        <w:spacing w:after="0" w:line="50" w:lineRule="exact"/>
        <w:rPr>
          <w:sz w:val="20"/>
          <w:szCs w:val="20"/>
          <w:color w:val="auto"/>
        </w:rPr>
      </w:pPr>
    </w:p>
    <w:p>
      <w:pPr>
        <w:ind w:right="20" w:firstLine="621"/>
        <w:spacing w:after="0" w:line="261" w:lineRule="auto"/>
        <w:rPr>
          <w:sz w:val="20"/>
          <w:szCs w:val="20"/>
          <w:color w:val="auto"/>
        </w:rPr>
      </w:pPr>
      <w:r>
        <w:rPr>
          <w:rFonts w:ascii="Arial" w:cs="Arial" w:eastAsia="Arial" w:hAnsi="Arial"/>
          <w:sz w:val="17"/>
          <w:szCs w:val="17"/>
          <w:color w:val="auto"/>
        </w:rPr>
        <w:t>Cash inflows from financing activities for the nine months ended September 30, 2021 included $400.0 million in net proceeds from our Convertible Senior Notes offering, $349.2 million in net proceeds from our Term Loan B Facility, cash proceeds from stock options exercised of $8.7 million, and $1.2 million cash proceeds from issuance of common stock from the employee stock purchase plan. These increases were partially offset by a $39.0 million payment for capped call transactions entered into in connection with the Convertible Notes offering, debt issuance cost payments of $30.4 million, and $0.9 million repayment of our Term Loan B.</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02" w:lineRule="exact"/>
        <w:rPr>
          <w:sz w:val="20"/>
          <w:szCs w:val="20"/>
          <w:color w:val="auto"/>
        </w:rPr>
      </w:pPr>
    </w:p>
    <w:p>
      <w:pPr>
        <w:ind w:firstLine="621"/>
        <w:spacing w:after="0" w:line="264" w:lineRule="auto"/>
        <w:rPr>
          <w:sz w:val="20"/>
          <w:szCs w:val="20"/>
          <w:color w:val="auto"/>
        </w:rPr>
      </w:pPr>
      <w:r>
        <w:rPr>
          <w:rFonts w:ascii="Arial" w:cs="Arial" w:eastAsia="Arial" w:hAnsi="Arial"/>
          <w:sz w:val="17"/>
          <w:szCs w:val="17"/>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September 30, 2022 other than the short-term operating leases and the indemnification agreements described below, and commitments mentioned in Note 12 - "Commitments Contingencies."</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Contractual Obligations and Known Future Cash Requirements</w:t>
      </w:r>
    </w:p>
    <w:p>
      <w:pPr>
        <w:spacing w:after="0" w:line="102" w:lineRule="exact"/>
        <w:rPr>
          <w:sz w:val="20"/>
          <w:szCs w:val="20"/>
          <w:color w:val="auto"/>
        </w:rPr>
      </w:pPr>
    </w:p>
    <w:p>
      <w:pPr>
        <w:ind w:right="20" w:firstLine="621"/>
        <w:spacing w:after="0" w:line="285" w:lineRule="auto"/>
        <w:rPr>
          <w:sz w:val="20"/>
          <w:szCs w:val="20"/>
          <w:color w:val="auto"/>
        </w:rPr>
      </w:pPr>
      <w:r>
        <w:rPr>
          <w:rFonts w:ascii="Arial" w:cs="Arial" w:eastAsia="Arial" w:hAnsi="Arial"/>
          <w:sz w:val="16"/>
          <w:szCs w:val="16"/>
          <w:color w:val="auto"/>
        </w:rPr>
        <w:t>As of September 30, 2022, our principal commitments consist of obligations under our Convertible Senior Notes, Term Loan B Facility, Revolving Credit Facility, leases for our various office facilities, including our corporate headquarters in New York, New York, and offices in Los Angeles, California, operating lease agreements, including data centers, cloud hosting services that expire at various times through 2032, and indemnification holdback associated with the Carbon acquisition. In certain cases, the terms of the lease agreements provide for rental payments on a graduated basis.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0" w:firstLine="621"/>
        <w:spacing w:after="0" w:line="283" w:lineRule="auto"/>
        <w:rPr>
          <w:sz w:val="20"/>
          <w:szCs w:val="20"/>
          <w:color w:val="auto"/>
        </w:rPr>
      </w:pPr>
      <w:r>
        <w:rPr>
          <w:rFonts w:ascii="Arial" w:cs="Arial" w:eastAsia="Arial" w:hAnsi="Arial"/>
          <w:sz w:val="17"/>
          <w:szCs w:val="17"/>
          <w:color w:val="auto"/>
        </w:rPr>
        <w:t>The following table summarizes our future lease obligations, payments of principal and interest under our debt agreements, sublease income, and other future payments due under non-cancelable agreements at September 30, 2022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7"/>
                <w:szCs w:val="17"/>
                <w:color w:val="auto"/>
              </w:rPr>
              <w:t>Remaining</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2024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2025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2026</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w w:val="97"/>
              </w:rPr>
              <w:t>Lease liabilities associated with leases</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8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included Right of Use Asset as of</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6,183</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22,676</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19,806</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12,057</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9,976</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28,164</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98,862</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September 30, 2022</w:t>
            </w:r>
          </w:p>
        </w:tc>
        <w:tc>
          <w:tcPr>
            <w:tcW w:w="14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880" w:type="dxa"/>
            <w:vAlign w:val="bottom"/>
          </w:tcPr>
          <w:p>
            <w:pPr>
              <w:ind w:left="20"/>
              <w:spacing w:after="0" w:line="181" w:lineRule="exact"/>
              <w:rPr>
                <w:sz w:val="20"/>
                <w:szCs w:val="20"/>
                <w:color w:val="auto"/>
              </w:rPr>
            </w:pPr>
            <w:r>
              <w:rPr>
                <w:rFonts w:ascii="Arial" w:cs="Arial" w:eastAsia="Arial" w:hAnsi="Arial"/>
                <w:sz w:val="17"/>
                <w:szCs w:val="17"/>
                <w:color w:val="auto"/>
              </w:rPr>
              <w:t>Obligations for leases not included in</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880" w:type="dxa"/>
            <w:vAlign w:val="bottom"/>
          </w:tcPr>
          <w:p>
            <w:pPr>
              <w:ind w:left="20"/>
              <w:spacing w:after="0" w:line="168" w:lineRule="exact"/>
              <w:rPr>
                <w:sz w:val="20"/>
                <w:szCs w:val="20"/>
                <w:color w:val="auto"/>
              </w:rPr>
            </w:pPr>
            <w:r>
              <w:rPr>
                <w:rFonts w:ascii="Arial" w:cs="Arial" w:eastAsia="Arial" w:hAnsi="Arial"/>
                <w:sz w:val="17"/>
                <w:szCs w:val="17"/>
                <w:color w:val="auto"/>
              </w:rPr>
              <w:t>Lease liabilities as of September 30,</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299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2,096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2,244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1,931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88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6,765</w:t>
            </w:r>
          </w:p>
        </w:tc>
        <w:tc>
          <w:tcPr>
            <w:tcW w:w="0" w:type="dxa"/>
            <w:vAlign w:val="bottom"/>
          </w:tcPr>
          <w:p>
            <w:pPr>
              <w:spacing w:after="0"/>
              <w:rPr>
                <w:sz w:val="1"/>
                <w:szCs w:val="1"/>
                <w:color w:val="auto"/>
              </w:rPr>
            </w:pPr>
          </w:p>
        </w:tc>
      </w:tr>
      <w:tr>
        <w:trPr>
          <w:trHeight w:val="219"/>
        </w:trPr>
        <w:tc>
          <w:tcPr>
            <w:tcW w:w="2880" w:type="dxa"/>
            <w:vAlign w:val="bottom"/>
          </w:tcPr>
          <w:p>
            <w:pPr>
              <w:ind w:left="20"/>
              <w:spacing w:after="0"/>
              <w:rPr>
                <w:sz w:val="20"/>
                <w:szCs w:val="20"/>
                <w:color w:val="auto"/>
              </w:rPr>
            </w:pPr>
            <w:r>
              <w:rPr>
                <w:rFonts w:ascii="Arial" w:cs="Arial" w:eastAsia="Arial" w:hAnsi="Arial"/>
                <w:sz w:val="17"/>
                <w:szCs w:val="17"/>
                <w:color w:val="auto"/>
              </w:rPr>
              <w:t>2022</w:t>
            </w: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Senior Notes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20"/>
        </w:trPr>
        <w:tc>
          <w:tcPr>
            <w:tcW w:w="2880" w:type="dxa"/>
            <w:vAlign w:val="bottom"/>
          </w:tcPr>
          <w:p>
            <w:pPr>
              <w:ind w:left="20"/>
              <w:spacing w:after="0"/>
              <w:rPr>
                <w:sz w:val="20"/>
                <w:szCs w:val="20"/>
                <w:color w:val="auto"/>
              </w:rPr>
            </w:pPr>
            <w:r>
              <w:rPr>
                <w:rFonts w:ascii="Arial" w:cs="Arial" w:eastAsia="Arial" w:hAnsi="Arial"/>
                <w:sz w:val="17"/>
                <w:szCs w:val="17"/>
                <w:color w:val="auto"/>
              </w:rPr>
              <w:t>Interest, Convertible Senior Notes</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3,500</w:t>
            </w: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Term Loan B </w:t>
            </w:r>
            <w:r>
              <w:rPr>
                <w:rFonts w:ascii="Arial" w:cs="Arial" w:eastAsia="Arial" w:hAnsi="Arial"/>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355,500</w:t>
            </w:r>
          </w:p>
        </w:tc>
        <w:tc>
          <w:tcPr>
            <w:tcW w:w="0" w:type="dxa"/>
            <w:vAlign w:val="bottom"/>
          </w:tcPr>
          <w:p>
            <w:pPr>
              <w:spacing w:after="0"/>
              <w:rPr>
                <w:sz w:val="1"/>
                <w:szCs w:val="1"/>
                <w:color w:val="auto"/>
              </w:rPr>
            </w:pPr>
          </w:p>
        </w:tc>
      </w:tr>
      <w:tr>
        <w:trPr>
          <w:trHeight w:val="220"/>
        </w:trPr>
        <w:tc>
          <w:tcPr>
            <w:tcW w:w="2880" w:type="dxa"/>
            <w:vAlign w:val="bottom"/>
          </w:tcPr>
          <w:p>
            <w:pPr>
              <w:ind w:left="20"/>
              <w:spacing w:after="0" w:line="220" w:lineRule="exact"/>
              <w:rPr>
                <w:sz w:val="20"/>
                <w:szCs w:val="20"/>
                <w:color w:val="auto"/>
              </w:rPr>
            </w:pPr>
            <w:r>
              <w:rPr>
                <w:rFonts w:ascii="Arial" w:cs="Arial" w:eastAsia="Arial" w:hAnsi="Arial"/>
                <w:sz w:val="17"/>
                <w:szCs w:val="17"/>
                <w:color w:val="auto"/>
              </w:rPr>
              <w:t xml:space="preserve">Interest, Term Loan B </w:t>
            </w:r>
            <w:r>
              <w:rPr>
                <w:rFonts w:ascii="Arial" w:cs="Arial" w:eastAsia="Arial" w:hAnsi="Arial"/>
                <w:sz w:val="22"/>
                <w:szCs w:val="22"/>
                <w:color w:val="auto"/>
                <w:vertAlign w:val="superscript"/>
              </w:rPr>
              <w:t>(2)</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8,085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29,273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29,054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28,676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28,378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37,321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160,787</w:t>
            </w: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sublease income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(12,966)</w:t>
            </w:r>
          </w:p>
        </w:tc>
        <w:tc>
          <w:tcPr>
            <w:tcW w:w="0" w:type="dxa"/>
            <w:vAlign w:val="bottom"/>
          </w:tcPr>
          <w:p>
            <w:pPr>
              <w:spacing w:after="0"/>
              <w:rPr>
                <w:sz w:val="1"/>
                <w:szCs w:val="1"/>
                <w:color w:val="auto"/>
              </w:rPr>
            </w:pPr>
          </w:p>
        </w:tc>
      </w:tr>
      <w:tr>
        <w:trPr>
          <w:trHeight w:val="220"/>
        </w:trPr>
        <w:tc>
          <w:tcPr>
            <w:tcW w:w="2880" w:type="dxa"/>
            <w:vAlign w:val="bottom"/>
          </w:tcPr>
          <w:p>
            <w:pPr>
              <w:ind w:left="20"/>
              <w:spacing w:after="0"/>
              <w:rPr>
                <w:sz w:val="20"/>
                <w:szCs w:val="20"/>
                <w:color w:val="auto"/>
              </w:rPr>
            </w:pPr>
            <w:r>
              <w:rPr>
                <w:rFonts w:ascii="Arial" w:cs="Arial" w:eastAsia="Arial" w:hAnsi="Arial"/>
                <w:sz w:val="17"/>
                <w:szCs w:val="17"/>
                <w:color w:val="auto"/>
              </w:rPr>
              <w:t>Other non-cancelable obligations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9,802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17,458</w:t>
            </w:r>
          </w:p>
        </w:tc>
        <w:tc>
          <w:tcPr>
            <w:tcW w:w="0" w:type="dxa"/>
            <w:vAlign w:val="bottom"/>
          </w:tcPr>
          <w:p>
            <w:pPr>
              <w:spacing w:after="0"/>
              <w:rPr>
                <w:sz w:val="1"/>
                <w:szCs w:val="1"/>
                <w:color w:val="auto"/>
              </w:rPr>
            </w:pPr>
          </w:p>
        </w:tc>
      </w:tr>
      <w:tr>
        <w:trPr>
          <w:trHeight w:val="219"/>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442,282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405,792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1,029,906</w:t>
            </w:r>
          </w:p>
        </w:tc>
        <w:tc>
          <w:tcPr>
            <w:tcW w:w="0" w:type="dxa"/>
            <w:vAlign w:val="bottom"/>
          </w:tcPr>
          <w:p>
            <w:pPr>
              <w:spacing w:after="0"/>
              <w:rPr>
                <w:sz w:val="1"/>
                <w:szCs w:val="1"/>
                <w:color w:val="auto"/>
              </w:rPr>
            </w:pPr>
          </w:p>
        </w:tc>
      </w:tr>
    </w:tbl>
    <w:p>
      <w:pPr>
        <w:ind w:left="160" w:hanging="139"/>
        <w:spacing w:after="0"/>
        <w:tabs>
          <w:tab w:leader="none" w:pos="160" w:val="left"/>
        </w:tabs>
        <w:numPr>
          <w:ilvl w:val="0"/>
          <w:numId w:val="13"/>
        </w:numPr>
        <w:rPr>
          <w:rFonts w:ascii="Arial" w:cs="Arial" w:eastAsia="Arial" w:hAnsi="Arial"/>
          <w:sz w:val="8"/>
          <w:szCs w:val="8"/>
          <w:color w:val="auto"/>
        </w:rPr>
      </w:pPr>
      <w:r>
        <w:rPr>
          <w:rFonts w:ascii="Arial" w:cs="Arial" w:eastAsia="Arial" w:hAnsi="Arial"/>
          <w:sz w:val="11"/>
          <w:szCs w:val="11"/>
          <w:color w:val="auto"/>
        </w:rPr>
        <w:t>Includes only scheduled amortization of payments and excludes currently unknown prepayment amounts that may be required, per terms of the Credit Agreement, after the end of each fiscal year.</w:t>
      </w:r>
    </w:p>
    <w:p>
      <w:pPr>
        <w:spacing w:after="0" w:line="62" w:lineRule="exact"/>
        <w:rPr>
          <w:rFonts w:ascii="Arial" w:cs="Arial" w:eastAsia="Arial" w:hAnsi="Arial"/>
          <w:sz w:val="8"/>
          <w:szCs w:val="8"/>
          <w:color w:val="auto"/>
        </w:rPr>
      </w:pPr>
    </w:p>
    <w:p>
      <w:pPr>
        <w:ind w:left="160" w:hanging="139"/>
        <w:spacing w:after="0"/>
        <w:tabs>
          <w:tab w:leader="none" w:pos="160" w:val="left"/>
        </w:tabs>
        <w:numPr>
          <w:ilvl w:val="0"/>
          <w:numId w:val="13"/>
        </w:numPr>
        <w:rPr>
          <w:rFonts w:ascii="Arial" w:cs="Arial" w:eastAsia="Arial" w:hAnsi="Arial"/>
          <w:sz w:val="9"/>
          <w:szCs w:val="9"/>
          <w:color w:val="auto"/>
        </w:rPr>
      </w:pPr>
      <w:r>
        <w:rPr>
          <w:rFonts w:ascii="Arial" w:cs="Arial" w:eastAsia="Arial" w:hAnsi="Arial"/>
          <w:sz w:val="14"/>
          <w:szCs w:val="14"/>
          <w:color w:val="auto"/>
        </w:rPr>
        <w:t>Interest payments are based on an assumed rate of 8.17%, which was the rate as of September 30, 2022 for the associated Term Loan B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-213360</wp:posOffset>
            </wp:positionV>
            <wp:extent cx="53143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14315" cy="8255"/>
                    </a:xfrm>
                    <a:prstGeom prst="rect">
                      <a:avLst/>
                    </a:prstGeom>
                    <a:noFill/>
                  </pic:spPr>
                </pic:pic>
              </a:graphicData>
            </a:graphic>
          </wp:anchor>
        </w:drawing>
      </w:r>
    </w:p>
    <w:p>
      <w:pPr>
        <w:spacing w:after="0" w:line="187" w:lineRule="exact"/>
        <w:rPr>
          <w:sz w:val="20"/>
          <w:szCs w:val="20"/>
          <w:color w:val="auto"/>
        </w:rPr>
      </w:pPr>
    </w:p>
    <w:p>
      <w:pPr>
        <w:ind w:right="380" w:firstLine="621"/>
        <w:spacing w:after="0" w:line="283" w:lineRule="auto"/>
        <w:rPr>
          <w:sz w:val="20"/>
          <w:szCs w:val="20"/>
          <w:color w:val="auto"/>
        </w:rPr>
      </w:pPr>
      <w:r>
        <w:rPr>
          <w:rFonts w:ascii="Arial" w:cs="Arial" w:eastAsia="Arial" w:hAnsi="Arial"/>
          <w:sz w:val="17"/>
          <w:szCs w:val="17"/>
          <w:color w:val="auto"/>
        </w:rPr>
        <w:t>Obligations for leases not included in the lease liabilities as of September 30, 2022 include commitments under agreements for office space and data centers that have not commenced as of September 30, 2022.</w:t>
      </w:r>
    </w:p>
    <w:p>
      <w:pPr>
        <w:spacing w:after="0" w:line="31" w:lineRule="exact"/>
        <w:rPr>
          <w:sz w:val="20"/>
          <w:szCs w:val="20"/>
          <w:color w:val="auto"/>
        </w:rPr>
      </w:pPr>
    </w:p>
    <w:p>
      <w:pPr>
        <w:ind w:right="640" w:firstLine="621"/>
        <w:spacing w:after="0" w:line="283" w:lineRule="auto"/>
        <w:rPr>
          <w:sz w:val="20"/>
          <w:szCs w:val="20"/>
          <w:color w:val="auto"/>
        </w:rPr>
      </w:pPr>
      <w:r>
        <w:rPr>
          <w:rFonts w:ascii="Arial" w:cs="Arial" w:eastAsia="Arial" w:hAnsi="Arial"/>
          <w:sz w:val="17"/>
          <w:szCs w:val="17"/>
          <w:color w:val="auto"/>
        </w:rPr>
        <w:t>Payments associated with our Convertible Senior Notes are based on contractual terms and intended timing of repayments of long-term debt and associated interest and do not assume conversion prior to the maturity date.</w:t>
      </w:r>
    </w:p>
    <w:p>
      <w:pPr>
        <w:spacing w:after="0" w:line="43" w:lineRule="exact"/>
        <w:rPr>
          <w:sz w:val="20"/>
          <w:szCs w:val="20"/>
          <w:color w:val="auto"/>
        </w:rPr>
      </w:pPr>
    </w:p>
    <w:p>
      <w:pPr>
        <w:ind w:right="200" w:firstLine="621"/>
        <w:spacing w:after="0" w:line="281" w:lineRule="auto"/>
        <w:rPr>
          <w:sz w:val="20"/>
          <w:szCs w:val="20"/>
          <w:color w:val="auto"/>
        </w:rPr>
      </w:pPr>
      <w:r>
        <w:rPr>
          <w:rFonts w:ascii="Arial" w:cs="Arial" w:eastAsia="Arial" w:hAnsi="Arial"/>
          <w:sz w:val="16"/>
          <w:szCs w:val="16"/>
          <w:color w:val="auto"/>
        </w:rPr>
        <w:t>Other non-cancelable obligations include agreements in the normal course of business and purchase consideration that extend beyond a year as of September 30, 2022 and indemnification holdback obligations associated with acquisitions. Other non-cancelable obligations above excludes a variable commitment from an agreement for third-party cloud-managed services. The variable commitment begins in July 2023 and ends in June 2025. The future obligation under this agreement will be based on actual spend, as defined in the agreement, with the third-party provider from July 2022 through June 2023. We estimate the future minimum annual obligation to be between $40 million and $50 million in each twelve-month period.</w:t>
      </w:r>
    </w:p>
    <w:p>
      <w:pPr>
        <w:spacing w:after="0" w:line="48" w:lineRule="exact"/>
        <w:rPr>
          <w:sz w:val="20"/>
          <w:szCs w:val="20"/>
          <w:color w:val="auto"/>
        </w:rPr>
      </w:pPr>
    </w:p>
    <w:p>
      <w:pPr>
        <w:ind w:firstLine="621"/>
        <w:spacing w:after="0" w:line="257" w:lineRule="auto"/>
        <w:rPr>
          <w:sz w:val="20"/>
          <w:szCs w:val="20"/>
          <w:color w:val="auto"/>
        </w:rPr>
      </w:pPr>
      <w:r>
        <w:rPr>
          <w:rFonts w:ascii="Arial" w:cs="Arial" w:eastAsia="Arial" w:hAnsi="Arial"/>
          <w:sz w:val="17"/>
          <w:szCs w:val="17"/>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September 30, 2022.</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08" w:lineRule="exact"/>
        <w:rPr>
          <w:sz w:val="20"/>
          <w:szCs w:val="20"/>
          <w:color w:val="auto"/>
        </w:rPr>
      </w:pPr>
    </w:p>
    <w:p>
      <w:pPr>
        <w:ind w:right="40" w:firstLine="621"/>
        <w:spacing w:after="0" w:line="260"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By their nature, estimates are subject to an inherent degree of uncertainty. Certain of our estimates and assumptions require increased judgment and carry a higher degree of variability and volatility that could result in material changes to our estimates in future periods. Our actual results could differ from these estimates.</w:t>
      </w:r>
    </w:p>
    <w:p>
      <w:pPr>
        <w:spacing w:after="0" w:line="49" w:lineRule="exact"/>
        <w:rPr>
          <w:sz w:val="20"/>
          <w:szCs w:val="20"/>
          <w:color w:val="auto"/>
        </w:rPr>
      </w:pPr>
    </w:p>
    <w:p>
      <w:pPr>
        <w:ind w:right="120" w:firstLine="621"/>
        <w:spacing w:after="0" w:line="268" w:lineRule="auto"/>
        <w:rPr>
          <w:sz w:val="20"/>
          <w:szCs w:val="20"/>
          <w:color w:val="auto"/>
        </w:rPr>
      </w:pPr>
      <w:r>
        <w:rPr>
          <w:rFonts w:ascii="Arial" w:cs="Arial" w:eastAsia="Arial" w:hAnsi="Arial"/>
          <w:sz w:val="17"/>
          <w:szCs w:val="17"/>
          <w:color w:val="auto"/>
        </w:rPr>
        <w:t>We believe that the following assumptions and estimates have the greatest potential impact on our condensed consolidated financial statements: (i) the determination of revenue recognition as net versus gross in our revenue arrangements, (ii) the determination of the estimated useful lives of internal-use software development costs, (iii) the recoverability of intangible asset and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80"/>
        <w:spacing w:after="0" w:line="304" w:lineRule="auto"/>
        <w:rPr>
          <w:sz w:val="20"/>
          <w:szCs w:val="20"/>
          <w:color w:val="auto"/>
        </w:rPr>
      </w:pPr>
      <w:r>
        <w:rPr>
          <w:rFonts w:ascii="Arial" w:cs="Arial" w:eastAsia="Arial" w:hAnsi="Arial"/>
          <w:sz w:val="15"/>
          <w:szCs w:val="15"/>
          <w:color w:val="auto"/>
        </w:rPr>
        <w:t>goodwill, (iv) assumptions used in the valuation models to determine the fair value of stock options and stock-based compensation expense, (v) the assumptions used in the valuation of acquired assets and liabilities in business combinations, and (vi) income taxes, including the realization of tax assets and estimates of tax liabilities. Besides the adoption of new accounting pronouncements, as included within "Note 1—Organization and Summary of Significant Accounting Policies" to the condensed consolidated financial statements in this report, there have been no significant changes in our accounting policies or estimates from those disclosed in our audited consolidated financial statements and notes thereto for the year ended December 31, 2021 included in our Annual Report on Form 10-K.</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08" w:lineRule="exact"/>
        <w:rPr>
          <w:sz w:val="20"/>
          <w:szCs w:val="20"/>
          <w:color w:val="auto"/>
        </w:rPr>
      </w:pPr>
    </w:p>
    <w:p>
      <w:pPr>
        <w:ind w:right="320" w:firstLine="621"/>
        <w:spacing w:after="0" w:line="283" w:lineRule="auto"/>
        <w:rPr>
          <w:sz w:val="20"/>
          <w:szCs w:val="20"/>
          <w:color w:val="auto"/>
        </w:rPr>
      </w:pPr>
      <w:r>
        <w:rPr>
          <w:rFonts w:ascii="Arial" w:cs="Arial" w:eastAsia="Arial" w:hAnsi="Arial"/>
          <w:sz w:val="17"/>
          <w:szCs w:val="17"/>
          <w:color w:val="auto"/>
        </w:rPr>
        <w:t>For information regarding recent accounting pronouncements, refer to Note 1 "Organization and Summary of Significant Accounting Policies" to our condensed consolidated financial statements included in this Quarterly Report on Form 10-Q.</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 About Market Risk</w:t>
      </w:r>
    </w:p>
    <w:p>
      <w:pPr>
        <w:spacing w:after="0" w:line="95" w:lineRule="exact"/>
        <w:rPr>
          <w:sz w:val="20"/>
          <w:szCs w:val="20"/>
          <w:color w:val="auto"/>
        </w:rPr>
      </w:pPr>
    </w:p>
    <w:p>
      <w:pPr>
        <w:ind w:right="160" w:firstLine="621"/>
        <w:spacing w:after="0" w:line="268" w:lineRule="auto"/>
        <w:rPr>
          <w:sz w:val="20"/>
          <w:szCs w:val="20"/>
          <w:color w:val="auto"/>
        </w:rPr>
      </w:pPr>
      <w:r>
        <w:rPr>
          <w:rFonts w:ascii="Arial" w:cs="Arial" w:eastAsia="Arial" w:hAnsi="Arial"/>
          <w:sz w:val="17"/>
          <w:szCs w:val="17"/>
          <w:color w:val="auto"/>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the COVID-19 pandemic on global macroeconomic and market conditions.</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Interest Rate Fluctuation Risk</w:t>
      </w:r>
    </w:p>
    <w:p>
      <w:pPr>
        <w:spacing w:after="0" w:line="102" w:lineRule="exact"/>
        <w:rPr>
          <w:sz w:val="20"/>
          <w:szCs w:val="20"/>
          <w:color w:val="auto"/>
        </w:rPr>
      </w:pPr>
    </w:p>
    <w:p>
      <w:pPr>
        <w:ind w:firstLine="621"/>
        <w:spacing w:after="0" w:line="309" w:lineRule="auto"/>
        <w:rPr>
          <w:sz w:val="20"/>
          <w:szCs w:val="20"/>
          <w:color w:val="auto"/>
        </w:rPr>
      </w:pPr>
      <w:r>
        <w:rPr>
          <w:rFonts w:ascii="Arial" w:cs="Arial" w:eastAsia="Arial" w:hAnsi="Arial"/>
          <w:sz w:val="15"/>
          <w:szCs w:val="15"/>
          <w:color w:val="auto"/>
        </w:rPr>
        <w:t>Our cash and cash equivalents consist of cash and money market funds, but may from time to time also include commercial paper, with original maturities of three months or less. Our investments may consist of repurchase agreements, U.S. government agency debt, and U.S. treasury debt. The primary objective of our investment activities is to preserve the value of our cash without significantly increasing risk. Because our cash, cash equivalents, and investments have a short maturity, our portfolio’s fair value is relatively insensitive to interest rate changes, however, interest income earned will vary as interest rates change.</w:t>
      </w:r>
    </w:p>
    <w:p>
      <w:pPr>
        <w:spacing w:after="0" w:line="17" w:lineRule="exact"/>
        <w:rPr>
          <w:sz w:val="20"/>
          <w:szCs w:val="20"/>
          <w:color w:val="auto"/>
        </w:rPr>
      </w:pPr>
    </w:p>
    <w:p>
      <w:pPr>
        <w:ind w:right="40" w:firstLine="621"/>
        <w:spacing w:after="0" w:line="264" w:lineRule="auto"/>
        <w:rPr>
          <w:sz w:val="20"/>
          <w:szCs w:val="20"/>
          <w:color w:val="auto"/>
        </w:rPr>
      </w:pPr>
      <w:r>
        <w:rPr>
          <w:rFonts w:ascii="Arial" w:cs="Arial" w:eastAsia="Arial" w:hAnsi="Arial"/>
          <w:sz w:val="17"/>
          <w:szCs w:val="17"/>
          <w:color w:val="auto"/>
        </w:rPr>
        <w:t>We do not have economic interest rate expense exposure on our Convertible Senior Notes due to their fixed interest rate nature. The amount paid upon redemption is not based on changes in any index or changing market rates. It is fixed at 100% of the principal amount of the Convertible Senior Notes plus unpaid interest. Since the Convertible Senior Notes bear fixed rate coupon, we are not exposed to interest rate risk on those notes, however, the fair value of those notes will change as market interest rates change.</w:t>
      </w:r>
    </w:p>
    <w:p>
      <w:pPr>
        <w:spacing w:after="0" w:line="58" w:lineRule="exact"/>
        <w:rPr>
          <w:sz w:val="20"/>
          <w:szCs w:val="20"/>
          <w:color w:val="auto"/>
        </w:rPr>
      </w:pPr>
    </w:p>
    <w:p>
      <w:pPr>
        <w:ind w:right="120" w:firstLine="621"/>
        <w:spacing w:after="0" w:line="259" w:lineRule="auto"/>
        <w:rPr>
          <w:sz w:val="20"/>
          <w:szCs w:val="20"/>
          <w:color w:val="auto"/>
        </w:rPr>
      </w:pPr>
      <w:r>
        <w:rPr>
          <w:rFonts w:ascii="Arial" w:cs="Arial" w:eastAsia="Arial" w:hAnsi="Arial"/>
          <w:sz w:val="17"/>
          <w:szCs w:val="17"/>
          <w:color w:val="auto"/>
        </w:rPr>
        <w:t>We have a Term Loan B Facility under the Credit Agreement which bears a floating rate of interest that resets periodically, subject to a 0.75% floor on that floating rate, according to the terms of the agreement. Our financial results have been exposed to changes in the underlying base interest rate on that debt because the underlying base interest rate has now reset above the floor on such underlying interest rate. The fair value of Term Loan B Facility may fluctuate when the underlying base interest rate fluctuates below the floor or when the rate of return demanded by our loan investors increases relative to when the loans were issued. As of September 30, 2022, the Company had no outstanding borrowings under the Revolving Credit Facility. Should the company borrow under the Revolving Credit Facility at any point in the future, any associated borrowings would have a floating underlying base rate of interest that would expose the Company to interest rate risk.</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do not believe that an increase or decrease in interest rates of 100 basis points would have a material effect on our operating results or financial</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condition. The annualized impact to interest expense for each 100 basis points increase above the LIBOR Floor on our Term Loan B Facility is approximately</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$3.6 million. The actual impact to our financial results of the same increase in interest rates is expected to be lower than $3.6 million depending on the timing and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magnitude of such rate changes relative to our LIBOR Floor, and will be partially offset by higher interest income earned on our cash and cash equivalent balances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over the same period. In future periods, we will continue to evaluate our investment opportunities and policy relative to our overall objectives.</w:t>
      </w:r>
    </w:p>
    <w:p>
      <w:pPr>
        <w:spacing w:after="0" w:line="76" w:lineRule="exact"/>
        <w:rPr>
          <w:sz w:val="20"/>
          <w:szCs w:val="20"/>
          <w:color w:val="auto"/>
        </w:rPr>
      </w:pPr>
    </w:p>
    <w:p>
      <w:pPr>
        <w:ind w:right="60" w:firstLine="621"/>
        <w:spacing w:after="0" w:line="283" w:lineRule="auto"/>
        <w:rPr>
          <w:sz w:val="20"/>
          <w:szCs w:val="20"/>
          <w:color w:val="auto"/>
        </w:rPr>
      </w:pPr>
      <w:r>
        <w:rPr>
          <w:rFonts w:ascii="Arial" w:cs="Arial" w:eastAsia="Arial" w:hAnsi="Arial"/>
          <w:sz w:val="17"/>
          <w:szCs w:val="17"/>
          <w:color w:val="auto"/>
        </w:rPr>
        <w:t>With regard to all debt currently outstanding, the company is potentially exposed to refinancing risk, should the Company seek to refinance existing debt or raise new debt in the future, and the prevailing cost or terms for that debt differs from terms in our current debt agreements.</w:t>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02" w:lineRule="exact"/>
        <w:rPr>
          <w:sz w:val="20"/>
          <w:szCs w:val="20"/>
          <w:color w:val="auto"/>
        </w:rPr>
      </w:pPr>
    </w:p>
    <w:p>
      <w:pPr>
        <w:ind w:right="160" w:firstLine="621"/>
        <w:spacing w:after="0" w:line="261" w:lineRule="auto"/>
        <w:rPr>
          <w:sz w:val="20"/>
          <w:szCs w:val="20"/>
          <w:color w:val="auto"/>
        </w:rPr>
      </w:pPr>
      <w:r>
        <w:rPr>
          <w:rFonts w:ascii="Arial" w:cs="Arial" w:eastAsia="Arial" w:hAnsi="Arial"/>
          <w:sz w:val="17"/>
          <w:szCs w:val="17"/>
          <w:color w:val="auto"/>
        </w:rPr>
        <w:t>We have foreign currency risks related to our revenue and expenses denominated in currencies other than the U.S. Dollar, principally the British Pound, Australian Dollar, Canadian Dollar, and Euro. The volatility of exchange rates depends on many factors that we cannot forecast with reliable accuracy.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immediate 10% adverse change in foreign exchange rates on foreign-denominated accounts at September 30, 2022, including intercompany balances, would result in a foreign currency loss of approximately $6.5 million. In the event our non-U.S. Dollar denominated sales and expenses increase, our operating results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would have on our results of operations.</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Inflation Risk</w:t>
      </w:r>
    </w:p>
    <w:p>
      <w:pPr>
        <w:spacing w:after="0" w:line="102" w:lineRule="exact"/>
        <w:rPr>
          <w:sz w:val="20"/>
          <w:szCs w:val="20"/>
          <w:color w:val="auto"/>
        </w:rPr>
      </w:pPr>
    </w:p>
    <w:p>
      <w:pPr>
        <w:ind w:right="120" w:firstLine="621"/>
        <w:spacing w:after="0" w:line="261" w:lineRule="auto"/>
        <w:rPr>
          <w:sz w:val="20"/>
          <w:szCs w:val="20"/>
          <w:color w:val="auto"/>
        </w:rPr>
      </w:pPr>
      <w:r>
        <w:rPr>
          <w:rFonts w:ascii="Arial" w:cs="Arial" w:eastAsia="Arial" w:hAnsi="Arial"/>
          <w:sz w:val="17"/>
          <w:szCs w:val="17"/>
          <w:color w:val="auto"/>
        </w:rPr>
        <w:t>We do not believe that cost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 This risk of cost inflation is distinct from the risk that inflation throughout the broader economy could lead to reduced ad spend and indirectly harm our business, financial condition, and results of operations. For a discussion of the indirect results of inflation on our business, see "Impact of COVID-19 Pandemic and Other Macroeconomic Developments."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89" w:lineRule="exact"/>
        <w:rPr>
          <w:sz w:val="20"/>
          <w:szCs w:val="20"/>
          <w:color w:val="auto"/>
        </w:rPr>
      </w:pPr>
    </w:p>
    <w:p>
      <w:pPr>
        <w:ind w:right="40" w:firstLine="621"/>
        <w:spacing w:after="0" w:line="298" w:lineRule="auto"/>
        <w:rPr>
          <w:sz w:val="20"/>
          <w:szCs w:val="20"/>
          <w:color w:val="auto"/>
        </w:rPr>
      </w:pPr>
      <w:r>
        <w:rPr>
          <w:rFonts w:ascii="Arial" w:cs="Arial" w:eastAsia="Arial" w:hAnsi="Arial"/>
          <w:sz w:val="15"/>
          <w:szCs w:val="15"/>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September 30, 2022, our disclosure controls and procedures were effective at the reasonable assurance level.</w:t>
      </w:r>
    </w:p>
    <w:p>
      <w:pPr>
        <w:spacing w:after="0" w:line="4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02" w:lineRule="exact"/>
        <w:rPr>
          <w:sz w:val="20"/>
          <w:szCs w:val="20"/>
          <w:color w:val="auto"/>
        </w:rPr>
      </w:pPr>
    </w:p>
    <w:p>
      <w:pPr>
        <w:ind w:right="260" w:firstLine="621"/>
        <w:spacing w:after="0" w:line="283" w:lineRule="auto"/>
        <w:rPr>
          <w:sz w:val="20"/>
          <w:szCs w:val="20"/>
          <w:color w:val="auto"/>
        </w:rPr>
      </w:pPr>
      <w:r>
        <w:rPr>
          <w:rFonts w:ascii="Arial" w:cs="Arial" w:eastAsia="Arial" w:hAnsi="Arial"/>
          <w:sz w:val="17"/>
          <w:szCs w:val="17"/>
          <w:color w:val="auto"/>
        </w:rPr>
        <w:t>There have been no changes in our internal control over financial reporting that occurred during the three months ended September 30, 2022 that have materially affected, or are reasonably likely to materially affect, our internal control over financial reporting.</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Inherent Limitations on Effectiveness of Controls</w:t>
      </w:r>
    </w:p>
    <w:p>
      <w:pPr>
        <w:spacing w:after="0" w:line="102" w:lineRule="exact"/>
        <w:rPr>
          <w:sz w:val="20"/>
          <w:szCs w:val="20"/>
          <w:color w:val="auto"/>
        </w:rPr>
      </w:pPr>
    </w:p>
    <w:p>
      <w:pPr>
        <w:ind w:firstLine="621"/>
        <w:spacing w:after="0" w:line="275" w:lineRule="auto"/>
        <w:rPr>
          <w:sz w:val="20"/>
          <w:szCs w:val="20"/>
          <w:color w:val="auto"/>
        </w:rPr>
      </w:pPr>
      <w:r>
        <w:rPr>
          <w:rFonts w:ascii="Arial" w:cs="Arial" w:eastAsia="Arial" w:hAnsi="Arial"/>
          <w:sz w:val="16"/>
          <w:szCs w:val="16"/>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86" w:lineRule="exact"/>
        <w:rPr>
          <w:sz w:val="20"/>
          <w:szCs w:val="20"/>
          <w:color w:val="auto"/>
        </w:rPr>
      </w:pPr>
    </w:p>
    <w:p>
      <w:pPr>
        <w:ind w:right="120" w:firstLine="621"/>
        <w:spacing w:after="0" w:line="279" w:lineRule="auto"/>
        <w:rPr>
          <w:sz w:val="20"/>
          <w:szCs w:val="20"/>
          <w:color w:val="auto"/>
        </w:rPr>
      </w:pPr>
      <w:r>
        <w:rPr>
          <w:rFonts w:ascii="Arial" w:cs="Arial" w:eastAsia="Arial" w:hAnsi="Arial"/>
          <w:sz w:val="16"/>
          <w:szCs w:val="16"/>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September 30, 2022. However, based on our knowledge as of September 30,</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60"/>
        <w:spacing w:after="0" w:line="283" w:lineRule="auto"/>
        <w:rPr>
          <w:sz w:val="20"/>
          <w:szCs w:val="20"/>
          <w:color w:val="auto"/>
        </w:rPr>
      </w:pPr>
      <w:r>
        <w:rPr>
          <w:rFonts w:ascii="Arial" w:cs="Arial" w:eastAsia="Arial" w:hAnsi="Arial"/>
          <w:sz w:val="17"/>
          <w:szCs w:val="17"/>
          <w:color w:val="auto"/>
        </w:rPr>
        <w:t>2022, we 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Refer to Note 12—"Commitments and Contingencies" for additional information related to legal proceedings.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86" w:lineRule="exact"/>
        <w:rPr>
          <w:sz w:val="20"/>
          <w:szCs w:val="20"/>
          <w:color w:val="auto"/>
        </w:rPr>
      </w:pPr>
    </w:p>
    <w:p>
      <w:pPr>
        <w:ind w:right="20" w:firstLine="621"/>
        <w:spacing w:after="0" w:line="259" w:lineRule="auto"/>
        <w:rPr>
          <w:sz w:val="20"/>
          <w:szCs w:val="20"/>
          <w:color w:val="auto"/>
        </w:rPr>
      </w:pPr>
      <w:r>
        <w:rPr>
          <w:rFonts w:ascii="Arial" w:cs="Arial" w:eastAsia="Arial" w:hAnsi="Arial"/>
          <w:sz w:val="17"/>
          <w:szCs w:val="17"/>
          <w:color w:val="auto"/>
        </w:rPr>
        <w:t>Investing in our common stock involves a high degree of risk. We describe risks associated with our business below and in Part I, Item 1A: "Risk Factors" of our Annual Report on Form 10-K for the year ended December 31, 2021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w:t>
      </w:r>
    </w:p>
    <w:p>
      <w:pPr>
        <w:spacing w:after="0" w:line="63" w:lineRule="exact"/>
        <w:rPr>
          <w:sz w:val="20"/>
          <w:szCs w:val="20"/>
          <w:color w:val="auto"/>
        </w:rPr>
      </w:pPr>
    </w:p>
    <w:p>
      <w:pPr>
        <w:ind w:firstLine="621"/>
        <w:spacing w:after="0" w:line="279" w:lineRule="auto"/>
        <w:rPr>
          <w:sz w:val="20"/>
          <w:szCs w:val="20"/>
          <w:color w:val="auto"/>
        </w:rPr>
      </w:pPr>
      <w:r>
        <w:rPr>
          <w:rFonts w:ascii="Arial" w:cs="Arial" w:eastAsia="Arial" w:hAnsi="Arial"/>
          <w:sz w:val="16"/>
          <w:szCs w:val="16"/>
          <w:color w:val="auto"/>
        </w:rPr>
        <w:t>There are no additional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In addition, the economic impact of the COVID-19 pandemic and other macroeconomic challenges, such as another pandemic or health crisis, geopolitical events (including the conflict in Ukraine), and other macroeconomic factors like labor shortages, supply chain disruptions, recessionary concerns, and inflation may amplify many of the risks described in our risk factors. Accordingly, you are advised to consider additional sources of information and exercise your own judgment in addition to the information we provide.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95" w:lineRule="exact"/>
        <w:rPr>
          <w:sz w:val="20"/>
          <w:szCs w:val="20"/>
          <w:color w:val="auto"/>
        </w:rPr>
      </w:pPr>
    </w:p>
    <w:p>
      <w:pPr>
        <w:ind w:left="180" w:right="7640" w:firstLine="444"/>
        <w:spacing w:after="0" w:line="467" w:lineRule="auto"/>
        <w:tabs>
          <w:tab w:leader="none" w:pos="873" w:val="left"/>
        </w:tabs>
        <w:numPr>
          <w:ilvl w:val="0"/>
          <w:numId w:val="14"/>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Recent Sales of Unregistered Securities </w:t>
      </w:r>
      <w:r>
        <w:rPr>
          <w:rFonts w:ascii="Arial" w:cs="Arial" w:eastAsia="Arial" w:hAnsi="Arial"/>
          <w:sz w:val="15"/>
          <w:szCs w:val="15"/>
          <w:color w:val="auto"/>
        </w:rPr>
        <w:t>None (except as previously disclosed).</w:t>
      </w:r>
    </w:p>
    <w:p>
      <w:pPr>
        <w:spacing w:after="0" w:line="1" w:lineRule="exact"/>
        <w:rPr>
          <w:rFonts w:ascii="Arial" w:cs="Arial" w:eastAsia="Arial" w:hAnsi="Arial"/>
          <w:sz w:val="15"/>
          <w:szCs w:val="15"/>
          <w:i w:val="1"/>
          <w:iCs w:val="1"/>
          <w:color w:val="auto"/>
        </w:rPr>
      </w:pPr>
    </w:p>
    <w:p>
      <w:pPr>
        <w:ind w:left="860" w:hanging="236"/>
        <w:spacing w:after="0"/>
        <w:tabs>
          <w:tab w:leader="none" w:pos="86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Use of Proceeds</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Not Applicable.</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 Purchases of Equity Securities by the Company and Affiliated Purchasers</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Common stock repurchases during the quarter ended September 30, 2022 were as follows (in thousands, except per share amounts):</w:t>
      </w:r>
    </w:p>
    <w:p>
      <w:pPr>
        <w:sectPr>
          <w:pgSz w:w="11900" w:h="16838" w:orient="portrait"/>
          <w:cols w:equalWidth="0" w:num="1">
            <w:col w:w="11220"/>
          </w:cols>
          <w:pgMar w:left="320" w:top="127" w:right="359" w:bottom="1440" w:gutter="0" w:footer="0" w:header="0"/>
        </w:sectPr>
      </w:pP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7"/>
                <w:szCs w:val="17"/>
                <w:b w:val="1"/>
                <w:bCs w:val="1"/>
                <w:color w:val="auto"/>
                <w:w w:val="90"/>
              </w:rPr>
              <w:t>Total number of shares</w:t>
            </w:r>
          </w:p>
        </w:tc>
        <w:tc>
          <w:tcPr>
            <w:tcW w:w="0" w:type="dxa"/>
            <w:vAlign w:val="bottom"/>
          </w:tcPr>
          <w:p>
            <w:pPr>
              <w:spacing w:after="0"/>
              <w:rPr>
                <w:sz w:val="1"/>
                <w:szCs w:val="1"/>
                <w:color w:val="auto"/>
              </w:rPr>
            </w:pPr>
          </w:p>
        </w:tc>
      </w:tr>
      <w:tr>
        <w:trPr>
          <w:trHeight w:val="168"/>
        </w:trPr>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auto"/>
                <w:w w:val="91"/>
              </w:rPr>
              <w:t>Total Number of Shares</w:t>
            </w: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w w:val="89"/>
              </w:rPr>
              <w:t>purchased as part of a</w:t>
            </w:r>
          </w:p>
        </w:tc>
        <w:tc>
          <w:tcPr>
            <w:tcW w:w="0" w:type="dxa"/>
            <w:vAlign w:val="bottom"/>
          </w:tcPr>
          <w:p>
            <w:pPr>
              <w:spacing w:after="0"/>
              <w:rPr>
                <w:sz w:val="1"/>
                <w:szCs w:val="1"/>
                <w:color w:val="auto"/>
              </w:rPr>
            </w:pPr>
          </w:p>
        </w:tc>
      </w:tr>
      <w:tr>
        <w:trPr>
          <w:trHeight w:val="168"/>
        </w:trPr>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w w:val="91"/>
              </w:rPr>
              <w:t>Publicly Announced</w:t>
            </w:r>
          </w:p>
        </w:tc>
        <w:tc>
          <w:tcPr>
            <w:tcW w:w="0" w:type="dxa"/>
            <w:vAlign w:val="bottom"/>
          </w:tcPr>
          <w:p>
            <w:pPr>
              <w:spacing w:after="0"/>
              <w:rPr>
                <w:sz w:val="1"/>
                <w:szCs w:val="1"/>
                <w:color w:val="auto"/>
              </w:rPr>
            </w:pPr>
          </w:p>
        </w:tc>
      </w:tr>
      <w:tr>
        <w:trPr>
          <w:trHeight w:val="233"/>
        </w:trPr>
        <w:tc>
          <w:tcPr>
            <w:tcW w:w="2820" w:type="dxa"/>
            <w:vAlign w:val="bottom"/>
            <w:gridSpan w:val="2"/>
          </w:tcPr>
          <w:p>
            <w:pPr>
              <w:ind w:left="1120"/>
              <w:spacing w:after="0"/>
              <w:rPr>
                <w:sz w:val="20"/>
                <w:szCs w:val="20"/>
                <w:color w:val="auto"/>
              </w:rPr>
            </w:pPr>
            <w:r>
              <w:rPr>
                <w:rFonts w:ascii="Arial" w:cs="Arial" w:eastAsia="Arial" w:hAnsi="Arial"/>
                <w:sz w:val="17"/>
                <w:szCs w:val="17"/>
                <w:b w:val="1"/>
                <w:bCs w:val="1"/>
                <w:color w:val="auto"/>
              </w:rPr>
              <w:t>Period</w:t>
            </w:r>
          </w:p>
        </w:tc>
        <w:tc>
          <w:tcPr>
            <w:tcW w:w="20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7"/>
              </w:rPr>
              <w:t>Purchased</w:t>
            </w:r>
          </w:p>
        </w:tc>
        <w:tc>
          <w:tcPr>
            <w:tcW w:w="2080" w:type="dxa"/>
            <w:vAlign w:val="bottom"/>
            <w:gridSpan w:val="2"/>
          </w:tcPr>
          <w:p>
            <w:pPr>
              <w:ind w:left="100"/>
              <w:spacing w:after="0"/>
              <w:rPr>
                <w:sz w:val="20"/>
                <w:szCs w:val="20"/>
                <w:color w:val="auto"/>
              </w:rPr>
            </w:pPr>
            <w:r>
              <w:rPr>
                <w:rFonts w:ascii="Arial" w:cs="Arial" w:eastAsia="Arial" w:hAnsi="Arial"/>
                <w:sz w:val="17"/>
                <w:szCs w:val="17"/>
                <w:b w:val="1"/>
                <w:bCs w:val="1"/>
                <w:color w:val="auto"/>
                <w:w w:val="99"/>
              </w:rPr>
              <w:t>Average Price per Share</w:t>
            </w:r>
          </w:p>
        </w:tc>
        <w:tc>
          <w:tcPr>
            <w:tcW w:w="2020" w:type="dxa"/>
            <w:vAlign w:val="bottom"/>
          </w:tcPr>
          <w:p>
            <w:pPr>
              <w:jc w:val="center"/>
              <w:spacing w:after="0"/>
              <w:rPr>
                <w:sz w:val="20"/>
                <w:szCs w:val="20"/>
                <w:color w:val="auto"/>
              </w:rPr>
            </w:pPr>
            <w:r>
              <w:rPr>
                <w:rFonts w:ascii="Arial" w:cs="Arial" w:eastAsia="Arial" w:hAnsi="Arial"/>
                <w:sz w:val="17"/>
                <w:szCs w:val="17"/>
                <w:b w:val="1"/>
                <w:bCs w:val="1"/>
                <w:color w:val="auto"/>
                <w:w w:val="94"/>
              </w:rPr>
              <w:t>Program</w:t>
            </w:r>
          </w:p>
        </w:tc>
        <w:tc>
          <w:tcPr>
            <w:tcW w:w="0" w:type="dxa"/>
            <w:vAlign w:val="bottom"/>
          </w:tcPr>
          <w:p>
            <w:pPr>
              <w:spacing w:after="0"/>
              <w:rPr>
                <w:sz w:val="1"/>
                <w:szCs w:val="1"/>
                <w:color w:val="auto"/>
              </w:rPr>
            </w:pPr>
          </w:p>
        </w:tc>
      </w:tr>
      <w:tr>
        <w:trPr>
          <w:trHeight w:val="217"/>
        </w:trPr>
        <w:tc>
          <w:tcPr>
            <w:tcW w:w="27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July 1 - July 31, 2022</w:t>
            </w:r>
          </w:p>
        </w:tc>
        <w:tc>
          <w:tcPr>
            <w:tcW w:w="8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7039610" cy="147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39610" cy="147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60"/>
        <w:spacing w:after="0" w:line="233" w:lineRule="auto"/>
        <w:rPr>
          <w:sz w:val="20"/>
          <w:szCs w:val="20"/>
          <w:color w:val="auto"/>
        </w:rPr>
      </w:pPr>
      <w:r>
        <w:rPr>
          <w:rFonts w:ascii="Arial" w:cs="Arial" w:eastAsia="Arial" w:hAnsi="Arial"/>
          <w:sz w:val="16"/>
          <w:szCs w:val="16"/>
          <w:b w:val="1"/>
          <w:bCs w:val="1"/>
          <w:color w:val="auto"/>
        </w:rPr>
        <w:t>Maximum Approximate Dollar Value that May Yet be Purchased Under the</w:t>
      </w:r>
    </w:p>
    <w:p>
      <w:pPr>
        <w:spacing w:after="0" w:line="2"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Program</w:t>
      </w:r>
    </w:p>
    <w:p>
      <w:pPr>
        <w:spacing w:after="0" w:line="247" w:lineRule="exact"/>
        <w:rPr>
          <w:sz w:val="20"/>
          <w:szCs w:val="20"/>
          <w:color w:val="auto"/>
        </w:rPr>
      </w:pPr>
    </w:p>
    <w:p>
      <w:pPr>
        <w:sectPr>
          <w:pgSz w:w="11900" w:h="16838" w:orient="portrait"/>
          <w:cols w:equalWidth="0" w:num="2">
            <w:col w:w="9000" w:space="120"/>
            <w:col w:w="2100"/>
          </w:cols>
          <w:pgMar w:left="320" w:top="127" w:right="3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820" w:type="dxa"/>
            <w:vAlign w:val="bottom"/>
          </w:tcPr>
          <w:p>
            <w:pPr>
              <w:ind w:left="220"/>
              <w:spacing w:after="0" w:line="217" w:lineRule="exact"/>
              <w:rPr>
                <w:sz w:val="20"/>
                <w:szCs w:val="20"/>
                <w:color w:val="auto"/>
              </w:rPr>
            </w:pPr>
            <w:r>
              <w:rPr>
                <w:rFonts w:ascii="Arial" w:cs="Arial" w:eastAsia="Arial" w:hAnsi="Arial"/>
                <w:sz w:val="17"/>
                <w:szCs w:val="17"/>
                <w:color w:val="auto"/>
              </w:rPr>
              <w:t>Equity withholding</w:t>
            </w:r>
            <w:r>
              <w:rPr>
                <w:rFonts w:ascii="Arial" w:cs="Arial" w:eastAsia="Arial" w:hAnsi="Arial"/>
                <w:sz w:val="22"/>
                <w:szCs w:val="22"/>
                <w:color w:val="auto"/>
                <w:vertAlign w:val="superscript"/>
              </w:rPr>
              <w:t>(1)</w:t>
            </w:r>
          </w:p>
        </w:tc>
        <w:tc>
          <w:tcPr>
            <w:tcW w:w="2000" w:type="dxa"/>
            <w:vAlign w:val="bottom"/>
          </w:tcPr>
          <w:p>
            <w:pPr>
              <w:jc w:val="right"/>
              <w:spacing w:after="0"/>
              <w:rPr>
                <w:sz w:val="20"/>
                <w:szCs w:val="20"/>
                <w:color w:val="auto"/>
              </w:rPr>
            </w:pPr>
            <w:r>
              <w:rPr>
                <w:rFonts w:ascii="Arial" w:cs="Arial" w:eastAsia="Arial" w:hAnsi="Arial"/>
                <w:sz w:val="17"/>
                <w:szCs w:val="17"/>
                <w:color w:val="auto"/>
              </w:rPr>
              <w:t>43</w:t>
            </w:r>
          </w:p>
        </w:tc>
        <w:tc>
          <w:tcPr>
            <w:tcW w:w="940" w:type="dxa"/>
            <w:vAlign w:val="bottom"/>
          </w:tcPr>
          <w:p>
            <w:pPr>
              <w:jc w:val="right"/>
              <w:ind w:right="674"/>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9.02</w:t>
            </w:r>
          </w:p>
        </w:tc>
        <w:tc>
          <w:tcPr>
            <w:tcW w:w="2020" w:type="dxa"/>
            <w:vAlign w:val="bottom"/>
          </w:tcPr>
          <w:p>
            <w:pPr>
              <w:ind w:left="178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59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82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Repurchase program</w:t>
            </w:r>
            <w:r>
              <w:rPr>
                <w:rFonts w:ascii="Arial" w:cs="Arial" w:eastAsia="Arial" w:hAnsi="Arial"/>
                <w:sz w:val="22"/>
                <w:szCs w:val="22"/>
                <w:color w:val="auto"/>
                <w:vertAlign w:val="superscript"/>
              </w:rPr>
              <w:t>(2)</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67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ind w:left="17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9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28,330</w:t>
            </w:r>
          </w:p>
        </w:tc>
      </w:tr>
      <w:tr>
        <w:trPr>
          <w:trHeight w:val="220"/>
        </w:trPr>
        <w:tc>
          <w:tcPr>
            <w:tcW w:w="2820" w:type="dxa"/>
            <w:vAlign w:val="bottom"/>
          </w:tcPr>
          <w:p>
            <w:pPr>
              <w:ind w:left="20"/>
              <w:spacing w:after="0"/>
              <w:rPr>
                <w:sz w:val="20"/>
                <w:szCs w:val="20"/>
                <w:color w:val="auto"/>
              </w:rPr>
            </w:pPr>
            <w:r>
              <w:rPr>
                <w:rFonts w:ascii="Arial" w:cs="Arial" w:eastAsia="Arial" w:hAnsi="Arial"/>
                <w:sz w:val="17"/>
                <w:szCs w:val="17"/>
                <w:b w:val="1"/>
                <w:bCs w:val="1"/>
                <w:color w:val="auto"/>
              </w:rPr>
              <w:t>August 1 - August 31, 2022</w:t>
            </w:r>
          </w:p>
        </w:tc>
        <w:tc>
          <w:tcPr>
            <w:tcW w:w="2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0"/>
        </w:trPr>
        <w:tc>
          <w:tcPr>
            <w:tcW w:w="282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Equity withholding</w:t>
            </w:r>
            <w:r>
              <w:rPr>
                <w:rFonts w:ascii="Arial" w:cs="Arial" w:eastAsia="Arial" w:hAnsi="Arial"/>
                <w:sz w:val="22"/>
                <w:szCs w:val="22"/>
                <w:color w:val="auto"/>
                <w:vertAlign w:val="superscript"/>
              </w:rPr>
              <w:t>(1)</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940" w:type="dxa"/>
            <w:vAlign w:val="bottom"/>
            <w:shd w:val="clear" w:color="auto" w:fill="CCEEFF"/>
          </w:tcPr>
          <w:p>
            <w:pPr>
              <w:jc w:val="right"/>
              <w:ind w:right="67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9.79</w:t>
            </w:r>
          </w:p>
        </w:tc>
        <w:tc>
          <w:tcPr>
            <w:tcW w:w="2020" w:type="dxa"/>
            <w:vAlign w:val="bottom"/>
            <w:shd w:val="clear" w:color="auto" w:fill="CCEEFF"/>
          </w:tcPr>
          <w:p>
            <w:pPr>
              <w:ind w:left="17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9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820" w:type="dxa"/>
            <w:vAlign w:val="bottom"/>
          </w:tcPr>
          <w:p>
            <w:pPr>
              <w:ind w:left="220"/>
              <w:spacing w:after="0" w:line="220" w:lineRule="exact"/>
              <w:rPr>
                <w:sz w:val="20"/>
                <w:szCs w:val="20"/>
                <w:color w:val="auto"/>
              </w:rPr>
            </w:pPr>
            <w:r>
              <w:rPr>
                <w:rFonts w:ascii="Arial" w:cs="Arial" w:eastAsia="Arial" w:hAnsi="Arial"/>
                <w:sz w:val="17"/>
                <w:szCs w:val="17"/>
                <w:color w:val="auto"/>
              </w:rPr>
              <w:t>Repurchase program</w:t>
            </w:r>
            <w:r>
              <w:rPr>
                <w:rFonts w:ascii="Arial" w:cs="Arial" w:eastAsia="Arial" w:hAnsi="Arial"/>
                <w:sz w:val="22"/>
                <w:szCs w:val="22"/>
                <w:color w:val="auto"/>
                <w:vertAlign w:val="superscript"/>
              </w:rPr>
              <w:t>(2)</w:t>
            </w:r>
          </w:p>
        </w:tc>
        <w:tc>
          <w:tcPr>
            <w:tcW w:w="20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674"/>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2020" w:type="dxa"/>
            <w:vAlign w:val="bottom"/>
          </w:tcPr>
          <w:p>
            <w:pPr>
              <w:ind w:left="178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59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28,330</w:t>
            </w:r>
          </w:p>
        </w:tc>
      </w:tr>
      <w:tr>
        <w:trPr>
          <w:trHeight w:val="220"/>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September 1 - September 30, 2022</w:t>
            </w:r>
          </w:p>
        </w:tc>
        <w:tc>
          <w:tcPr>
            <w:tcW w:w="2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0"/>
        </w:trPr>
        <w:tc>
          <w:tcPr>
            <w:tcW w:w="2820" w:type="dxa"/>
            <w:vAlign w:val="bottom"/>
          </w:tcPr>
          <w:p>
            <w:pPr>
              <w:ind w:left="220"/>
              <w:spacing w:after="0" w:line="220" w:lineRule="exact"/>
              <w:rPr>
                <w:sz w:val="20"/>
                <w:szCs w:val="20"/>
                <w:color w:val="auto"/>
              </w:rPr>
            </w:pPr>
            <w:r>
              <w:rPr>
                <w:rFonts w:ascii="Arial" w:cs="Arial" w:eastAsia="Arial" w:hAnsi="Arial"/>
                <w:sz w:val="17"/>
                <w:szCs w:val="17"/>
                <w:color w:val="auto"/>
              </w:rPr>
              <w:t>Equity withholding</w:t>
            </w:r>
            <w:r>
              <w:rPr>
                <w:rFonts w:ascii="Arial" w:cs="Arial" w:eastAsia="Arial" w:hAnsi="Arial"/>
                <w:sz w:val="22"/>
                <w:szCs w:val="22"/>
                <w:color w:val="auto"/>
                <w:vertAlign w:val="superscript"/>
              </w:rPr>
              <w:t>(1)</w:t>
            </w:r>
          </w:p>
        </w:tc>
        <w:tc>
          <w:tcPr>
            <w:tcW w:w="2000" w:type="dxa"/>
            <w:vAlign w:val="bottom"/>
          </w:tcPr>
          <w:p>
            <w:pPr>
              <w:jc w:val="right"/>
              <w:spacing w:after="0"/>
              <w:rPr>
                <w:sz w:val="20"/>
                <w:szCs w:val="20"/>
                <w:color w:val="auto"/>
              </w:rPr>
            </w:pPr>
            <w:r>
              <w:rPr>
                <w:rFonts w:ascii="Arial" w:cs="Arial" w:eastAsia="Arial" w:hAnsi="Arial"/>
                <w:sz w:val="17"/>
                <w:szCs w:val="17"/>
                <w:color w:val="auto"/>
              </w:rPr>
              <w:t>35</w:t>
            </w:r>
          </w:p>
        </w:tc>
        <w:tc>
          <w:tcPr>
            <w:tcW w:w="940" w:type="dxa"/>
            <w:vAlign w:val="bottom"/>
          </w:tcPr>
          <w:p>
            <w:pPr>
              <w:jc w:val="right"/>
              <w:ind w:right="674"/>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7.42</w:t>
            </w:r>
          </w:p>
        </w:tc>
        <w:tc>
          <w:tcPr>
            <w:tcW w:w="2020" w:type="dxa"/>
            <w:vAlign w:val="bottom"/>
          </w:tcPr>
          <w:p>
            <w:pPr>
              <w:ind w:left="178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59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82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Repurchase program</w:t>
            </w:r>
            <w:r>
              <w:rPr>
                <w:rFonts w:ascii="Arial" w:cs="Arial" w:eastAsia="Arial" w:hAnsi="Arial"/>
                <w:sz w:val="22"/>
                <w:szCs w:val="22"/>
                <w:color w:val="auto"/>
                <w:vertAlign w:val="superscript"/>
              </w:rPr>
              <w:t>(2)</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67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2020" w:type="dxa"/>
            <w:vAlign w:val="bottom"/>
            <w:tcBorders>
              <w:bottom w:val="single" w:sz="8" w:color="auto"/>
            </w:tcBorders>
            <w:shd w:val="clear" w:color="auto" w:fill="CCEEFF"/>
          </w:tcPr>
          <w:p>
            <w:pPr>
              <w:ind w:left="17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9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28,330</w:t>
            </w:r>
          </w:p>
        </w:tc>
      </w:tr>
      <w:tr>
        <w:trPr>
          <w:trHeight w:val="213"/>
        </w:trPr>
        <w:tc>
          <w:tcPr>
            <w:tcW w:w="2820" w:type="dxa"/>
            <w:vAlign w:val="bottom"/>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w:t>
            </w: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20" w:type="dxa"/>
            <w:vAlign w:val="bottom"/>
            <w:tcBorders>
              <w:bottom w:val="single" w:sz="8" w:color="auto"/>
            </w:tcBorders>
          </w:tcPr>
          <w:p>
            <w:pPr>
              <w:ind w:left="178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56" w:lineRule="exact"/>
        <w:rPr>
          <w:sz w:val="20"/>
          <w:szCs w:val="20"/>
          <w:color w:val="auto"/>
        </w:rPr>
      </w:pPr>
    </w:p>
    <w:p>
      <w:pPr>
        <w:ind w:right="260" w:firstLine="3"/>
        <w:spacing w:after="0" w:line="256" w:lineRule="auto"/>
        <w:tabs>
          <w:tab w:leader="none" w:pos="174" w:val="left"/>
        </w:tabs>
        <w:numPr>
          <w:ilvl w:val="0"/>
          <w:numId w:val="15"/>
        </w:numPr>
        <w:rPr>
          <w:rFonts w:ascii="Arial" w:cs="Arial" w:eastAsia="Arial" w:hAnsi="Arial"/>
          <w:sz w:val="20"/>
          <w:szCs w:val="20"/>
          <w:color w:val="auto"/>
          <w:vertAlign w:val="superscript"/>
        </w:rPr>
      </w:pPr>
      <w:r>
        <w:rPr>
          <w:rFonts w:ascii="Arial" w:cs="Arial" w:eastAsia="Arial" w:hAnsi="Arial"/>
          <w:sz w:val="16"/>
          <w:szCs w:val="16"/>
          <w:color w:val="auto"/>
        </w:rPr>
        <w:t>Upon vesting of most restricted stock units, we are required to deposit minimum statutory employee withholding taxes on behalf of the holders of the vested awards. As reimbursement for these tax deposits, we have the option to withhold from shares otherwise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340"/>
        <w:spacing w:after="0" w:line="283" w:lineRule="auto"/>
        <w:rPr>
          <w:sz w:val="20"/>
          <w:szCs w:val="20"/>
          <w:color w:val="auto"/>
        </w:rPr>
      </w:pPr>
      <w:r>
        <w:rPr>
          <w:rFonts w:ascii="Arial" w:cs="Arial" w:eastAsia="Arial" w:hAnsi="Arial"/>
          <w:sz w:val="17"/>
          <w:szCs w:val="17"/>
          <w:color w:val="auto"/>
        </w:rPr>
        <w:t>issuable upon vesting a portion of those shares with a fair market value equal to the amount of the deposits we paid. Withholding of shares in this manner is accounted for as a repurchase of common stock.</w:t>
      </w:r>
    </w:p>
    <w:p>
      <w:pPr>
        <w:spacing w:after="0" w:line="31" w:lineRule="exact"/>
        <w:rPr>
          <w:sz w:val="20"/>
          <w:szCs w:val="20"/>
          <w:color w:val="auto"/>
        </w:rPr>
      </w:pPr>
    </w:p>
    <w:p>
      <w:pPr>
        <w:jc w:val="both"/>
        <w:ind w:firstLine="3"/>
        <w:spacing w:after="0" w:line="263" w:lineRule="auto"/>
        <w:tabs>
          <w:tab w:leader="none" w:pos="174"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Our Board of Directors approved a share repurchase program (the "Program") under which the Company is authorized to purchase up to $50.0 million of its common stock during the period from December 10, 2021 to December 10, 2022. On November 4, 2022, the Board of Directors approved an extension of the Program through December 15, 2023. Shares repurchased under the Program have all been subsequently retired, which was recorded as a reduction in additional paid in capital. The average price paid per share purchased under the Program includes broker commission costs.</w:t>
      </w: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127" w:right="49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340" w:type="dxa"/>
            <w:vAlign w:val="bottom"/>
            <w:gridSpan w:val="2"/>
          </w:tcPr>
          <w:p>
            <w:pPr>
              <w:spacing w:after="0"/>
              <w:rPr>
                <w:sz w:val="20"/>
                <w:szCs w:val="20"/>
                <w:color w:val="auto"/>
              </w:rPr>
            </w:pPr>
            <w:r>
              <w:rPr>
                <w:rFonts w:ascii="Arial" w:cs="Arial" w:eastAsia="Arial" w:hAnsi="Arial"/>
                <w:sz w:val="17"/>
                <w:szCs w:val="17"/>
                <w:b w:val="1"/>
                <w:bCs w:val="1"/>
                <w:color w:val="auto"/>
              </w:rPr>
              <w:t>Item 6. Exhibits</w:t>
            </w:r>
          </w:p>
        </w:tc>
        <w:tc>
          <w:tcPr>
            <w:tcW w:w="3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5"/>
        </w:trPr>
        <w:tc>
          <w:tcPr>
            <w:tcW w:w="2340" w:type="dxa"/>
            <w:vAlign w:val="bottom"/>
            <w:gridSpan w:val="2"/>
          </w:tcPr>
          <w:p>
            <w:pPr>
              <w:ind w:left="20"/>
              <w:spacing w:after="0"/>
              <w:rPr>
                <w:sz w:val="20"/>
                <w:szCs w:val="20"/>
                <w:color w:val="auto"/>
              </w:rPr>
            </w:pPr>
            <w:r>
              <w:rPr>
                <w:rFonts w:ascii="Arial" w:cs="Arial" w:eastAsia="Arial" w:hAnsi="Arial"/>
                <w:sz w:val="17"/>
                <w:szCs w:val="17"/>
                <w:b w:val="1"/>
                <w:bCs w:val="1"/>
                <w:color w:val="auto"/>
              </w:rPr>
              <w:t>Number</w:t>
            </w:r>
          </w:p>
        </w:tc>
        <w:tc>
          <w:tcPr>
            <w:tcW w:w="8880" w:type="dxa"/>
            <w:vAlign w:val="bottom"/>
            <w:gridSpan w:val="6"/>
          </w:tcPr>
          <w:p>
            <w:pPr>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65"/>
        </w:trPr>
        <w:tc>
          <w:tcPr>
            <w:tcW w:w="22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31.1*</w:t>
            </w:r>
          </w:p>
        </w:tc>
        <w:tc>
          <w:tcPr>
            <w:tcW w:w="120" w:type="dxa"/>
            <w:vAlign w:val="bottom"/>
          </w:tcPr>
          <w:p>
            <w:pPr>
              <w:spacing w:after="0"/>
              <w:rPr>
                <w:sz w:val="23"/>
                <w:szCs w:val="23"/>
                <w:color w:val="auto"/>
              </w:rPr>
            </w:pPr>
          </w:p>
        </w:tc>
        <w:tc>
          <w:tcPr>
            <w:tcW w:w="8880" w:type="dxa"/>
            <w:vAlign w:val="bottom"/>
            <w:tcBorders>
              <w:top w:val="single" w:sz="8" w:color="auto"/>
            </w:tcBorders>
            <w:gridSpan w:val="6"/>
          </w:tcPr>
          <w:p>
            <w:pPr>
              <w:spacing w:after="0"/>
              <w:rPr>
                <w:sz w:val="20"/>
                <w:szCs w:val="20"/>
                <w:color w:val="auto"/>
              </w:rPr>
            </w:pPr>
            <w:r>
              <w:rPr>
                <w:rFonts w:ascii="Arial" w:cs="Arial" w:eastAsia="Arial" w:hAnsi="Arial"/>
                <w:sz w:val="17"/>
                <w:szCs w:val="17"/>
                <w:color w:val="0000FF"/>
                <w:w w:val="94"/>
              </w:rPr>
              <w:t>Certification of Principal Executive Officer Pursuant to Exchange Act Rules 13a-14(a) and 15d-14(a), as adopted pursuant to</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40" w:type="dxa"/>
            <w:vAlign w:val="bottom"/>
            <w:tcBorders>
              <w:top w:val="single" w:sz="8" w:color="0000FF"/>
            </w:tcBorders>
            <w:gridSpan w:val="4"/>
          </w:tcPr>
          <w:p>
            <w:pPr>
              <w:spacing w:after="0" w:line="148" w:lineRule="exact"/>
              <w:rPr>
                <w:sz w:val="20"/>
                <w:szCs w:val="20"/>
                <w:color w:val="auto"/>
              </w:rPr>
            </w:pPr>
            <w:r>
              <w:rPr>
                <w:rFonts w:ascii="Arial" w:cs="Arial" w:eastAsia="Arial" w:hAnsi="Arial"/>
                <w:sz w:val="17"/>
                <w:szCs w:val="17"/>
                <w:color w:val="0000FF"/>
              </w:rPr>
              <w:t>Section 302 of the Sarbanes-Oxley Act of 2002.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8"/>
                <w:szCs w:val="18"/>
                <w:color w:val="auto"/>
              </w:rPr>
            </w:pPr>
          </w:p>
        </w:tc>
        <w:tc>
          <w:tcPr>
            <w:tcW w:w="8880" w:type="dxa"/>
            <w:vAlign w:val="bottom"/>
            <w:gridSpan w:val="6"/>
          </w:tcPr>
          <w:p>
            <w:pPr>
              <w:spacing w:after="0"/>
              <w:rPr>
                <w:sz w:val="20"/>
                <w:szCs w:val="20"/>
                <w:color w:val="auto"/>
              </w:rPr>
            </w:pPr>
            <w:r>
              <w:rPr>
                <w:rFonts w:ascii="Arial" w:cs="Arial" w:eastAsia="Arial" w:hAnsi="Arial"/>
                <w:sz w:val="17"/>
                <w:szCs w:val="17"/>
                <w:color w:val="0000FF"/>
                <w:w w:val="95"/>
              </w:rPr>
              <w:t>Certification of Principal Financial Officer Pursuant to Exchange Act Rules 13a-14(a) and 15d-14(a), as adopted pursuant to</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0" w:type="dxa"/>
            <w:vAlign w:val="bottom"/>
            <w:tcBorders>
              <w:top w:val="single" w:sz="8" w:color="0000FF"/>
            </w:tcBorders>
            <w:gridSpan w:val="3"/>
          </w:tcPr>
          <w:p>
            <w:pPr>
              <w:spacing w:after="0" w:line="148" w:lineRule="exact"/>
              <w:rPr>
                <w:sz w:val="20"/>
                <w:szCs w:val="20"/>
                <w:color w:val="auto"/>
              </w:rPr>
            </w:pPr>
            <w:r>
              <w:rPr>
                <w:rFonts w:ascii="Arial" w:cs="Arial" w:eastAsia="Arial" w:hAnsi="Arial"/>
                <w:sz w:val="17"/>
                <w:szCs w:val="17"/>
                <w:color w:val="0000FF"/>
              </w:rPr>
              <w:t>Section 302 of the Sarbanes-Oxley Act of 2002.</w:t>
            </w:r>
          </w:p>
        </w:tc>
        <w:tc>
          <w:tcPr>
            <w:tcW w:w="1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tcPr>
          <w:p>
            <w:pPr>
              <w:ind w:left="20"/>
              <w:spacing w:after="0" w:line="232" w:lineRule="exact"/>
              <w:rPr>
                <w:sz w:val="20"/>
                <w:szCs w:val="20"/>
                <w:color w:val="auto"/>
              </w:rPr>
            </w:pPr>
            <w:r>
              <w:rPr>
                <w:rFonts w:ascii="Arial" w:cs="Arial" w:eastAsia="Arial" w:hAnsi="Arial"/>
                <w:sz w:val="17"/>
                <w:szCs w:val="17"/>
                <w:color w:val="auto"/>
              </w:rPr>
              <w:t>32*</w:t>
            </w:r>
            <w:r>
              <w:rPr>
                <w:rFonts w:ascii="Arial" w:cs="Arial" w:eastAsia="Arial" w:hAnsi="Arial"/>
                <w:sz w:val="22"/>
                <w:szCs w:val="22"/>
                <w:color w:val="auto"/>
                <w:vertAlign w:val="superscript"/>
              </w:rPr>
              <w:t>(1)</w:t>
            </w:r>
          </w:p>
        </w:tc>
        <w:tc>
          <w:tcPr>
            <w:tcW w:w="120" w:type="dxa"/>
            <w:vAlign w:val="bottom"/>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80" w:type="dxa"/>
            <w:vAlign w:val="bottom"/>
            <w:gridSpan w:val="6"/>
          </w:tcPr>
          <w:p>
            <w:pPr>
              <w:spacing w:after="0"/>
              <w:rPr>
                <w:sz w:val="20"/>
                <w:szCs w:val="20"/>
                <w:color w:val="auto"/>
              </w:rPr>
            </w:pPr>
            <w:r>
              <w:rPr>
                <w:rFonts w:ascii="Arial" w:cs="Arial" w:eastAsia="Arial" w:hAnsi="Arial"/>
                <w:sz w:val="17"/>
                <w:szCs w:val="17"/>
                <w:color w:val="0000FF"/>
                <w:w w:val="94"/>
              </w:rPr>
              <w:t>Certification of the Principal Executive Officer and Principal Financial Officer Pursuant to 18 U.S.C. Section 1350, as adopted</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tcBorders>
              <w:top w:val="single" w:sz="8" w:color="0000FF"/>
              <w:bottom w:val="single" w:sz="8" w:color="0000FF"/>
            </w:tcBorders>
            <w:gridSpan w:val="2"/>
          </w:tcPr>
          <w:p>
            <w:pPr>
              <w:spacing w:after="0" w:line="148" w:lineRule="exact"/>
              <w:rPr>
                <w:sz w:val="20"/>
                <w:szCs w:val="20"/>
                <w:color w:val="auto"/>
              </w:rPr>
            </w:pPr>
            <w:r>
              <w:rPr>
                <w:rFonts w:ascii="Arial" w:cs="Arial" w:eastAsia="Arial" w:hAnsi="Arial"/>
                <w:sz w:val="17"/>
                <w:szCs w:val="17"/>
                <w:color w:val="0000FF"/>
                <w:w w:val="91"/>
              </w:rPr>
              <w:t>pursuant to Section 906 of the Sarbanes-Oxley Act of 2002.</w:t>
            </w:r>
          </w:p>
        </w:tc>
        <w:tc>
          <w:tcPr>
            <w:tcW w:w="4620" w:type="dxa"/>
            <w:vAlign w:val="bottom"/>
            <w:tcBorders>
              <w:top w:val="single" w:sz="8" w:color="0000FF"/>
            </w:tcBorders>
            <w:gridSpan w:val="3"/>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gridSpan w:val="6"/>
          </w:tcPr>
          <w:p>
            <w:pPr>
              <w:spacing w:after="0"/>
              <w:rPr>
                <w:sz w:val="20"/>
                <w:szCs w:val="20"/>
                <w:color w:val="auto"/>
              </w:rPr>
            </w:pPr>
            <w:r>
              <w:rPr>
                <w:rFonts w:ascii="Arial" w:cs="Arial" w:eastAsia="Arial" w:hAnsi="Arial"/>
                <w:sz w:val="17"/>
                <w:szCs w:val="17"/>
                <w:color w:val="auto"/>
                <w:w w:val="93"/>
              </w:rPr>
              <w:t>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3"/>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101.ins *</w:t>
            </w:r>
          </w:p>
        </w:tc>
        <w:tc>
          <w:tcPr>
            <w:tcW w:w="8880" w:type="dxa"/>
            <w:vAlign w:val="bottom"/>
            <w:gridSpan w:val="6"/>
          </w:tcPr>
          <w:p>
            <w:pPr>
              <w:spacing w:after="0"/>
              <w:rPr>
                <w:sz w:val="20"/>
                <w:szCs w:val="20"/>
                <w:color w:val="auto"/>
              </w:rPr>
            </w:pPr>
            <w:r>
              <w:rPr>
                <w:rFonts w:ascii="Arial" w:cs="Arial" w:eastAsia="Arial" w:hAnsi="Arial"/>
                <w:sz w:val="17"/>
                <w:szCs w:val="17"/>
                <w:color w:val="auto"/>
              </w:rPr>
              <w:t>within the Inline XBRL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101.sch *</w:t>
            </w:r>
          </w:p>
        </w:tc>
        <w:tc>
          <w:tcPr>
            <w:tcW w:w="8880" w:type="dxa"/>
            <w:vAlign w:val="bottom"/>
            <w:gridSpan w:val="6"/>
          </w:tcPr>
          <w:p>
            <w:pPr>
              <w:spacing w:after="0"/>
              <w:rPr>
                <w:sz w:val="20"/>
                <w:szCs w:val="20"/>
                <w:color w:val="auto"/>
              </w:rPr>
            </w:pPr>
            <w:r>
              <w:rPr>
                <w:rFonts w:ascii="Arial" w:cs="Arial" w:eastAsia="Arial" w:hAnsi="Arial"/>
                <w:sz w:val="17"/>
                <w:szCs w:val="17"/>
                <w:color w:val="auto"/>
              </w:rPr>
              <w:t>XBRL Taxonomy Schema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101.cal *</w:t>
            </w:r>
          </w:p>
        </w:tc>
        <w:tc>
          <w:tcPr>
            <w:tcW w:w="8880" w:type="dxa"/>
            <w:vAlign w:val="bottom"/>
            <w:gridSpan w:val="6"/>
          </w:tcPr>
          <w:p>
            <w:pPr>
              <w:spacing w:after="0"/>
              <w:rPr>
                <w:sz w:val="20"/>
                <w:szCs w:val="20"/>
                <w:color w:val="auto"/>
              </w:rPr>
            </w:pPr>
            <w:r>
              <w:rPr>
                <w:rFonts w:ascii="Arial" w:cs="Arial" w:eastAsia="Arial" w:hAnsi="Arial"/>
                <w:sz w:val="17"/>
                <w:szCs w:val="17"/>
                <w:color w:val="auto"/>
              </w:rPr>
              <w:t>XBRL Taxonomy Calculation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101.def *</w:t>
            </w:r>
          </w:p>
        </w:tc>
        <w:tc>
          <w:tcPr>
            <w:tcW w:w="8880" w:type="dxa"/>
            <w:vAlign w:val="bottom"/>
            <w:gridSpan w:val="6"/>
          </w:tcPr>
          <w:p>
            <w:pPr>
              <w:spacing w:after="0"/>
              <w:rPr>
                <w:sz w:val="20"/>
                <w:szCs w:val="20"/>
                <w:color w:val="auto"/>
              </w:rPr>
            </w:pPr>
            <w:r>
              <w:rPr>
                <w:rFonts w:ascii="Arial" w:cs="Arial" w:eastAsia="Arial" w:hAnsi="Arial"/>
                <w:sz w:val="17"/>
                <w:szCs w:val="17"/>
                <w:color w:val="auto"/>
              </w:rPr>
              <w:t>XBRL Taxonomy Definition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101.lab *</w:t>
            </w:r>
          </w:p>
        </w:tc>
        <w:tc>
          <w:tcPr>
            <w:tcW w:w="8880" w:type="dxa"/>
            <w:vAlign w:val="bottom"/>
            <w:gridSpan w:val="6"/>
          </w:tcPr>
          <w:p>
            <w:pPr>
              <w:spacing w:after="0"/>
              <w:rPr>
                <w:sz w:val="20"/>
                <w:szCs w:val="20"/>
                <w:color w:val="auto"/>
              </w:rPr>
            </w:pPr>
            <w:r>
              <w:rPr>
                <w:rFonts w:ascii="Arial" w:cs="Arial" w:eastAsia="Arial" w:hAnsi="Arial"/>
                <w:sz w:val="17"/>
                <w:szCs w:val="17"/>
                <w:color w:val="auto"/>
              </w:rPr>
              <w:t>XBRL Taxonomy Label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101.pre *</w:t>
            </w:r>
          </w:p>
        </w:tc>
        <w:tc>
          <w:tcPr>
            <w:tcW w:w="8880" w:type="dxa"/>
            <w:vAlign w:val="bottom"/>
            <w:gridSpan w:val="6"/>
          </w:tcPr>
          <w:p>
            <w:pPr>
              <w:spacing w:after="0"/>
              <w:rPr>
                <w:sz w:val="20"/>
                <w:szCs w:val="20"/>
                <w:color w:val="auto"/>
              </w:rPr>
            </w:pPr>
            <w:r>
              <w:rPr>
                <w:rFonts w:ascii="Arial" w:cs="Arial" w:eastAsia="Arial" w:hAnsi="Arial"/>
                <w:sz w:val="17"/>
                <w:szCs w:val="17"/>
                <w:color w:val="auto"/>
              </w:rPr>
              <w:t>XBRL Taxonomy Presentation Linkbase Document</w:t>
            </w:r>
          </w:p>
        </w:tc>
        <w:tc>
          <w:tcPr>
            <w:tcW w:w="0" w:type="dxa"/>
            <w:vAlign w:val="bottom"/>
          </w:tcPr>
          <w:p>
            <w:pPr>
              <w:spacing w:after="0"/>
              <w:rPr>
                <w:sz w:val="1"/>
                <w:szCs w:val="1"/>
                <w:color w:val="auto"/>
              </w:rPr>
            </w:pPr>
          </w:p>
        </w:tc>
      </w:tr>
      <w:tr>
        <w:trPr>
          <w:trHeight w:val="246"/>
        </w:trPr>
        <w:tc>
          <w:tcPr>
            <w:tcW w:w="2220" w:type="dxa"/>
            <w:vAlign w:val="bottom"/>
          </w:tcPr>
          <w:p>
            <w:pPr>
              <w:ind w:left="20"/>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1"/>
                <w:szCs w:val="21"/>
                <w:color w:val="auto"/>
              </w:rPr>
            </w:pPr>
          </w:p>
        </w:tc>
        <w:tc>
          <w:tcPr>
            <w:tcW w:w="8880" w:type="dxa"/>
            <w:vAlign w:val="bottom"/>
            <w:gridSpan w:val="6"/>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Filed herewith</w:t>
      </w:r>
    </w:p>
    <w:p>
      <w:pPr>
        <w:spacing w:after="0" w:line="115" w:lineRule="exact"/>
        <w:rPr>
          <w:sz w:val="20"/>
          <w:szCs w:val="20"/>
          <w:color w:val="auto"/>
        </w:rPr>
      </w:pPr>
    </w:p>
    <w:p>
      <w:pPr>
        <w:ind w:right="260" w:firstLine="3"/>
        <w:spacing w:after="0"/>
        <w:tabs>
          <w:tab w:leader="none" w:pos="242"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587375</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right="119" w:firstLine="172"/>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8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MAGNITE, INC. (Registrant)</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31750</wp:posOffset>
            </wp:positionV>
            <wp:extent cx="34994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99485" cy="8255"/>
                    </a:xfrm>
                    <a:prstGeom prst="rect">
                      <a:avLst/>
                    </a:prstGeom>
                    <a:noFill/>
                  </pic:spPr>
                </pic:pic>
              </a:graphicData>
            </a:graphic>
          </wp:anchor>
        </w:drawing>
      </w:r>
    </w:p>
    <w:p>
      <w:pPr>
        <w:spacing w:after="0" w:line="5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David Day</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Chief Financial Officer</w:t>
      </w:r>
    </w:p>
    <w:p>
      <w:pPr>
        <w:spacing w:after="0" w:line="2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(Principal Financial Officer and Duly Authorized Officer)</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November 9, 2022</w:t>
      </w:r>
    </w:p>
    <w:p>
      <w:pPr>
        <w:sectPr>
          <w:pgSz w:w="11900" w:h="16838" w:orient="portrait"/>
          <w:cols w:equalWidth="0" w:num="1">
            <w:col w:w="10139"/>
          </w:cols>
          <w:pgMar w:left="320" w:top="127" w:right="1440" w:bottom="1440" w:gutter="0" w:footer="0" w:header="0"/>
        </w:sectPr>
      </w:pPr>
    </w:p>
    <w:bookmarkStart w:id="59" w:name="page60"/>
    <w:bookmarkEnd w:id="59"/>
    <w:p>
      <w:pPr>
        <w:ind w:left="9980"/>
        <w:spacing w:after="0"/>
        <w:rPr>
          <w:sz w:val="20"/>
          <w:szCs w:val="20"/>
          <w:color w:val="auto"/>
        </w:rPr>
      </w:pPr>
      <w:r>
        <w:rPr>
          <w:rFonts w:ascii="Arial" w:cs="Arial" w:eastAsia="Arial" w:hAnsi="Arial"/>
          <w:sz w:val="16"/>
          <w:szCs w:val="16"/>
          <w:b w:val="1"/>
          <w:bCs w:val="1"/>
          <w:color w:val="auto"/>
        </w:rPr>
        <w:t>Exhibit 31.1</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Certification of Principal Executive Officer</w:t>
      </w:r>
    </w:p>
    <w:p>
      <w:pPr>
        <w:ind w:left="5240"/>
        <w:spacing w:after="0"/>
        <w:rPr>
          <w:sz w:val="20"/>
          <w:szCs w:val="20"/>
          <w:color w:val="auto"/>
        </w:rPr>
      </w:pPr>
      <w:r>
        <w:rPr>
          <w:rFonts w:ascii="Arial" w:cs="Arial" w:eastAsia="Arial" w:hAnsi="Arial"/>
          <w:sz w:val="16"/>
          <w:szCs w:val="16"/>
          <w:b w:val="1"/>
          <w:bCs w:val="1"/>
          <w:color w:val="auto"/>
        </w:rPr>
        <w:t>pursuant to</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Exchange Act Rules 13a-14(a) and 15d-14(a),</w:t>
      </w:r>
    </w:p>
    <w:p>
      <w:pPr>
        <w:ind w:left="4860"/>
        <w:spacing w:after="0"/>
        <w:rPr>
          <w:sz w:val="20"/>
          <w:szCs w:val="20"/>
          <w:color w:val="auto"/>
        </w:rPr>
      </w:pPr>
      <w:r>
        <w:rPr>
          <w:rFonts w:ascii="Arial" w:cs="Arial" w:eastAsia="Arial" w:hAnsi="Arial"/>
          <w:sz w:val="16"/>
          <w:szCs w:val="16"/>
          <w:b w:val="1"/>
          <w:bCs w:val="1"/>
          <w:color w:val="auto"/>
        </w:rPr>
        <w:t>as adopted pursuant to</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I, Michael Barrett, certify that:</w:t>
      </w:r>
    </w:p>
    <w:p>
      <w:pPr>
        <w:spacing w:after="0" w:line="256" w:lineRule="exact"/>
        <w:rPr>
          <w:sz w:val="20"/>
          <w:szCs w:val="20"/>
          <w:color w:val="auto"/>
        </w:rPr>
      </w:pPr>
    </w:p>
    <w:p>
      <w:pPr>
        <w:ind w:left="1240" w:hanging="616"/>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6"/>
          <w:szCs w:val="16"/>
          <w:color w:val="auto"/>
        </w:rPr>
        <w:t>I have reviewed this Quarterly Report on Form 10-Q of Magnite, Inc.;</w:t>
      </w:r>
    </w:p>
    <w:p>
      <w:pPr>
        <w:spacing w:after="0" w:line="244" w:lineRule="exact"/>
        <w:rPr>
          <w:rFonts w:ascii="Arial" w:cs="Arial" w:eastAsia="Arial" w:hAnsi="Arial"/>
          <w:sz w:val="17"/>
          <w:szCs w:val="17"/>
          <w:color w:val="auto"/>
        </w:rPr>
      </w:pPr>
    </w:p>
    <w:p>
      <w:pPr>
        <w:ind w:left="1240" w:right="220" w:hanging="616"/>
        <w:spacing w:after="0" w:line="324" w:lineRule="auto"/>
        <w:tabs>
          <w:tab w:leader="none" w:pos="1240" w:val="left"/>
        </w:tabs>
        <w:numPr>
          <w:ilvl w:val="0"/>
          <w:numId w:val="18"/>
        </w:numPr>
        <w:rPr>
          <w:rFonts w:ascii="Arial" w:cs="Arial" w:eastAsia="Arial" w:hAnsi="Arial"/>
          <w:sz w:val="15"/>
          <w:szCs w:val="15"/>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5"/>
          <w:szCs w:val="15"/>
          <w:color w:val="auto"/>
        </w:rPr>
      </w:pPr>
    </w:p>
    <w:p>
      <w:pPr>
        <w:ind w:left="1240" w:right="320" w:hanging="616"/>
        <w:spacing w:after="0" w:line="254" w:lineRule="auto"/>
        <w:tabs>
          <w:tab w:leader="none" w:pos="1240" w:val="left"/>
        </w:tabs>
        <w:numPr>
          <w:ilvl w:val="0"/>
          <w:numId w:val="18"/>
        </w:numPr>
        <w:rPr>
          <w:rFonts w:ascii="Arial" w:cs="Arial" w:eastAsia="Arial" w:hAnsi="Arial"/>
          <w:sz w:val="17"/>
          <w:szCs w:val="17"/>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2" w:lineRule="exact"/>
        <w:rPr>
          <w:rFonts w:ascii="Arial" w:cs="Arial" w:eastAsia="Arial" w:hAnsi="Arial"/>
          <w:sz w:val="17"/>
          <w:szCs w:val="17"/>
          <w:color w:val="auto"/>
        </w:rPr>
      </w:pPr>
    </w:p>
    <w:p>
      <w:pPr>
        <w:ind w:left="1240" w:right="20" w:hanging="616"/>
        <w:spacing w:after="0" w:line="245" w:lineRule="auto"/>
        <w:tabs>
          <w:tab w:leader="none" w:pos="1240" w:val="left"/>
        </w:tabs>
        <w:numPr>
          <w:ilvl w:val="0"/>
          <w:numId w:val="18"/>
        </w:numPr>
        <w:rPr>
          <w:rFonts w:ascii="Arial" w:cs="Arial" w:eastAsia="Arial" w:hAnsi="Arial"/>
          <w:sz w:val="17"/>
          <w:szCs w:val="17"/>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6" w:lineRule="exact"/>
        <w:rPr>
          <w:rFonts w:ascii="Arial" w:cs="Arial" w:eastAsia="Arial" w:hAnsi="Arial"/>
          <w:sz w:val="17"/>
          <w:szCs w:val="17"/>
          <w:color w:val="auto"/>
        </w:rPr>
      </w:pPr>
    </w:p>
    <w:p>
      <w:pPr>
        <w:ind w:left="1720" w:right="160" w:hanging="475"/>
        <w:spacing w:after="0" w:line="261" w:lineRule="auto"/>
        <w:tabs>
          <w:tab w:leader="none" w:pos="1534"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6"/>
          <w:szCs w:val="16"/>
          <w:color w:val="auto"/>
        </w:rPr>
      </w:pPr>
    </w:p>
    <w:p>
      <w:pPr>
        <w:ind w:left="1720" w:right="240" w:hanging="475"/>
        <w:spacing w:after="0" w:line="252" w:lineRule="auto"/>
        <w:tabs>
          <w:tab w:leader="none" w:pos="1543"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6"/>
          <w:szCs w:val="16"/>
          <w:color w:val="auto"/>
        </w:rPr>
      </w:pPr>
    </w:p>
    <w:p>
      <w:pPr>
        <w:ind w:left="1720" w:right="60" w:hanging="475"/>
        <w:spacing w:after="0" w:line="341" w:lineRule="auto"/>
        <w:tabs>
          <w:tab w:leader="none" w:pos="1534" w:val="left"/>
        </w:tabs>
        <w:numPr>
          <w:ilvl w:val="1"/>
          <w:numId w:val="1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4"/>
          <w:szCs w:val="14"/>
          <w:color w:val="auto"/>
        </w:rPr>
      </w:pPr>
    </w:p>
    <w:p>
      <w:pPr>
        <w:ind w:left="1720" w:hanging="475"/>
        <w:spacing w:after="0" w:line="261" w:lineRule="auto"/>
        <w:tabs>
          <w:tab w:leader="none" w:pos="1543"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6"/>
          <w:szCs w:val="16"/>
          <w:color w:val="auto"/>
        </w:rPr>
      </w:pPr>
    </w:p>
    <w:p>
      <w:pPr>
        <w:ind w:left="1240" w:right="660" w:hanging="616"/>
        <w:spacing w:after="0" w:line="324" w:lineRule="auto"/>
        <w:tabs>
          <w:tab w:leader="none" w:pos="1240" w:val="left"/>
        </w:tabs>
        <w:numPr>
          <w:ilvl w:val="0"/>
          <w:numId w:val="18"/>
        </w:numPr>
        <w:rPr>
          <w:rFonts w:ascii="Arial" w:cs="Arial" w:eastAsia="Arial" w:hAnsi="Arial"/>
          <w:sz w:val="15"/>
          <w:szCs w:val="15"/>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5"/>
          <w:szCs w:val="15"/>
          <w:color w:val="auto"/>
        </w:rPr>
      </w:pPr>
    </w:p>
    <w:p>
      <w:pPr>
        <w:ind w:left="1720" w:right="200" w:hanging="475"/>
        <w:spacing w:after="0" w:line="269" w:lineRule="auto"/>
        <w:tabs>
          <w:tab w:leader="none" w:pos="1573"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16"/>
          <w:szCs w:val="16"/>
          <w:color w:val="auto"/>
        </w:rPr>
      </w:pPr>
    </w:p>
    <w:p>
      <w:pPr>
        <w:ind w:left="1720" w:right="340" w:hanging="436"/>
        <w:spacing w:after="0" w:line="269" w:lineRule="auto"/>
        <w:tabs>
          <w:tab w:leader="none" w:pos="1621" w:val="left"/>
        </w:tabs>
        <w:numPr>
          <w:ilvl w:val="2"/>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4000"/>
        <w:spacing w:after="0"/>
        <w:tabs>
          <w:tab w:leader="none" w:pos="664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11430</wp:posOffset>
            </wp:positionV>
            <wp:extent cx="21520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2015" cy="8255"/>
                    </a:xfrm>
                    <a:prstGeom prst="rect">
                      <a:avLst/>
                    </a:prstGeom>
                    <a:noFill/>
                  </pic:spPr>
                </pic:pic>
              </a:graphicData>
            </a:graphic>
          </wp:anchor>
        </w:drawing>
      </w:r>
    </w:p>
    <w:p>
      <w:pPr>
        <w:spacing w:after="0" w:line="68"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Michael Barrett</w:t>
      </w:r>
    </w:p>
    <w:p>
      <w:pPr>
        <w:spacing w:after="0" w:line="6"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President and Chief Executive Officer</w:t>
      </w:r>
    </w:p>
    <w:p>
      <w:pPr>
        <w:ind w:left="7180"/>
        <w:spacing w:after="0"/>
        <w:rPr>
          <w:sz w:val="20"/>
          <w:szCs w:val="20"/>
          <w:color w:val="auto"/>
        </w:rPr>
      </w:pPr>
      <w:r>
        <w:rPr>
          <w:rFonts w:ascii="Arial" w:cs="Arial" w:eastAsia="Arial" w:hAnsi="Arial"/>
          <w:sz w:val="16"/>
          <w:szCs w:val="16"/>
          <w:color w:val="auto"/>
        </w:rPr>
        <w:t>(Principal Executive Officer)</w:t>
      </w:r>
    </w:p>
    <w:p>
      <w:pPr>
        <w:spacing w:after="0" w:line="205"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Date November 9, 2022</w:t>
      </w:r>
    </w:p>
    <w:p>
      <w:pPr>
        <w:sectPr>
          <w:pgSz w:w="11900" w:h="16838" w:orient="portrait"/>
          <w:cols w:equalWidth="0" w:num="1">
            <w:col w:w="11200"/>
          </w:cols>
          <w:pgMar w:left="320" w:top="863" w:right="379" w:bottom="1440" w:gutter="0" w:footer="0" w:header="0"/>
        </w:sectPr>
      </w:pPr>
    </w:p>
    <w:bookmarkStart w:id="60" w:name="page61"/>
    <w:bookmarkEnd w:id="60"/>
    <w:p>
      <w:pPr>
        <w:ind w:left="9660"/>
        <w:spacing w:after="0"/>
        <w:rPr>
          <w:sz w:val="20"/>
          <w:szCs w:val="20"/>
          <w:color w:val="auto"/>
        </w:rPr>
      </w:pPr>
      <w:r>
        <w:rPr>
          <w:rFonts w:ascii="Arial" w:cs="Arial" w:eastAsia="Arial" w:hAnsi="Arial"/>
          <w:sz w:val="16"/>
          <w:szCs w:val="16"/>
          <w:b w:val="1"/>
          <w:bCs w:val="1"/>
          <w:color w:val="auto"/>
        </w:rPr>
        <w:t>Exhibit 31.2</w:t>
      </w:r>
    </w:p>
    <w:p>
      <w:pPr>
        <w:spacing w:after="0" w:line="230"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18"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pursuant to</w:t>
      </w:r>
    </w:p>
    <w:p>
      <w:pPr>
        <w:spacing w:after="0" w:line="7"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Exchange Act Rules 13a-14(a) and 15d-14(a),</w:t>
      </w:r>
    </w:p>
    <w:p>
      <w:pPr>
        <w:ind w:left="4540"/>
        <w:spacing w:after="0"/>
        <w:rPr>
          <w:sz w:val="20"/>
          <w:szCs w:val="20"/>
          <w:color w:val="auto"/>
        </w:rPr>
      </w:pPr>
      <w:r>
        <w:rPr>
          <w:rFonts w:ascii="Arial" w:cs="Arial" w:eastAsia="Arial" w:hAnsi="Arial"/>
          <w:sz w:val="16"/>
          <w:szCs w:val="16"/>
          <w:b w:val="1"/>
          <w:bCs w:val="1"/>
          <w:color w:val="auto"/>
        </w:rPr>
        <w:t>as adopted pursuant to</w:t>
      </w:r>
    </w:p>
    <w:p>
      <w:pPr>
        <w:spacing w:after="0" w:line="7"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I, David Day, certify that:</w:t>
      </w:r>
    </w:p>
    <w:p>
      <w:pPr>
        <w:spacing w:after="0" w:line="256" w:lineRule="exact"/>
        <w:rPr>
          <w:sz w:val="20"/>
          <w:szCs w:val="20"/>
          <w:color w:val="auto"/>
        </w:rPr>
      </w:pPr>
    </w:p>
    <w:p>
      <w:pPr>
        <w:ind w:left="920" w:hanging="460"/>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6"/>
          <w:szCs w:val="16"/>
          <w:color w:val="auto"/>
        </w:rPr>
        <w:t>I have reviewed this Quarterly Report on Form 10-Q of Magnite, Inc.;</w:t>
      </w:r>
    </w:p>
    <w:p>
      <w:pPr>
        <w:spacing w:after="0" w:line="244" w:lineRule="exact"/>
        <w:rPr>
          <w:rFonts w:ascii="Arial" w:cs="Arial" w:eastAsia="Arial" w:hAnsi="Arial"/>
          <w:sz w:val="17"/>
          <w:szCs w:val="17"/>
          <w:color w:val="auto"/>
        </w:rPr>
      </w:pPr>
    </w:p>
    <w:p>
      <w:pPr>
        <w:ind w:left="920" w:right="220" w:hanging="460"/>
        <w:spacing w:after="0" w:line="324" w:lineRule="auto"/>
        <w:tabs>
          <w:tab w:leader="none" w:pos="920" w:val="left"/>
        </w:tabs>
        <w:numPr>
          <w:ilvl w:val="0"/>
          <w:numId w:val="19"/>
        </w:numPr>
        <w:rPr>
          <w:rFonts w:ascii="Arial" w:cs="Arial" w:eastAsia="Arial" w:hAnsi="Arial"/>
          <w:sz w:val="15"/>
          <w:szCs w:val="15"/>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5"/>
          <w:szCs w:val="15"/>
          <w:color w:val="auto"/>
        </w:rPr>
      </w:pPr>
    </w:p>
    <w:p>
      <w:pPr>
        <w:ind w:left="920" w:right="320" w:hanging="460"/>
        <w:spacing w:after="0" w:line="254"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2" w:lineRule="exact"/>
        <w:rPr>
          <w:rFonts w:ascii="Arial" w:cs="Arial" w:eastAsia="Arial" w:hAnsi="Arial"/>
          <w:sz w:val="17"/>
          <w:szCs w:val="17"/>
          <w:color w:val="auto"/>
        </w:rPr>
      </w:pPr>
    </w:p>
    <w:p>
      <w:pPr>
        <w:ind w:left="920" w:right="20" w:hanging="460"/>
        <w:spacing w:after="0" w:line="245"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6" w:lineRule="exact"/>
        <w:rPr>
          <w:rFonts w:ascii="Arial" w:cs="Arial" w:eastAsia="Arial" w:hAnsi="Arial"/>
          <w:sz w:val="17"/>
          <w:szCs w:val="17"/>
          <w:color w:val="auto"/>
        </w:rPr>
      </w:pPr>
    </w:p>
    <w:p>
      <w:pPr>
        <w:ind w:left="1540" w:right="100" w:hanging="459"/>
        <w:spacing w:after="0" w:line="253" w:lineRule="auto"/>
        <w:tabs>
          <w:tab w:leader="none" w:pos="1530" w:val="left"/>
        </w:tabs>
        <w:numPr>
          <w:ilvl w:val="1"/>
          <w:numId w:val="19"/>
        </w:numPr>
        <w:rPr>
          <w:rFonts w:ascii="Arial" w:cs="Arial" w:eastAsia="Arial" w:hAnsi="Arial"/>
          <w:sz w:val="17"/>
          <w:szCs w:val="17"/>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7"/>
          <w:szCs w:val="17"/>
          <w:color w:val="auto"/>
        </w:rPr>
      </w:pPr>
    </w:p>
    <w:p>
      <w:pPr>
        <w:ind w:left="1540" w:right="80" w:hanging="459"/>
        <w:spacing w:after="0" w:line="245" w:lineRule="auto"/>
        <w:tabs>
          <w:tab w:leader="none" w:pos="1540" w:val="left"/>
        </w:tabs>
        <w:numPr>
          <w:ilvl w:val="1"/>
          <w:numId w:val="19"/>
        </w:numPr>
        <w:rPr>
          <w:rFonts w:ascii="Arial" w:cs="Arial" w:eastAsia="Arial" w:hAnsi="Arial"/>
          <w:sz w:val="17"/>
          <w:szCs w:val="17"/>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9" w:lineRule="exact"/>
        <w:rPr>
          <w:rFonts w:ascii="Arial" w:cs="Arial" w:eastAsia="Arial" w:hAnsi="Arial"/>
          <w:sz w:val="17"/>
          <w:szCs w:val="17"/>
          <w:color w:val="auto"/>
        </w:rPr>
      </w:pPr>
    </w:p>
    <w:p>
      <w:pPr>
        <w:ind w:left="1540" w:right="120" w:hanging="459"/>
        <w:spacing w:after="0" w:line="287" w:lineRule="auto"/>
        <w:tabs>
          <w:tab w:leader="none" w:pos="1530" w:val="left"/>
        </w:tabs>
        <w:numPr>
          <w:ilvl w:val="1"/>
          <w:numId w:val="19"/>
        </w:numPr>
        <w:rPr>
          <w:rFonts w:ascii="Arial" w:cs="Arial" w:eastAsia="Arial" w:hAnsi="Arial"/>
          <w:sz w:val="16"/>
          <w:szCs w:val="16"/>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6"/>
          <w:szCs w:val="16"/>
          <w:color w:val="auto"/>
        </w:rPr>
      </w:pPr>
    </w:p>
    <w:p>
      <w:pPr>
        <w:ind w:left="1540" w:hanging="459"/>
        <w:spacing w:after="0" w:line="253" w:lineRule="auto"/>
        <w:tabs>
          <w:tab w:leader="none" w:pos="1540" w:val="left"/>
        </w:tabs>
        <w:numPr>
          <w:ilvl w:val="1"/>
          <w:numId w:val="19"/>
        </w:numPr>
        <w:rPr>
          <w:rFonts w:ascii="Arial" w:cs="Arial" w:eastAsia="Arial" w:hAnsi="Arial"/>
          <w:sz w:val="17"/>
          <w:szCs w:val="17"/>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0" w:lineRule="exact"/>
        <w:rPr>
          <w:rFonts w:ascii="Arial" w:cs="Arial" w:eastAsia="Arial" w:hAnsi="Arial"/>
          <w:sz w:val="17"/>
          <w:szCs w:val="17"/>
          <w:color w:val="auto"/>
        </w:rPr>
      </w:pPr>
    </w:p>
    <w:p>
      <w:pPr>
        <w:ind w:left="920" w:right="80" w:hanging="460"/>
        <w:spacing w:after="0" w:line="341" w:lineRule="auto"/>
        <w:tabs>
          <w:tab w:leader="none" w:pos="782"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4"/>
          <w:szCs w:val="14"/>
          <w:color w:val="auto"/>
        </w:rPr>
      </w:pPr>
    </w:p>
    <w:p>
      <w:pPr>
        <w:ind w:left="1540" w:right="60" w:hanging="304"/>
        <w:spacing w:after="0" w:line="254" w:lineRule="auto"/>
        <w:tabs>
          <w:tab w:leader="none" w:pos="1530" w:val="left"/>
        </w:tabs>
        <w:numPr>
          <w:ilvl w:val="2"/>
          <w:numId w:val="19"/>
        </w:numPr>
        <w:rPr>
          <w:rFonts w:ascii="Arial" w:cs="Arial" w:eastAsia="Arial" w:hAnsi="Arial"/>
          <w:sz w:val="17"/>
          <w:szCs w:val="17"/>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2" w:lineRule="exact"/>
        <w:rPr>
          <w:rFonts w:ascii="Arial" w:cs="Arial" w:eastAsia="Arial" w:hAnsi="Arial"/>
          <w:sz w:val="17"/>
          <w:szCs w:val="17"/>
          <w:color w:val="auto"/>
        </w:rPr>
      </w:pPr>
    </w:p>
    <w:p>
      <w:pPr>
        <w:ind w:left="1540" w:right="100" w:hanging="304"/>
        <w:spacing w:after="0" w:line="254" w:lineRule="auto"/>
        <w:tabs>
          <w:tab w:leader="none" w:pos="1540" w:val="left"/>
        </w:tabs>
        <w:numPr>
          <w:ilvl w:val="2"/>
          <w:numId w:val="19"/>
        </w:numPr>
        <w:rPr>
          <w:rFonts w:ascii="Arial" w:cs="Arial" w:eastAsia="Arial" w:hAnsi="Arial"/>
          <w:sz w:val="17"/>
          <w:szCs w:val="17"/>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8" w:lineRule="exact"/>
        <w:rPr>
          <w:sz w:val="20"/>
          <w:szCs w:val="20"/>
          <w:color w:val="auto"/>
        </w:rPr>
      </w:pPr>
    </w:p>
    <w:tbl>
      <w:tblPr>
        <w:tblLayout w:type="fixed"/>
        <w:tblInd w:w="900" w:type="dxa"/>
        <w:tblCellMar>
          <w:top w:w="0" w:type="dxa"/>
          <w:left w:w="0" w:type="dxa"/>
          <w:bottom w:w="0" w:type="dxa"/>
          <w:right w:w="0" w:type="dxa"/>
        </w:tblCellMar>
      </w:tblPr>
      <w:tr>
        <w:trPr>
          <w:trHeight w:val="199"/>
        </w:trPr>
        <w:tc>
          <w:tcPr>
            <w:tcW w:w="5440" w:type="dxa"/>
            <w:vAlign w:val="bottom"/>
          </w:tcPr>
          <w:p>
            <w:pPr>
              <w:ind w:left="2780"/>
              <w:spacing w:after="0"/>
              <w:rPr>
                <w:sz w:val="20"/>
                <w:szCs w:val="20"/>
                <w:color w:val="auto"/>
              </w:rPr>
            </w:pPr>
            <w:r>
              <w:rPr>
                <w:rFonts w:ascii="Arial" w:cs="Arial" w:eastAsia="Arial" w:hAnsi="Arial"/>
                <w:sz w:val="16"/>
                <w:szCs w:val="16"/>
                <w:color w:val="auto"/>
              </w:rPr>
              <w:t>Signature:</w:t>
            </w:r>
          </w:p>
        </w:tc>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David Day</w:t>
            </w:r>
          </w:p>
        </w:tc>
      </w:tr>
      <w:tr>
        <w:trPr>
          <w:trHeight w:val="234"/>
        </w:trPr>
        <w:tc>
          <w:tcPr>
            <w:tcW w:w="5440" w:type="dxa"/>
            <w:vAlign w:val="bottom"/>
          </w:tcPr>
          <w:p>
            <w:pPr>
              <w:spacing w:after="0"/>
              <w:rPr>
                <w:sz w:val="20"/>
                <w:szCs w:val="20"/>
                <w:color w:val="auto"/>
              </w:rPr>
            </w:pPr>
          </w:p>
        </w:tc>
        <w:tc>
          <w:tcPr>
            <w:tcW w:w="3380" w:type="dxa"/>
            <w:vAlign w:val="bottom"/>
          </w:tcPr>
          <w:p>
            <w:pPr>
              <w:ind w:left="700"/>
              <w:spacing w:after="0"/>
              <w:rPr>
                <w:sz w:val="20"/>
                <w:szCs w:val="20"/>
                <w:color w:val="auto"/>
              </w:rPr>
            </w:pPr>
            <w:r>
              <w:rPr>
                <w:rFonts w:ascii="Arial" w:cs="Arial" w:eastAsia="Arial" w:hAnsi="Arial"/>
                <w:sz w:val="16"/>
                <w:szCs w:val="16"/>
                <w:color w:val="auto"/>
              </w:rPr>
              <w:t>David Day</w:t>
            </w:r>
          </w:p>
        </w:tc>
      </w:tr>
      <w:tr>
        <w:trPr>
          <w:trHeight w:val="194"/>
        </w:trPr>
        <w:tc>
          <w:tcPr>
            <w:tcW w:w="5440" w:type="dxa"/>
            <w:vAlign w:val="bottom"/>
          </w:tcPr>
          <w:p>
            <w:pPr>
              <w:spacing w:after="0"/>
              <w:rPr>
                <w:sz w:val="16"/>
                <w:szCs w:val="16"/>
                <w:color w:val="auto"/>
              </w:rPr>
            </w:pPr>
          </w:p>
        </w:tc>
        <w:tc>
          <w:tcPr>
            <w:tcW w:w="3380" w:type="dxa"/>
            <w:vAlign w:val="bottom"/>
          </w:tcPr>
          <w:p>
            <w:pPr>
              <w:ind w:left="700"/>
              <w:spacing w:after="0"/>
              <w:rPr>
                <w:sz w:val="20"/>
                <w:szCs w:val="20"/>
                <w:color w:val="auto"/>
              </w:rPr>
            </w:pPr>
            <w:r>
              <w:rPr>
                <w:rFonts w:ascii="Arial" w:cs="Arial" w:eastAsia="Arial" w:hAnsi="Arial"/>
                <w:sz w:val="16"/>
                <w:szCs w:val="16"/>
                <w:color w:val="auto"/>
              </w:rPr>
              <w:t>Chief Financial Officer</w:t>
            </w:r>
          </w:p>
        </w:tc>
      </w:tr>
      <w:tr>
        <w:trPr>
          <w:trHeight w:val="235"/>
        </w:trPr>
        <w:tc>
          <w:tcPr>
            <w:tcW w:w="5440" w:type="dxa"/>
            <w:vAlign w:val="bottom"/>
          </w:tcPr>
          <w:p>
            <w:pPr>
              <w:spacing w:after="0"/>
              <w:rPr>
                <w:sz w:val="20"/>
                <w:szCs w:val="20"/>
                <w:color w:val="auto"/>
              </w:rPr>
            </w:pPr>
            <w:r>
              <w:rPr>
                <w:rFonts w:ascii="Arial" w:cs="Arial" w:eastAsia="Arial" w:hAnsi="Arial"/>
                <w:sz w:val="16"/>
                <w:szCs w:val="16"/>
                <w:color w:val="auto"/>
              </w:rPr>
              <w:t>Date November 9, 2022</w:t>
            </w:r>
          </w:p>
        </w:tc>
        <w:tc>
          <w:tcPr>
            <w:tcW w:w="3380" w:type="dxa"/>
            <w:vAlign w:val="bottom"/>
          </w:tcPr>
          <w:p>
            <w:pPr>
              <w:ind w:left="700"/>
              <w:spacing w:after="0"/>
              <w:rPr>
                <w:sz w:val="20"/>
                <w:szCs w:val="20"/>
                <w:color w:val="auto"/>
              </w:rPr>
            </w:pPr>
            <w:r>
              <w:rPr>
                <w:rFonts w:ascii="Arial" w:cs="Arial" w:eastAsia="Arial" w:hAnsi="Arial"/>
                <w:sz w:val="16"/>
                <w:szCs w:val="16"/>
                <w:color w:val="auto"/>
              </w:rPr>
              <w:t>(Principal Financial Officer)</w:t>
            </w:r>
          </w:p>
        </w:tc>
      </w:tr>
    </w:tbl>
    <w:p>
      <w:pPr>
        <w:sectPr>
          <w:pgSz w:w="11900" w:h="16838" w:orient="portrait"/>
          <w:cols w:equalWidth="0" w:num="1">
            <w:col w:w="10880"/>
          </w:cols>
          <w:pgMar w:left="640" w:top="863" w:right="37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color w:val="auto"/>
        </w:rPr>
        <w:t>Exhibit 32</w:t>
      </w:r>
    </w:p>
    <w:p>
      <w:pPr>
        <w:spacing w:after="0" w:line="321" w:lineRule="exact"/>
        <w:rPr>
          <w:sz w:val="20"/>
          <w:szCs w:val="20"/>
          <w:color w:val="auto"/>
        </w:rPr>
      </w:pPr>
    </w:p>
    <w:p>
      <w:pPr>
        <w:jc w:val="center"/>
        <w:ind w:left="780" w:right="140"/>
        <w:spacing w:after="0" w:line="378" w:lineRule="auto"/>
        <w:rPr>
          <w:sz w:val="20"/>
          <w:szCs w:val="20"/>
          <w:color w:val="auto"/>
        </w:rPr>
      </w:pPr>
      <w:r>
        <w:rPr>
          <w:rFonts w:ascii="Arial" w:cs="Arial" w:eastAsia="Arial" w:hAnsi="Arial"/>
          <w:sz w:val="16"/>
          <w:szCs w:val="16"/>
          <w:b w:val="1"/>
          <w:bCs w:val="1"/>
          <w:color w:val="auto"/>
        </w:rPr>
        <w:t>CERTIFICATIONS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35" w:lineRule="exact"/>
        <w:rPr>
          <w:sz w:val="20"/>
          <w:szCs w:val="20"/>
          <w:color w:val="auto"/>
        </w:rPr>
      </w:pPr>
    </w:p>
    <w:p>
      <w:pPr>
        <w:ind w:right="480"/>
        <w:spacing w:after="0" w:line="353" w:lineRule="auto"/>
        <w:rPr>
          <w:sz w:val="20"/>
          <w:szCs w:val="20"/>
          <w:color w:val="auto"/>
        </w:rPr>
      </w:pPr>
      <w:r>
        <w:rPr>
          <w:rFonts w:ascii="Arial" w:cs="Arial" w:eastAsia="Arial" w:hAnsi="Arial"/>
          <w:sz w:val="16"/>
          <w:szCs w:val="16"/>
          <w:color w:val="auto"/>
        </w:rPr>
        <w:t>Pursuant to Section 906 of the Sarbanes-Oxley Act of 2002 (18 U.S.C. 1350), Michael Barrett, President and Chief Executive Officer (Principal Executive Officer) of Magnite, Inc. (the "Company"), and David Day, Chief Financial Officer (Principal Financial Officer) of the Company, each hereby certifies that, to the best of his knowledge:</w:t>
      </w:r>
    </w:p>
    <w:p>
      <w:pPr>
        <w:spacing w:after="0" w:line="249" w:lineRule="exact"/>
        <w:rPr>
          <w:sz w:val="20"/>
          <w:szCs w:val="20"/>
          <w:color w:val="auto"/>
        </w:rPr>
      </w:pPr>
    </w:p>
    <w:p>
      <w:pPr>
        <w:ind w:left="620" w:right="160" w:hanging="306"/>
        <w:spacing w:after="0" w:line="355"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6"/>
          <w:szCs w:val="16"/>
          <w:color w:val="auto"/>
        </w:rPr>
        <w:t>Our Quarterly Report on Form 10-Q for the quarter ended September 30, 2022, to which this certification is attached as Exhibit 32 (the "Report"), fully complies with the requirements of Section 13(a) or 15(d) of the Securities Exchange Act of 1934; and</w:t>
      </w:r>
    </w:p>
    <w:p>
      <w:pPr>
        <w:spacing w:after="0" w:line="240" w:lineRule="exact"/>
        <w:rPr>
          <w:rFonts w:ascii="Arial" w:cs="Arial" w:eastAsia="Arial" w:hAnsi="Arial"/>
          <w:sz w:val="17"/>
          <w:szCs w:val="17"/>
          <w:color w:val="auto"/>
        </w:rPr>
      </w:pPr>
    </w:p>
    <w:p>
      <w:pPr>
        <w:ind w:left="620" w:hanging="306"/>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Date November 9, 2022</w:t>
      </w:r>
    </w:p>
    <w:p>
      <w:pPr>
        <w:spacing w:after="0" w:line="308"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11430</wp:posOffset>
            </wp:positionV>
            <wp:extent cx="22504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50440" cy="8255"/>
                    </a:xfrm>
                    <a:prstGeom prst="rect">
                      <a:avLst/>
                    </a:prstGeom>
                    <a:noFill/>
                  </pic:spPr>
                </pic:pic>
              </a:graphicData>
            </a:graphic>
          </wp:anchor>
        </w:drawing>
      </w:r>
    </w:p>
    <w:p>
      <w:pPr>
        <w:spacing w:after="0" w:line="68"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Michael Barrett</w:t>
      </w:r>
    </w:p>
    <w:p>
      <w:pPr>
        <w:spacing w:after="0" w:line="9"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President and Chief Executive</w:t>
      </w:r>
    </w:p>
    <w:p>
      <w:pPr>
        <w:ind w:left="7380"/>
        <w:spacing w:after="0"/>
        <w:rPr>
          <w:sz w:val="20"/>
          <w:szCs w:val="20"/>
          <w:color w:val="auto"/>
        </w:rPr>
      </w:pPr>
      <w:r>
        <w:rPr>
          <w:rFonts w:ascii="Arial" w:cs="Arial" w:eastAsia="Arial" w:hAnsi="Arial"/>
          <w:sz w:val="16"/>
          <w:szCs w:val="16"/>
          <w:color w:val="auto"/>
        </w:rPr>
        <w:t>Officer</w:t>
      </w:r>
    </w:p>
    <w:p>
      <w:pPr>
        <w:spacing w:after="0" w:line="7"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11430</wp:posOffset>
            </wp:positionV>
            <wp:extent cx="22504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50440" cy="8255"/>
                    </a:xfrm>
                    <a:prstGeom prst="rect">
                      <a:avLst/>
                    </a:prstGeom>
                    <a:noFill/>
                  </pic:spPr>
                </pic:pic>
              </a:graphicData>
            </a:graphic>
          </wp:anchor>
        </w:drawing>
      </w:r>
    </w:p>
    <w:p>
      <w:pPr>
        <w:spacing w:after="0" w:line="55"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David Day</w:t>
      </w:r>
    </w:p>
    <w:p>
      <w:pPr>
        <w:spacing w:after="0" w:line="12"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Chief Financial Officer</w:t>
      </w:r>
    </w:p>
    <w:p>
      <w:pPr>
        <w:spacing w:after="0" w:line="34"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00"/>
        <w:spacing w:after="0" w:line="457" w:lineRule="auto"/>
        <w:rPr>
          <w:sz w:val="20"/>
          <w:szCs w:val="20"/>
          <w:color w:val="auto"/>
        </w:rPr>
      </w:pPr>
      <w:r>
        <w:rPr>
          <w:rFonts w:ascii="Arial" w:cs="Arial" w:eastAsia="Arial" w:hAnsi="Arial"/>
          <w:sz w:val="14"/>
          <w:szCs w:val="14"/>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0780"/>
      </w:cols>
      <w:pgMar w:left="320" w:top="902"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212"/>
    </w:lvl>
  </w:abstractNum>
  <w:abstractNum w:abstractNumId="3">
    <w:nsid w:val="66EF438D"/>
    <w:multiLevelType w:val="hybridMultilevel"/>
    <w:lvl w:ilvl="0">
      <w:lvlJc w:val="left"/>
      <w:lvlText w:val="\emdash "/>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2"/>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8">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2022-11-10T04:37:46Z</dcterms:created>
  <dcterms:modified xsi:type="dcterms:W3CDTF">2022-11-10T04:37:46Z</dcterms:modified>
</cp:coreProperties>
</file>