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(Mark One)</w:t>
      </w:r>
    </w:p>
    <w:p>
      <w:pPr>
        <w:spacing w:after="0" w:line="230" w:lineRule="exact"/>
        <w:rPr>
          <w:sz w:val="24"/>
          <w:szCs w:val="24"/>
          <w:color w:val="auto"/>
        </w:rPr>
      </w:pPr>
    </w:p>
    <w:p>
      <w:pPr>
        <w:ind w:left="1180" w:hanging="210"/>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jc w:val="center"/>
        <w:ind w:left="3140" w:right="940" w:hanging="2199"/>
        <w:spacing w:after="0" w:line="266" w:lineRule="auto"/>
        <w:tabs>
          <w:tab w:leader="none" w:pos="113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 to _____________</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001-36384</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MAGNITE,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122" w:lineRule="exact"/>
        <w:rPr>
          <w:sz w:val="24"/>
          <w:szCs w:val="24"/>
          <w:color w:val="auto"/>
        </w:rPr>
      </w:pPr>
    </w:p>
    <w:p>
      <w:pPr>
        <w:ind w:left="1860"/>
        <w:spacing w:after="0"/>
        <w:tabs>
          <w:tab w:leader="none" w:pos="856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20-8881738</w:t>
      </w:r>
    </w:p>
    <w:p>
      <w:pPr>
        <w:spacing w:after="0" w:line="15" w:lineRule="exact"/>
        <w:rPr>
          <w:sz w:val="24"/>
          <w:szCs w:val="24"/>
          <w:color w:val="auto"/>
        </w:rPr>
      </w:pPr>
    </w:p>
    <w:p>
      <w:pPr>
        <w:ind w:left="580"/>
        <w:spacing w:after="0"/>
        <w:tabs>
          <w:tab w:leader="none" w:pos="7680" w:val="left"/>
        </w:tabs>
        <w:rPr>
          <w:sz w:val="20"/>
          <w:szCs w:val="20"/>
          <w:color w:val="auto"/>
        </w:rPr>
      </w:pPr>
      <w:r>
        <w:rPr>
          <w:rFonts w:ascii="Times New Roman" w:cs="Times New Roman" w:eastAsia="Times New Roman" w:hAnsi="Times New Roman"/>
          <w:sz w:val="18"/>
          <w:szCs w:val="18"/>
          <w:color w:val="auto"/>
        </w:rPr>
        <w:t>(State or other jurisdiction of incorporation or</w:t>
      </w:r>
      <w:r>
        <w:rPr>
          <w:sz w:val="20"/>
          <w:szCs w:val="20"/>
          <w:color w:val="auto"/>
        </w:rPr>
        <w:tab/>
      </w:r>
      <w:r>
        <w:rPr>
          <w:rFonts w:ascii="Times New Roman" w:cs="Times New Roman" w:eastAsia="Times New Roman" w:hAnsi="Times New Roman"/>
          <w:sz w:val="18"/>
          <w:szCs w:val="18"/>
          <w:color w:val="auto"/>
        </w:rPr>
        <w:t>(I.R.S. Employer Identification No.)</w:t>
      </w:r>
    </w:p>
    <w:p>
      <w:pPr>
        <w:ind w:left="1760"/>
        <w:spacing w:after="0"/>
        <w:rPr>
          <w:sz w:val="20"/>
          <w:szCs w:val="20"/>
          <w:color w:val="auto"/>
        </w:rPr>
      </w:pPr>
      <w:r>
        <w:rPr>
          <w:rFonts w:ascii="Times New Roman" w:cs="Times New Roman" w:eastAsia="Times New Roman" w:hAnsi="Times New Roman"/>
          <w:sz w:val="18"/>
          <w:szCs w:val="18"/>
          <w:color w:val="auto"/>
        </w:rPr>
        <w:t>organization)</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1250 Broadway, 15th Floor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 w:lineRule="exact"/>
        <w:rPr>
          <w:sz w:val="24"/>
          <w:szCs w:val="24"/>
          <w:color w:val="auto"/>
        </w:rPr>
      </w:pPr>
    </w:p>
    <w:p>
      <w:pPr>
        <w:ind w:left="5500" w:hanging="438"/>
        <w:spacing w:after="0"/>
        <w:tabs>
          <w:tab w:leader="none" w:pos="5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243-2769</w:t>
      </w:r>
    </w:p>
    <w:p>
      <w:pPr>
        <w:spacing w:after="0" w:line="81" w:lineRule="exact"/>
        <w:rPr>
          <w:rFonts w:ascii="Times New Roman" w:cs="Times New Roman" w:eastAsia="Times New Roman" w:hAnsi="Times New Roman"/>
          <w:sz w:val="18"/>
          <w:szCs w:val="18"/>
          <w:b w:val="1"/>
          <w:bCs w:val="1"/>
          <w:color w:val="auto"/>
        </w:rPr>
      </w:pPr>
    </w:p>
    <w:p>
      <w:pPr>
        <w:ind w:left="5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______________</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4" w:lineRule="exact"/>
        <w:rPr>
          <w:sz w:val="24"/>
          <w:szCs w:val="24"/>
          <w:color w:val="auto"/>
        </w:rPr>
      </w:pPr>
    </w:p>
    <w:p>
      <w:pPr>
        <w:ind w:left="1400"/>
        <w:spacing w:after="0"/>
        <w:tabs>
          <w:tab w:leader="none" w:pos="4420" w:val="left"/>
          <w:tab w:leader="none" w:pos="7080" w:val="left"/>
        </w:tabs>
        <w:rPr>
          <w:sz w:val="20"/>
          <w:szCs w:val="20"/>
          <w:color w:val="auto"/>
        </w:rPr>
      </w:pPr>
      <w:r>
        <w:rPr>
          <w:rFonts w:ascii="Times New Roman" w:cs="Times New Roman" w:eastAsia="Times New Roman" w:hAnsi="Times New Roman"/>
          <w:sz w:val="18"/>
          <w:szCs w:val="18"/>
          <w:color w:val="auto"/>
        </w:rPr>
        <w:t>Title of each class</w:t>
      </w:r>
      <w:r>
        <w:rPr>
          <w:sz w:val="20"/>
          <w:szCs w:val="20"/>
          <w:color w:val="auto"/>
        </w:rPr>
        <w:tab/>
      </w:r>
      <w:r>
        <w:rPr>
          <w:rFonts w:ascii="Times New Roman" w:cs="Times New Roman" w:eastAsia="Times New Roman" w:hAnsi="Times New Roman"/>
          <w:sz w:val="18"/>
          <w:szCs w:val="18"/>
          <w:color w:val="auto"/>
        </w:rPr>
        <w:t>Trading Symbol(s)</w:t>
      </w:r>
      <w:r>
        <w:rPr>
          <w:sz w:val="20"/>
          <w:szCs w:val="20"/>
          <w:color w:val="auto"/>
        </w:rPr>
        <w:tab/>
      </w:r>
      <w:r>
        <w:rPr>
          <w:rFonts w:ascii="Times New Roman" w:cs="Times New Roman" w:eastAsia="Times New Roman" w:hAnsi="Times New Roman"/>
          <w:sz w:val="17"/>
          <w:szCs w:val="17"/>
          <w:color w:val="auto"/>
        </w:rPr>
        <w:t>Name of each exchange on which registered</w:t>
      </w:r>
    </w:p>
    <w:p>
      <w:pPr>
        <w:spacing w:after="0" w:line="27" w:lineRule="exact"/>
        <w:rPr>
          <w:sz w:val="24"/>
          <w:szCs w:val="24"/>
          <w:color w:val="auto"/>
        </w:rPr>
      </w:pPr>
    </w:p>
    <w:p>
      <w:pPr>
        <w:ind w:left="320"/>
        <w:spacing w:after="0"/>
        <w:tabs>
          <w:tab w:leader="none" w:pos="4840" w:val="left"/>
          <w:tab w:leader="none" w:pos="7540" w:val="left"/>
        </w:tabs>
        <w:rPr>
          <w:sz w:val="20"/>
          <w:szCs w:val="20"/>
          <w:color w:val="auto"/>
        </w:rPr>
      </w:pPr>
      <w:r>
        <w:rPr>
          <w:rFonts w:ascii="Times New Roman" w:cs="Times New Roman" w:eastAsia="Times New Roman" w:hAnsi="Times New Roman"/>
          <w:sz w:val="18"/>
          <w:szCs w:val="18"/>
          <w:b w:val="1"/>
          <w:bCs w:val="1"/>
          <w:color w:val="auto"/>
        </w:rPr>
        <w:t>Common stock, par value $0.00001 per share</w:t>
      </w:r>
      <w:r>
        <w:rPr>
          <w:sz w:val="20"/>
          <w:szCs w:val="20"/>
          <w:color w:val="auto"/>
        </w:rPr>
        <w:tab/>
      </w:r>
      <w:r>
        <w:rPr>
          <w:rFonts w:ascii="Times New Roman" w:cs="Times New Roman" w:eastAsia="Times New Roman" w:hAnsi="Times New Roman"/>
          <w:sz w:val="18"/>
          <w:szCs w:val="18"/>
          <w:b w:val="1"/>
          <w:bCs w:val="1"/>
          <w:color w:val="auto"/>
        </w:rPr>
        <w:t>MGNI</w:t>
      </w:r>
      <w:r>
        <w:rPr>
          <w:sz w:val="20"/>
          <w:szCs w:val="20"/>
          <w:color w:val="auto"/>
        </w:rPr>
        <w:tab/>
      </w:r>
      <w:r>
        <w:rPr>
          <w:rFonts w:ascii="Times New Roman" w:cs="Times New Roman" w:eastAsia="Times New Roman" w:hAnsi="Times New Roman"/>
          <w:sz w:val="17"/>
          <w:szCs w:val="17"/>
          <w:b w:val="1"/>
          <w:bCs w:val="1"/>
          <w:color w:val="auto"/>
        </w:rPr>
        <w:t>Nasdaq Global Select Market</w:t>
      </w:r>
    </w:p>
    <w:p>
      <w:pPr>
        <w:spacing w:after="0" w:line="22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4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36"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207" w:lineRule="exact"/>
        <w:tabs>
          <w:tab w:leader="none" w:pos="5420" w:val="left"/>
          <w:tab w:leader="none" w:pos="1104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112" w:lineRule="exact"/>
        <w:rPr>
          <w:sz w:val="24"/>
          <w:szCs w:val="24"/>
          <w:color w:val="auto"/>
        </w:rPr>
      </w:pPr>
    </w:p>
    <w:p>
      <w:pPr>
        <w:ind w:left="20"/>
        <w:spacing w:after="0" w:line="207" w:lineRule="exact"/>
        <w:tabs>
          <w:tab w:leader="none" w:pos="5300" w:val="left"/>
          <w:tab w:leader="none" w:pos="1104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ind w:left="5620"/>
        <w:spacing w:after="0" w:line="207" w:lineRule="exact"/>
        <w:tabs>
          <w:tab w:leader="none" w:pos="110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180"/>
        <w:spacing w:after="0" w:line="29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Indicate the number of shares outstanding of each of the registrant's classes of common stock, as of the latest practicable date.</w:t>
      </w:r>
    </w:p>
    <w:p>
      <w:pPr>
        <w:spacing w:after="0" w:line="120" w:lineRule="exact"/>
        <w:rPr>
          <w:sz w:val="24"/>
          <w:szCs w:val="24"/>
          <w:color w:val="auto"/>
        </w:rPr>
      </w:pPr>
    </w:p>
    <w:p>
      <w:pPr>
        <w:ind w:left="33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Class</w:t>
      </w:r>
      <w:r>
        <w:rPr>
          <w:sz w:val="20"/>
          <w:szCs w:val="20"/>
          <w:color w:val="auto"/>
        </w:rPr>
        <w:tab/>
      </w:r>
      <w:r>
        <w:rPr>
          <w:rFonts w:ascii="Times New Roman" w:cs="Times New Roman" w:eastAsia="Times New Roman" w:hAnsi="Times New Roman"/>
          <w:sz w:val="16"/>
          <w:szCs w:val="16"/>
          <w:b w:val="1"/>
          <w:bCs w:val="1"/>
          <w:color w:val="auto"/>
        </w:rPr>
        <w:t>Outstanding as of July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948055</wp:posOffset>
            </wp:positionH>
            <wp:positionV relativeFrom="paragraph">
              <wp:posOffset>21590</wp:posOffset>
            </wp:positionV>
            <wp:extent cx="5246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4637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39" w:lineRule="exact"/>
        <w:rPr>
          <w:sz w:val="24"/>
          <w:szCs w:val="24"/>
          <w:color w:val="auto"/>
        </w:rPr>
      </w:pPr>
    </w:p>
    <w:p>
      <w:pPr>
        <w:ind w:left="2160"/>
        <w:spacing w:after="0"/>
        <w:tabs>
          <w:tab w:leader="none" w:pos="7240" w:val="left"/>
        </w:tabs>
        <w:rPr>
          <w:sz w:val="20"/>
          <w:szCs w:val="20"/>
          <w:color w:val="auto"/>
        </w:rPr>
      </w:pPr>
      <w:r>
        <w:rPr>
          <w:rFonts w:ascii="Times New Roman" w:cs="Times New Roman" w:eastAsia="Times New Roman" w:hAnsi="Times New Roman"/>
          <w:sz w:val="18"/>
          <w:szCs w:val="18"/>
          <w:b w:val="1"/>
          <w:bCs w:val="1"/>
          <w:color w:val="auto"/>
        </w:rPr>
        <w:t>Common Stock, $0.00001 par value</w:t>
      </w:r>
      <w:r>
        <w:rPr>
          <w:sz w:val="20"/>
          <w:szCs w:val="20"/>
          <w:color w:val="auto"/>
        </w:rPr>
        <w:tab/>
      </w:r>
      <w:r>
        <w:rPr>
          <w:rFonts w:ascii="Times New Roman" w:cs="Times New Roman" w:eastAsia="Times New Roman" w:hAnsi="Times New Roman"/>
          <w:sz w:val="18"/>
          <w:szCs w:val="18"/>
          <w:b w:val="1"/>
          <w:bCs w:val="1"/>
          <w:color w:val="auto"/>
        </w:rPr>
        <w:t>142,399,305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183"/>
        </w:trPr>
        <w:tc>
          <w:tcPr>
            <w:tcW w:w="112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Part I.</w:t>
            </w:r>
          </w:p>
        </w:tc>
        <w:tc>
          <w:tcPr>
            <w:tcW w:w="916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FINANCIAL INFORMATION</w:t>
            </w:r>
          </w:p>
        </w:tc>
        <w:tc>
          <w:tcPr>
            <w:tcW w:w="480" w:type="dxa"/>
            <w:vAlign w:val="bottom"/>
            <w:tcBorders>
              <w:top w:val="single" w:sz="8" w:color="auto"/>
            </w:tcBorders>
            <w:gridSpan w:val="2"/>
          </w:tcPr>
          <w:p>
            <w:pPr>
              <w:jc w:val="center"/>
              <w:ind w:left="290"/>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4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0000FF"/>
              </w:rPr>
              <w:t>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2025 and December 31, 2024</w:t>
            </w:r>
          </w:p>
        </w:tc>
        <w:tc>
          <w:tcPr>
            <w:tcW w:w="4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0000FF"/>
              </w:rPr>
              <w:t>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2025 and June 30, 2024</w:t>
            </w:r>
          </w:p>
        </w:tc>
        <w:tc>
          <w:tcPr>
            <w:tcW w:w="4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0000FF"/>
              </w:rPr>
              <w:t>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Six Months Ended June 30, 2025 and</w:t>
            </w:r>
          </w:p>
        </w:tc>
        <w:tc>
          <w:tcPr>
            <w:tcW w:w="380" w:type="dxa"/>
            <w:vAlign w:val="bottom"/>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02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June 30, 2024</w:t>
            </w:r>
          </w:p>
        </w:tc>
        <w:tc>
          <w:tcPr>
            <w:tcW w:w="30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100" w:type="dxa"/>
            <w:vAlign w:val="bottom"/>
            <w:tcBorders>
              <w:top w:val="single" w:sz="8" w:color="0000FF"/>
            </w:tcBorders>
            <w:gridSpan w:val="2"/>
          </w:tcPr>
          <w:p>
            <w:pPr>
              <w:spacing w:after="0"/>
              <w:rPr>
                <w:sz w:val="15"/>
                <w:szCs w:val="15"/>
                <w:color w:val="auto"/>
              </w:rPr>
            </w:pPr>
          </w:p>
        </w:tc>
        <w:tc>
          <w:tcPr>
            <w:tcW w:w="360" w:type="dxa"/>
            <w:vAlign w:val="bottom"/>
            <w:tcBorders>
              <w:top w:val="single" w:sz="8" w:color="0000FF"/>
            </w:tcBorders>
            <w:gridSpan w:val="2"/>
          </w:tcPr>
          <w:p>
            <w:pPr>
              <w:spacing w:after="0"/>
              <w:rPr>
                <w:sz w:val="15"/>
                <w:szCs w:val="15"/>
                <w:color w:val="auto"/>
              </w:rPr>
            </w:pPr>
          </w:p>
        </w:tc>
        <w:tc>
          <w:tcPr>
            <w:tcW w:w="2080" w:type="dxa"/>
            <w:vAlign w:val="bottom"/>
            <w:tcBorders>
              <w:top w:val="single" w:sz="8" w:color="0000FF"/>
            </w:tcBorders>
            <w:gridSpan w:val="2"/>
          </w:tcPr>
          <w:p>
            <w:pPr>
              <w:spacing w:after="0"/>
              <w:rPr>
                <w:sz w:val="15"/>
                <w:szCs w:val="15"/>
                <w:color w:val="auto"/>
              </w:rPr>
            </w:pPr>
          </w:p>
        </w:tc>
        <w:tc>
          <w:tcPr>
            <w:tcW w:w="1580" w:type="dxa"/>
            <w:vAlign w:val="bottom"/>
            <w:tcBorders>
              <w:top w:val="single" w:sz="8" w:color="0000FF"/>
            </w:tcBorders>
          </w:tcPr>
          <w:p>
            <w:pPr>
              <w:spacing w:after="0"/>
              <w:rPr>
                <w:sz w:val="15"/>
                <w:szCs w:val="15"/>
                <w:color w:val="auto"/>
              </w:rPr>
            </w:pPr>
          </w:p>
        </w:tc>
        <w:tc>
          <w:tcPr>
            <w:tcW w:w="1020" w:type="dxa"/>
            <w:vAlign w:val="bottom"/>
            <w:tcBorders>
              <w:top w:val="single" w:sz="8" w:color="0000FF"/>
            </w:tcBorders>
            <w:gridSpan w:val="2"/>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00" w:type="dxa"/>
            <w:vAlign w:val="bottom"/>
            <w:tcBorders>
              <w:bottom w:val="single" w:sz="8" w:color="0000FF"/>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9160" w:type="dxa"/>
            <w:vAlign w:val="bottom"/>
            <w:gridSpan w:val="18"/>
          </w:tcPr>
          <w:p>
            <w:pPr>
              <w:spacing w:after="0" w:line="203"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2025 and June 30,</w:t>
            </w:r>
          </w:p>
        </w:tc>
        <w:tc>
          <w:tcPr>
            <w:tcW w:w="380" w:type="dxa"/>
            <w:vAlign w:val="bottom"/>
            <w:vMerge w:val="restart"/>
          </w:tcPr>
          <w:p>
            <w:pPr>
              <w:spacing w:after="0"/>
              <w:rPr>
                <w:sz w:val="17"/>
                <w:szCs w:val="17"/>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12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2024</w:t>
            </w:r>
          </w:p>
        </w:tc>
        <w:tc>
          <w:tcPr>
            <w:tcW w:w="240" w:type="dxa"/>
            <w:vAlign w:val="bottom"/>
            <w:tcBorders>
              <w:top w:val="single" w:sz="8" w:color="0000FF"/>
              <w:bottom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7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7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June 30, 2024</w:t>
            </w:r>
          </w:p>
        </w:tc>
        <w:tc>
          <w:tcPr>
            <w:tcW w:w="4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0000FF"/>
              </w:rPr>
              <w:t>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80" w:type="dxa"/>
            <w:vAlign w:val="bottom"/>
            <w:tcBorders>
              <w:left w:val="single" w:sz="8" w:color="0000FF"/>
            </w:tcBorders>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4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020" w:type="dxa"/>
            <w:vAlign w:val="bottom"/>
            <w:gridSpan w:val="5"/>
          </w:tcPr>
          <w:p>
            <w:pPr>
              <w:spacing w:after="0"/>
              <w:rPr>
                <w:sz w:val="18"/>
                <w:szCs w:val="18"/>
                <w:color w:val="auto"/>
              </w:rPr>
            </w:pPr>
          </w:p>
        </w:tc>
        <w:tc>
          <w:tcPr>
            <w:tcW w:w="1140" w:type="dxa"/>
            <w:vAlign w:val="bottom"/>
            <w:gridSpan w:val="4"/>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10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28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2"/>
          </w:tcPr>
          <w:p>
            <w:pPr>
              <w:spacing w:after="0"/>
              <w:rPr>
                <w:sz w:val="18"/>
                <w:szCs w:val="18"/>
                <w:color w:val="auto"/>
              </w:rPr>
            </w:pPr>
          </w:p>
        </w:tc>
        <w:tc>
          <w:tcPr>
            <w:tcW w:w="2720" w:type="dxa"/>
            <w:vAlign w:val="bottom"/>
            <w:gridSpan w:val="5"/>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5"/>
          </w:tcPr>
          <w:p>
            <w:pPr>
              <w:spacing w:after="0"/>
              <w:rPr>
                <w:sz w:val="18"/>
                <w:szCs w:val="18"/>
                <w:color w:val="auto"/>
              </w:rPr>
            </w:pPr>
          </w:p>
        </w:tc>
        <w:tc>
          <w:tcPr>
            <w:tcW w:w="4800" w:type="dxa"/>
            <w:vAlign w:val="bottom"/>
            <w:gridSpan w:val="7"/>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 II.</w:t>
            </w:r>
          </w:p>
        </w:tc>
        <w:tc>
          <w:tcPr>
            <w:tcW w:w="19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260" w:type="dxa"/>
            <w:vAlign w:val="bottom"/>
            <w:gridSpan w:val="11"/>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19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260" w:type="dxa"/>
            <w:vAlign w:val="bottom"/>
            <w:gridSpan w:val="11"/>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00" w:type="dxa"/>
            <w:vAlign w:val="bottom"/>
            <w:gridSpan w:val="2"/>
          </w:tcPr>
          <w:p>
            <w:pPr>
              <w:spacing w:after="0"/>
              <w:rPr>
                <w:sz w:val="18"/>
                <w:szCs w:val="18"/>
                <w:color w:val="auto"/>
              </w:rPr>
            </w:pPr>
          </w:p>
        </w:tc>
        <w:tc>
          <w:tcPr>
            <w:tcW w:w="7840" w:type="dxa"/>
            <w:vAlign w:val="bottom"/>
            <w:gridSpan w:val="13"/>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00" w:type="dxa"/>
            <w:vAlign w:val="bottom"/>
            <w:gridSpan w:val="7"/>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4800" w:type="dxa"/>
            <w:vAlign w:val="bottom"/>
            <w:gridSpan w:val="7"/>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840" w:type="dxa"/>
            <w:vAlign w:val="bottom"/>
            <w:gridSpan w:val="13"/>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40" w:type="dxa"/>
            <w:vAlign w:val="bottom"/>
            <w:gridSpan w:val="13"/>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1120" w:type="dxa"/>
            <w:vAlign w:val="bottom"/>
          </w:tcPr>
          <w:p>
            <w:pPr>
              <w:spacing w:after="0"/>
              <w:rPr>
                <w:sz w:val="24"/>
                <w:szCs w:val="24"/>
                <w:color w:val="auto"/>
              </w:rPr>
            </w:pPr>
          </w:p>
        </w:tc>
        <w:tc>
          <w:tcPr>
            <w:tcW w:w="6140" w:type="dxa"/>
            <w:vAlign w:val="bottom"/>
            <w:gridSpan w:val="12"/>
          </w:tcPr>
          <w:p>
            <w:pPr>
              <w:ind w:left="446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par values)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p>
      <w:pPr>
        <w:jc w:val="right"/>
        <w:ind w:right="260"/>
        <w:spacing w:after="0"/>
        <w:tabs>
          <w:tab w:leader="none" w:pos="1160" w:val="left"/>
        </w:tabs>
        <w:rPr>
          <w:sz w:val="20"/>
          <w:szCs w:val="20"/>
          <w:color w:val="auto"/>
        </w:rPr>
      </w:pPr>
      <w:r>
        <w:rPr>
          <w:rFonts w:ascii="Times New Roman" w:cs="Times New Roman" w:eastAsia="Times New Roman" w:hAnsi="Times New Roman"/>
          <w:sz w:val="14"/>
          <w:szCs w:val="14"/>
          <w:b w:val="1"/>
          <w:bCs w:val="1"/>
          <w:color w:val="auto"/>
        </w:rPr>
        <w:t>June 30, 2025</w:t>
      </w:r>
      <w:r>
        <w:rPr>
          <w:sz w:val="20"/>
          <w:szCs w:val="20"/>
          <w:color w:val="auto"/>
        </w:rPr>
        <w:tab/>
      </w:r>
      <w:r>
        <w:rPr>
          <w:rFonts w:ascii="Times New Roman" w:cs="Times New Roman" w:eastAsia="Times New Roman" w:hAnsi="Times New Roman"/>
          <w:sz w:val="14"/>
          <w:szCs w:val="14"/>
          <w:b w:val="1"/>
          <w:bCs w:val="1"/>
          <w:color w:val="auto"/>
        </w:rPr>
        <w:t>December 31, 2024</w:t>
      </w:r>
    </w:p>
    <w:p>
      <w:pPr>
        <w:sectPr>
          <w:pgSz w:w="11900" w:h="16838" w:orient="portrait"/>
          <w:cols w:equalWidth="0" w:num="1">
            <w:col w:w="11240"/>
          </w:cols>
          <w:pgMar w:left="320" w:top="121" w:right="339" w:bottom="1440" w:gutter="0" w:footer="0" w:header="0"/>
        </w:sectPr>
      </w:pP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80" w:type="dxa"/>
            <w:vAlign w:val="bottom"/>
          </w:tcPr>
          <w:p>
            <w:pPr>
              <w:spacing w:after="0"/>
              <w:rPr>
                <w:sz w:val="21"/>
                <w:szCs w:val="21"/>
                <w:color w:val="auto"/>
              </w:rPr>
            </w:pPr>
          </w:p>
        </w:tc>
      </w:tr>
      <w:tr>
        <w:trPr>
          <w:trHeight w:val="27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80" w:type="dxa"/>
            <w:vAlign w:val="bottom"/>
          </w:tcPr>
          <w:p>
            <w:pPr>
              <w:spacing w:after="0"/>
              <w:rPr>
                <w:sz w:val="23"/>
                <w:szCs w:val="23"/>
                <w:color w:val="auto"/>
              </w:rPr>
            </w:pPr>
          </w:p>
        </w:tc>
      </w:tr>
      <w:tr>
        <w:trPr>
          <w:trHeight w:val="270"/>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880" w:type="dxa"/>
            <w:vAlign w:val="bottom"/>
          </w:tcPr>
          <w:p>
            <w:pPr>
              <w:spacing w:after="0"/>
              <w:rPr>
                <w:sz w:val="23"/>
                <w:szCs w:val="23"/>
                <w:color w:val="auto"/>
              </w:rPr>
            </w:pPr>
          </w:p>
        </w:tc>
      </w:tr>
      <w:tr>
        <w:trPr>
          <w:trHeight w:val="270"/>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80" w:type="dxa"/>
            <w:vAlign w:val="bottom"/>
          </w:tcPr>
          <w:p>
            <w:pPr>
              <w:spacing w:after="0"/>
              <w:rPr>
                <w:sz w:val="23"/>
                <w:szCs w:val="23"/>
                <w:color w:val="auto"/>
              </w:rPr>
            </w:pPr>
          </w:p>
        </w:tc>
      </w:tr>
      <w:tr>
        <w:trPr>
          <w:trHeight w:val="270"/>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Right-of-use lease assets</w:t>
            </w:r>
          </w:p>
        </w:tc>
        <w:tc>
          <w:tcPr>
            <w:tcW w:w="1880" w:type="dxa"/>
            <w:vAlign w:val="bottom"/>
          </w:tcPr>
          <w:p>
            <w:pPr>
              <w:spacing w:after="0"/>
              <w:rPr>
                <w:sz w:val="23"/>
                <w:szCs w:val="23"/>
                <w:color w:val="auto"/>
              </w:rPr>
            </w:pPr>
          </w:p>
        </w:tc>
      </w:tr>
      <w:tr>
        <w:trPr>
          <w:trHeight w:val="270"/>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Internal use software development costs, net</w:t>
            </w:r>
          </w:p>
        </w:tc>
        <w:tc>
          <w:tcPr>
            <w:tcW w:w="1880" w:type="dxa"/>
            <w:vAlign w:val="bottom"/>
          </w:tcPr>
          <w:p>
            <w:pPr>
              <w:spacing w:after="0"/>
              <w:rPr>
                <w:sz w:val="23"/>
                <w:szCs w:val="23"/>
                <w:color w:val="auto"/>
              </w:rPr>
            </w:pPr>
          </w:p>
        </w:tc>
      </w:tr>
      <w:tr>
        <w:trPr>
          <w:trHeight w:val="270"/>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880" w:type="dxa"/>
            <w:vAlign w:val="bottom"/>
          </w:tcPr>
          <w:p>
            <w:pPr>
              <w:spacing w:after="0"/>
              <w:rPr>
                <w:sz w:val="23"/>
                <w:szCs w:val="23"/>
                <w:color w:val="auto"/>
              </w:rPr>
            </w:pPr>
          </w:p>
        </w:tc>
      </w:tr>
      <w:tr>
        <w:trPr>
          <w:trHeight w:val="270"/>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880" w:type="dxa"/>
            <w:vAlign w:val="bottom"/>
          </w:tcPr>
          <w:p>
            <w:pPr>
              <w:spacing w:after="0"/>
              <w:rPr>
                <w:sz w:val="23"/>
                <w:szCs w:val="23"/>
                <w:color w:val="auto"/>
              </w:rPr>
            </w:pPr>
          </w:p>
        </w:tc>
      </w:tr>
      <w:tr>
        <w:trPr>
          <w:trHeight w:val="270"/>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non-current</w:t>
            </w:r>
          </w:p>
        </w:tc>
        <w:tc>
          <w:tcPr>
            <w:tcW w:w="1880" w:type="dxa"/>
            <w:vAlign w:val="bottom"/>
          </w:tcPr>
          <w:p>
            <w:pPr>
              <w:spacing w:after="0"/>
              <w:rPr>
                <w:sz w:val="23"/>
                <w:szCs w:val="23"/>
                <w:color w:val="auto"/>
              </w:rPr>
            </w:pPr>
          </w:p>
        </w:tc>
      </w:tr>
      <w:tr>
        <w:trPr>
          <w:trHeight w:val="270"/>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80" w:type="dxa"/>
            <w:vAlign w:val="bottom"/>
          </w:tcPr>
          <w:p>
            <w:pPr>
              <w:spacing w:after="0"/>
              <w:rPr>
                <w:sz w:val="21"/>
                <w:szCs w:val="2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80" w:type="dxa"/>
            <w:vAlign w:val="bottom"/>
          </w:tcPr>
          <w:p>
            <w:pPr>
              <w:spacing w:after="0"/>
              <w:rPr>
                <w:sz w:val="20"/>
                <w:szCs w:val="20"/>
                <w:color w:val="auto"/>
              </w:rPr>
            </w:pPr>
          </w:p>
        </w:tc>
      </w:tr>
      <w:tr>
        <w:trPr>
          <w:trHeight w:val="27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880" w:type="dxa"/>
            <w:vAlign w:val="bottom"/>
          </w:tcPr>
          <w:p>
            <w:pPr>
              <w:spacing w:after="0"/>
              <w:rPr>
                <w:sz w:val="21"/>
                <w:szCs w:val="21"/>
                <w:color w:val="auto"/>
              </w:rPr>
            </w:pPr>
          </w:p>
        </w:tc>
      </w:tr>
      <w:tr>
        <w:trPr>
          <w:trHeight w:val="27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current, net of debt issuance costs</w:t>
            </w:r>
          </w:p>
        </w:tc>
        <w:tc>
          <w:tcPr>
            <w:tcW w:w="1880" w:type="dxa"/>
            <w:vAlign w:val="bottom"/>
          </w:tcPr>
          <w:p>
            <w:pPr>
              <w:spacing w:after="0"/>
              <w:rPr>
                <w:sz w:val="23"/>
                <w:szCs w:val="23"/>
                <w:color w:val="auto"/>
              </w:rPr>
            </w:pPr>
          </w:p>
        </w:tc>
      </w:tr>
      <w:tr>
        <w:trPr>
          <w:trHeight w:val="27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80" w:type="dxa"/>
            <w:vAlign w:val="bottom"/>
          </w:tcPr>
          <w:p>
            <w:pPr>
              <w:spacing w:after="0"/>
              <w:rPr>
                <w:sz w:val="23"/>
                <w:szCs w:val="23"/>
                <w:color w:val="auto"/>
              </w:rPr>
            </w:pPr>
          </w:p>
        </w:tc>
      </w:tr>
      <w:tr>
        <w:trPr>
          <w:trHeight w:val="270"/>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80" w:type="dxa"/>
            <w:vAlign w:val="bottom"/>
          </w:tcPr>
          <w:p>
            <w:pPr>
              <w:spacing w:after="0"/>
              <w:rPr>
                <w:sz w:val="23"/>
                <w:szCs w:val="23"/>
                <w:color w:val="auto"/>
              </w:rPr>
            </w:pPr>
          </w:p>
        </w:tc>
      </w:tr>
      <w:tr>
        <w:trPr>
          <w:trHeight w:val="25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Debt, non-current, net of debt discount and issuance costs</w:t>
            </w:r>
          </w:p>
        </w:tc>
        <w:tc>
          <w:tcPr>
            <w:tcW w:w="1880" w:type="dxa"/>
            <w:vAlign w:val="bottom"/>
          </w:tcPr>
          <w:p>
            <w:pPr>
              <w:spacing w:after="0"/>
              <w:rPr>
                <w:sz w:val="22"/>
                <w:szCs w:val="22"/>
                <w:color w:val="auto"/>
              </w:rPr>
            </w:pPr>
          </w:p>
        </w:tc>
      </w:tr>
      <w:tr>
        <w:trPr>
          <w:trHeight w:val="24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880" w:type="dxa"/>
            <w:vAlign w:val="bottom"/>
          </w:tcPr>
          <w:p>
            <w:pPr>
              <w:spacing w:after="0"/>
              <w:rPr>
                <w:sz w:val="21"/>
                <w:szCs w:val="2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880" w:type="dxa"/>
            <w:vAlign w:val="bottom"/>
          </w:tcPr>
          <w:p>
            <w:pPr>
              <w:spacing w:after="0"/>
              <w:rPr>
                <w:sz w:val="23"/>
                <w:szCs w:val="23"/>
                <w:color w:val="auto"/>
              </w:rPr>
            </w:pPr>
          </w:p>
        </w:tc>
      </w:tr>
      <w:tr>
        <w:trPr>
          <w:trHeight w:val="270"/>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8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-985520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-1962785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1" w:lineRule="exact"/>
        <w:rPr>
          <w:sz w:val="20"/>
          <w:szCs w:val="20"/>
          <w:color w:val="auto"/>
        </w:rPr>
      </w:pPr>
    </w:p>
    <w:p>
      <w:pPr>
        <w:ind w:left="220" w:right="160" w:hanging="161"/>
        <w:spacing w:after="0" w:line="281" w:lineRule="auto"/>
        <w:rPr>
          <w:sz w:val="20"/>
          <w:szCs w:val="20"/>
          <w:color w:val="auto"/>
        </w:rPr>
      </w:pPr>
      <w:r>
        <w:rPr>
          <w:rFonts w:ascii="Times New Roman" w:cs="Times New Roman" w:eastAsia="Times New Roman" w:hAnsi="Times New Roman"/>
          <w:sz w:val="18"/>
          <w:szCs w:val="18"/>
          <w:color w:val="auto"/>
        </w:rPr>
        <w:t>Preferred stock, $0.00001 par value, 10,000 shares authorized at June 30, 2025 and December 31, 2024; 0 shares issued and outstanding at June 30, 2025 and December 31, 2024</w:t>
      </w:r>
    </w:p>
    <w:p>
      <w:pPr>
        <w:spacing w:after="0" w:line="1" w:lineRule="exact"/>
        <w:rPr>
          <w:sz w:val="20"/>
          <w:szCs w:val="20"/>
          <w:color w:val="auto"/>
        </w:rPr>
      </w:pPr>
    </w:p>
    <w:p>
      <w:pPr>
        <w:ind w:left="20" w:right="240"/>
        <w:spacing w:after="0" w:line="281" w:lineRule="auto"/>
        <w:rPr>
          <w:sz w:val="20"/>
          <w:szCs w:val="20"/>
          <w:color w:val="auto"/>
        </w:rPr>
      </w:pPr>
      <w:r>
        <w:rPr>
          <w:rFonts w:ascii="Times New Roman" w:cs="Times New Roman" w:eastAsia="Times New Roman" w:hAnsi="Times New Roman"/>
          <w:sz w:val="18"/>
          <w:szCs w:val="18"/>
          <w:color w:val="auto"/>
        </w:rPr>
        <w:t>Common stock, $0.00001 par value; 500,000 shares authorized at June 30, 2025 and December 31, 2024; 142,383 and 141,427 shares issued and outstanding at June 30, 2025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426,004</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483,220</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1,303,042</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1,200,046</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27,474</w:t>
            </w:r>
          </w:p>
        </w:tc>
        <w:tc>
          <w:tcPr>
            <w:tcW w:w="4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19,914</w:t>
            </w:r>
          </w:p>
        </w:tc>
      </w:tr>
      <w:tr>
        <w:trPr>
          <w:trHeight w:val="25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1,756,520</w:t>
            </w:r>
          </w:p>
        </w:tc>
        <w:tc>
          <w:tcPr>
            <w:tcW w:w="4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1,703,180</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89,505</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68,730</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58,429</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50,329</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27,268</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26,625</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11,036</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21,309</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978,217</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978,217</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6,172</w:t>
            </w:r>
          </w:p>
        </w:tc>
        <w:tc>
          <w:tcPr>
            <w:tcW w:w="4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6,378</w:t>
            </w:r>
          </w:p>
        </w:tc>
      </w:tr>
      <w:tr>
        <w:trPr>
          <w:trHeight w:val="223"/>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2,927,147</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2,854,768</w:t>
            </w:r>
          </w:p>
        </w:tc>
      </w:tr>
      <w:tr>
        <w:trPr>
          <w:trHeight w:val="21"/>
        </w:trPr>
        <w:tc>
          <w:tcPr>
            <w:tcW w:w="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95"/>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1,530,389</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1,466,377</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19,388</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16,086</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207,862</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3,641</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7,316</w:t>
            </w:r>
          </w:p>
        </w:tc>
        <w:tc>
          <w:tcPr>
            <w:tcW w:w="4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9,880</w:t>
            </w:r>
          </w:p>
        </w:tc>
      </w:tr>
      <w:tr>
        <w:trPr>
          <w:trHeight w:val="245"/>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1,764,955</w:t>
            </w:r>
          </w:p>
        </w:tc>
        <w:tc>
          <w:tcPr>
            <w:tcW w:w="4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1,495,984</w:t>
            </w:r>
          </w:p>
        </w:tc>
      </w:tr>
      <w:tr>
        <w:trPr>
          <w:trHeight w:val="234"/>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348,556</w:t>
            </w:r>
          </w:p>
        </w:tc>
        <w:tc>
          <w:tcPr>
            <w:tcW w:w="48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550,104</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43,401</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38,983</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1,768</w:t>
            </w:r>
          </w:p>
        </w:tc>
        <w:tc>
          <w:tcPr>
            <w:tcW w:w="4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1,479</w:t>
            </w:r>
          </w:p>
        </w:tc>
      </w:tr>
      <w:tr>
        <w:trPr>
          <w:trHeight w:val="25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2,158,680</w:t>
            </w: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2,086,550</w:t>
            </w:r>
          </w:p>
        </w:tc>
      </w:tr>
      <w:tr>
        <w:trPr>
          <w:trHeight w:val="965"/>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24"/>
                <w:szCs w:val="24"/>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1,429,206</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1,433,809</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(1,074)</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(4,421)</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(659,667)</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(661,172)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-1619250</wp:posOffset>
            </wp:positionV>
            <wp:extent cx="10801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-539115</wp:posOffset>
            </wp:positionH>
            <wp:positionV relativeFrom="paragraph">
              <wp:posOffset>-2279650</wp:posOffset>
            </wp:positionV>
            <wp:extent cx="10801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-539115</wp:posOffset>
            </wp:positionH>
            <wp:positionV relativeFrom="paragraph">
              <wp:posOffset>-3248025</wp:posOffset>
            </wp:positionV>
            <wp:extent cx="10801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-539115</wp:posOffset>
            </wp:positionH>
            <wp:positionV relativeFrom="paragraph">
              <wp:posOffset>-4628515</wp:posOffset>
            </wp:positionV>
            <wp:extent cx="10801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860" w:space="720"/>
            <w:col w:w="26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768,467</w:t>
            </w: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768,218</w:t>
            </w:r>
          </w:p>
        </w:tc>
      </w:tr>
      <w:tr>
        <w:trPr>
          <w:trHeight w:val="248"/>
        </w:trPr>
        <w:tc>
          <w:tcPr>
            <w:tcW w:w="77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2,927,147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2,854,768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2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3220" w:type="dxa"/>
            <w:vAlign w:val="bottom"/>
            <w:gridSpan w:val="4"/>
          </w:tcPr>
          <w:p>
            <w:pPr>
              <w:jc w:val="right"/>
              <w:ind w:right="109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329,103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312,199</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128,508</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85,929</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52,720</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49,296</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308,508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316,453</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14,751</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(18,835)</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60" w:type="dxa"/>
            <w:vAlign w:val="bottom"/>
            <w:vMerge w:val="continue"/>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-2540</wp:posOffset>
            </wp:positionV>
            <wp:extent cx="4491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8"/>
          <w:szCs w:val="18"/>
          <w:color w:val="auto"/>
        </w:rPr>
        <w:t>Weighted average shares used to compute net income (loss) per share:</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Basic</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141,654</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140,551</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141,752</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139,924</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3"/>
        </w:trPr>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148,260</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140,551</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149,184</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139,924</w:t>
            </w:r>
          </w:p>
        </w:tc>
      </w:tr>
      <w:tr>
        <w:trPr>
          <w:trHeight w:val="21"/>
        </w:trPr>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-196215</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-624840</wp:posOffset>
            </wp:positionV>
            <wp:extent cx="7132320"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80" w:space="280"/>
            <w:col w:w="7080"/>
          </w:cols>
          <w:pgMar w:left="320" w:top="121" w:right="339" w:bottom="1440" w:gutter="0" w:footer="0" w:header="0"/>
          <w:type w:val="continuous"/>
        </w:sectPr>
      </w:pP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3160" w:type="dxa"/>
            <w:vAlign w:val="bottom"/>
            <w:gridSpan w:val="4"/>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0"/>
        </w:trPr>
        <w:tc>
          <w:tcPr>
            <w:tcW w:w="42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29"/>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(18,835)</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2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7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4"/>
                <w:szCs w:val="14"/>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78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vMerge w:val="restart"/>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2"/>
            <w:vMerge w:val="restart"/>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780" w:type="dxa"/>
            <w:vAlign w:val="bottom"/>
          </w:tcPr>
          <w:p>
            <w:pPr>
              <w:spacing w:after="0"/>
              <w:rPr>
                <w:sz w:val="4"/>
                <w:szCs w:val="4"/>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4"/>
                <w:szCs w:val="4"/>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138,577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1,387,715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(683,958)</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701,683</w:t>
            </w: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w:t>
            </w: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21,407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21,407</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(17,757)</w:t>
            </w:r>
          </w:p>
        </w:tc>
        <w:tc>
          <w:tcPr>
            <w:tcW w:w="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(17,757)</w:t>
            </w:r>
          </w:p>
        </w:tc>
        <w:tc>
          <w:tcPr>
            <w:tcW w:w="0" w:type="dxa"/>
            <w:vAlign w:val="bottom"/>
          </w:tcPr>
          <w:p>
            <w:pPr>
              <w:spacing w:after="0"/>
              <w:rPr>
                <w:sz w:val="1"/>
                <w:szCs w:val="1"/>
                <w:color w:val="auto"/>
              </w:rPr>
            </w:pPr>
          </w:p>
        </w:tc>
      </w:tr>
      <w:tr>
        <w:trPr>
          <w:trHeight w:val="237"/>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1,400,181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(701,715)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695,377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80" w:type="dxa"/>
            <w:vAlign w:val="bottom"/>
            <w:tcBorders>
              <w:top w:val="single" w:sz="8" w:color="CCEEFF"/>
            </w:tcBorders>
            <w:vMerge w:val="continue"/>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7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165"/>
        </w:trPr>
        <w:tc>
          <w:tcPr>
            <w:tcW w:w="37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common stock related to employee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1,983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20,382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20,382</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0" w:type="dxa"/>
            <w:vAlign w:val="bottom"/>
          </w:tcPr>
          <w:p>
            <w:pPr>
              <w:spacing w:after="0"/>
              <w:rPr>
                <w:sz w:val="1"/>
                <w:szCs w:val="1"/>
                <w:color w:val="auto"/>
              </w:rPr>
            </w:pPr>
          </w:p>
        </w:tc>
      </w:tr>
      <w:tr>
        <w:trPr>
          <w:trHeight w:val="237"/>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1,418,931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(702,793)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712,963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7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4"/>
                <w:szCs w:val="14"/>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6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vMerge w:val="restart"/>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restart"/>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2"/>
            <w:vMerge w:val="restart"/>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660" w:type="dxa"/>
            <w:vAlign w:val="bottom"/>
          </w:tcPr>
          <w:p>
            <w:pPr>
              <w:spacing w:after="0"/>
              <w:rPr>
                <w:sz w:val="4"/>
                <w:szCs w:val="4"/>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4"/>
                <w:szCs w:val="4"/>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141,427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1,433,809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(661,172)</w:t>
            </w:r>
          </w:p>
        </w:tc>
        <w:tc>
          <w:tcPr>
            <w:tcW w:w="1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768,218</w:t>
            </w: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165"/>
        </w:trPr>
        <w:tc>
          <w:tcPr>
            <w:tcW w:w="36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common stock related to RSU and PSU</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vesting</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(20,314)</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(19,229)</w:t>
            </w: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Retirement of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21,631</w:t>
            </w: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(9,634)</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(9,634)</w:t>
            </w:r>
          </w:p>
        </w:tc>
        <w:tc>
          <w:tcPr>
            <w:tcW w:w="0" w:type="dxa"/>
            <w:vAlign w:val="bottom"/>
          </w:tcPr>
          <w:p>
            <w:pPr>
              <w:spacing w:after="0"/>
              <w:rPr>
                <w:sz w:val="1"/>
                <w:szCs w:val="1"/>
                <w:color w:val="auto"/>
              </w:rPr>
            </w:pPr>
          </w:p>
        </w:tc>
      </w:tr>
      <w:tr>
        <w:trPr>
          <w:trHeight w:val="209"/>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2025</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141,476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1,416,149</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(3,592)</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(670,806)</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741,753</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0" w:type="dxa"/>
            <w:vAlign w:val="bottom"/>
          </w:tcPr>
          <w:p>
            <w:pPr>
              <w:spacing w:after="0"/>
              <w:rPr>
                <w:sz w:val="1"/>
                <w:szCs w:val="1"/>
                <w:color w:val="auto"/>
              </w:rPr>
            </w:pPr>
          </w:p>
        </w:tc>
      </w:tr>
      <w:tr>
        <w:trPr>
          <w:trHeight w:val="162"/>
        </w:trPr>
        <w:tc>
          <w:tcPr>
            <w:tcW w:w="36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common stock related to employee stock</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Retirement of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20,084</w:t>
            </w: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11,139</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11,139</w:t>
            </w:r>
          </w:p>
        </w:tc>
        <w:tc>
          <w:tcPr>
            <w:tcW w:w="0" w:type="dxa"/>
            <w:vAlign w:val="bottom"/>
          </w:tcPr>
          <w:p>
            <w:pPr>
              <w:spacing w:after="0"/>
              <w:rPr>
                <w:sz w:val="1"/>
                <w:szCs w:val="1"/>
                <w:color w:val="auto"/>
              </w:rPr>
            </w:pPr>
          </w:p>
        </w:tc>
      </w:tr>
      <w:tr>
        <w:trPr>
          <w:trHeight w:val="209"/>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2025</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142,383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1,429,206</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(659,667)</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768,467</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4"/>
          </w:tcPr>
          <w:p>
            <w:pPr>
              <w:jc w:val="right"/>
              <w:ind w:right="105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7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9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(18,835)</w:t>
            </w:r>
          </w:p>
        </w:tc>
      </w:tr>
      <w:tr>
        <w:trPr>
          <w:trHeight w:val="213"/>
        </w:trPr>
        <w:tc>
          <w:tcPr>
            <w:tcW w:w="7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27,803</w:t>
            </w:r>
          </w:p>
        </w:tc>
      </w:tr>
      <w:tr>
        <w:trPr>
          <w:trHeight w:val="213"/>
        </w:trPr>
        <w:tc>
          <w:tcPr>
            <w:tcW w:w="7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40,491</w:t>
            </w:r>
          </w:p>
        </w:tc>
      </w:tr>
      <w:tr>
        <w:trPr>
          <w:trHeight w:val="219"/>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7,387</w:t>
            </w:r>
          </w:p>
        </w:tc>
      </w:tr>
      <w:tr>
        <w:trPr>
          <w:trHeight w:val="213"/>
        </w:trPr>
        <w:tc>
          <w:tcPr>
            <w:tcW w:w="7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w:t>
            </w:r>
          </w:p>
        </w:tc>
      </w:tr>
      <w:tr>
        <w:trPr>
          <w:trHeight w:val="219"/>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lease expense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w:t>
            </w:r>
          </w:p>
        </w:tc>
      </w:tr>
      <w:tr>
        <w:trPr>
          <w:trHeight w:val="213"/>
        </w:trPr>
        <w:tc>
          <w:tcPr>
            <w:tcW w:w="7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(3,101)</w:t>
            </w:r>
          </w:p>
        </w:tc>
      </w:tr>
      <w:tr>
        <w:trPr>
          <w:trHeight w:val="219"/>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Unrealized foreign currency (gain) loss,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w:t>
            </w:r>
          </w:p>
        </w:tc>
      </w:tr>
      <w:tr>
        <w:trPr>
          <w:trHeight w:val="213"/>
        </w:trPr>
        <w:tc>
          <w:tcPr>
            <w:tcW w:w="7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items,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19"/>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7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52,146</w:t>
            </w:r>
          </w:p>
        </w:tc>
      </w:tr>
      <w:tr>
        <w:trPr>
          <w:trHeight w:val="219"/>
        </w:trPr>
        <w:tc>
          <w:tcPr>
            <w:tcW w:w="7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w:t>
            </w:r>
          </w:p>
        </w:tc>
      </w:tr>
      <w:tr>
        <w:trPr>
          <w:trHeight w:val="213"/>
        </w:trPr>
        <w:tc>
          <w:tcPr>
            <w:tcW w:w="7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(76,104)</w:t>
            </w:r>
          </w:p>
        </w:tc>
      </w:tr>
      <w:tr>
        <w:trPr>
          <w:trHeight w:val="219"/>
        </w:trPr>
        <w:tc>
          <w:tcPr>
            <w:tcW w:w="7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07"/>
        </w:trPr>
        <w:tc>
          <w:tcPr>
            <w:tcW w:w="78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21,089</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29,156</w:t>
            </w:r>
          </w:p>
        </w:tc>
      </w:tr>
      <w:tr>
        <w:trPr>
          <w:trHeight w:val="19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(15,040)</w:t>
            </w:r>
          </w:p>
        </w:tc>
      </w:tr>
      <w:tr>
        <w:trPr>
          <w:trHeight w:val="21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internal use software development costs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(7,516)</w:t>
            </w:r>
          </w:p>
        </w:tc>
      </w:tr>
      <w:tr>
        <w:trPr>
          <w:trHeight w:val="207"/>
        </w:trPr>
        <w:tc>
          <w:tcPr>
            <w:tcW w:w="78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(33,255)</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(22,556)</w:t>
            </w:r>
          </w:p>
        </w:tc>
      </w:tr>
      <w:tr>
        <w:trPr>
          <w:trHeight w:val="19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Term Loan B Facility refinancing and repricing activities, net of debt discount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361,350</w:t>
            </w:r>
          </w:p>
        </w:tc>
      </w:tr>
      <w:tr>
        <w:trPr>
          <w:trHeight w:val="21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the Term Loan B Facility from refinancing and repricing activities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(351,000)</w:t>
            </w:r>
          </w:p>
        </w:tc>
      </w:tr>
      <w:tr>
        <w:trPr>
          <w:trHeight w:val="213"/>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for debt issuance costs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w:t>
            </w:r>
          </w:p>
        </w:tc>
      </w:tr>
      <w:tr>
        <w:trPr>
          <w:trHeight w:val="21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debt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r>
      <w:tr>
        <w:trPr>
          <w:trHeight w:val="213"/>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w:t>
            </w:r>
          </w:p>
        </w:tc>
      </w:tr>
      <w:tr>
        <w:trPr>
          <w:trHeight w:val="213"/>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paid related to net share settlement</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(12,743)</w:t>
            </w:r>
          </w:p>
        </w:tc>
      </w:tr>
      <w:tr>
        <w:trPr>
          <w:trHeight w:val="207"/>
        </w:trPr>
        <w:tc>
          <w:tcPr>
            <w:tcW w:w="78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(47,385)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(5,646)</w:t>
            </w: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(57,216)</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483,220</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326,219</w:t>
            </w:r>
          </w:p>
        </w:tc>
      </w:tr>
      <w:tr>
        <w:trPr>
          <w:trHeight w:val="212"/>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426,004</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326,464</w:t>
            </w: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02"/>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OTHER CASH FLOW INFORMATION:</w:t>
            </w: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w:t>
            </w: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17,854</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assets financed by accounts payable and accrued expenses and other liabilities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9,132</w:t>
            </w: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stock-based compensation</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operating lease liabilities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11,020</w:t>
            </w: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reduction and corresponding non-cash adjustment to operating lease liabilities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financing activity related to Amendment No. 2 to the 2024 Credit Agreement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270,555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Summary of Significant Accounting Policies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Magnite, Inc. ("Magnite" or the "Company"), was formed in Delaware and began operations on April 20, 2007.</w:t>
      </w:r>
    </w:p>
    <w:p>
      <w:pPr>
        <w:spacing w:after="0" w:line="104"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Company's common stock is listed on the Nasdaq Global Select Market of The Nasdaq Stock Market LLC ("Nasdaq") under the symbol "MGNI." Magnite has its principal offices in New York City, Los Angeles, Denver, London, and Sydney, and additional offices in Europe, Asia, North America, and South America.</w:t>
      </w:r>
    </w:p>
    <w:p>
      <w:pPr>
        <w:spacing w:after="0" w:line="54"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17"/>
          <w:szCs w:val="17"/>
          <w:color w:val="auto"/>
        </w:rPr>
        <w:t>The Company provides a technology solution to automate the purchase and sale of digital advertising inventory for buyers and sellers globally, across all channels, formats and auction types. The Company's platform features applications and services for sellers of digital advertising inventory, or publishers, that own or operate websites, applications, connected television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sellers and buyers of digital advertising inventory.</w:t>
      </w:r>
    </w:p>
    <w:p>
      <w:pPr>
        <w:spacing w:after="0" w:line="3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Sellers monetize their inventory through the Company’s platform by seamlessly connecting to a global market of integrated buyers that transact through real-time bidding. These transactions include biddable auctions, where multiple buyers bid against each other in a real-time auction for the right to purchase a publisher's inventory, as well as reserve auctions, where publishers establish direct deals or private marketplaces with select buyers. At the same time, buyers leverage the Company’s platform to manage their advertising spending and reach their target audiences, simplify order management and campaign tracking, obtain actionable insights into audiences for their advertising, and access impression-level purchasing from thousands of sellers.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Summary of Significant Accounting Policies</w:t>
      </w:r>
    </w:p>
    <w:p>
      <w:pPr>
        <w:spacing w:after="0" w:line="10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and six months ended June 30, 2025 are not necessarily indicative of the results that may be expected for any future interim period, the year ending December 31, 2025, or for any future year.</w:t>
      </w:r>
    </w:p>
    <w:p>
      <w:pPr>
        <w:spacing w:after="0" w:line="5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at December 31, 2024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2024 included in its 2024 Annual Report on Form 10-K.</w:t>
      </w:r>
    </w:p>
    <w:p>
      <w:pPr>
        <w:spacing w:after="0" w:line="4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the Company's accounting policies from those disclosed in its audited consolidated financial statements and notes thereto for the year ended December 31, 2024 included in its Annual Report on Form 10-K.</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Management has determined that the Company operates as one operating segment and one reportable segment. The Company’s chief operating decision maker ("CODM") is the Chief Executive Officer ("CEO"). The Company has one primary business activity, where it provides a platform to all of its customers, buyers and sellers, that automates the purchase and sale of digital advertising inventory globally, across all channels, formats, and auction types, as described above. The Company’s CODM reviews financial information on a consolidated basis, principally to make decisions about how to allocate resources and to measure the Company’s performance. The CODM reviews consolidated net income (loss), which is the measure of financial profit and loss most closely aligned with generally accepted accounting principles. The CODM considers budget-to-actual variances for this measure, predominantly in the annual budget, forecasting process, and quarterly results assessment. The CODM does not review any balance sheet information at any other level than on a consolidated basis and does not review any income statement information at any other level than on a consolidated basis with the exception of revenue by geography and by channel (refer to Note 3). The significant expense information regularly provided to the CODM is the same as that included in the face of the Company's consolidated income statement of operations.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preparation of condensed consolidated financial statements in conformity with GAAP requires management to make estimates and assumptions that affect the reported and disclosed financial statements and accompanying footnotes. </w:t>
      </w:r>
      <w:r>
        <w:rPr>
          <w:rFonts w:ascii="Times New Roman" w:cs="Times New Roman" w:eastAsia="Times New Roman" w:hAnsi="Times New Roman"/>
          <w:sz w:val="18"/>
          <w:szCs w:val="18"/>
          <w:color w:val="212529"/>
        </w:rPr>
        <w:t>Actual results could differ materially from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estimates.</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 Update ("ASU") 2023-09, Income Taxes (Topic 740) – Improvements to Income Tax Disclosures ("ASU 2023-09") to enhance income tax information primarily through changes in the rate reconciliation and income taxes paid information. ASU 2023-09 is effective for annual periods beginning after December 15, 2024 on a prospective basis. Early adoption and retrospective application are permitted. The Company will adopt the guidance for the fiscal year ending December 31, 2025 on a prospective basis. The Company expects the impact of adoption of this guidance to be limited to footnote disclosure and to result in additional disaggregation of information disclosed in the rate reconciliation and with respect to income taxes paid.</w:t>
      </w:r>
    </w:p>
    <w:p>
      <w:pPr>
        <w:spacing w:after="0" w:line="6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 Disaggregation of Income Statement Expenses ("ASU 2024-03"). ASU 2024-03 requires additional disclosures of the nature of expenses included in the income statement and presented in the footnotes. ASU 2024-03 is effective for annual periods beginning after December 15, 2026 and for interim periods beginning after December 15, 2027 on a prospective basis. Early adoption and retrospective application are permitted. The Company is currently evaluating the impact of adopting this new accounting guidance on its disclosures.</w:t>
      </w:r>
    </w:p>
    <w:p>
      <w:pPr>
        <w:spacing w:after="0" w:line="6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believe there are any other recently issued and effective or not yet effective pronouncements that would have or are expected to have a material impact on the Company’s present or future condensed consolidated financial statements.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2—Net Income (Loss) Per Share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basic and diluted net income (loss) per share: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680" w:type="dxa"/>
            <w:vAlign w:val="bottom"/>
            <w:gridSpan w:val="4"/>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93"/>
        </w:trPr>
        <w:tc>
          <w:tcPr>
            <w:tcW w:w="54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(Loss) Per Share:</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(18,835)</w:t>
            </w: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Weighted-average common shares outstanding used to compute basic net</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per share</w:t>
            </w: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141,654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140,551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139,924</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(Loss) Per Share:</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used to calculate diluted income (loss) per share</w:t>
            </w: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Weighted-average common shares used to compute basic net income</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139,924</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weighted-average restricted stock units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weighted-average common stock options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weighted-average performance stock units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5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Dilutive effect of weighted-average Employee Stock Purchase Plan</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 shares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540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Weighted-average shares used to compute diluted net income (loss) per</w:t>
            </w:r>
          </w:p>
        </w:tc>
        <w:tc>
          <w:tcPr>
            <w:tcW w:w="1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148,260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140,551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149,184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139,924</w:t>
            </w:r>
          </w:p>
        </w:tc>
        <w:tc>
          <w:tcPr>
            <w:tcW w:w="0" w:type="dxa"/>
            <w:vAlign w:val="bottom"/>
          </w:tcPr>
          <w:p>
            <w:pPr>
              <w:spacing w:after="0"/>
              <w:rPr>
                <w:sz w:val="1"/>
                <w:szCs w:val="1"/>
                <w:color w:val="auto"/>
              </w:rPr>
            </w:pPr>
          </w:p>
        </w:tc>
      </w:tr>
      <w:tr>
        <w:trPr>
          <w:trHeight w:val="22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net income (loss) per share</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weighted-average shares have been excluded from the calculation of diluted net income (loss) per share attributable to common stockholders for each period presented because they were anti-dilutive:</w:t>
      </w:r>
    </w:p>
    <w:p>
      <w:pPr>
        <w:spacing w:after="0" w:line="70" w:lineRule="exact"/>
        <w:rPr>
          <w:sz w:val="20"/>
          <w:szCs w:val="20"/>
          <w:color w:val="auto"/>
        </w:rPr>
      </w:pPr>
    </w:p>
    <w:p>
      <w:pPr>
        <w:ind w:left="6040"/>
        <w:spacing w:after="0"/>
        <w:tabs>
          <w:tab w:leader="none" w:pos="9080" w:val="left"/>
        </w:tabs>
        <w:rPr>
          <w:sz w:val="20"/>
          <w:szCs w:val="20"/>
          <w:color w:val="auto"/>
        </w:rPr>
      </w:pPr>
      <w:r>
        <w:rPr>
          <w:rFonts w:ascii="Times New Roman" w:cs="Times New Roman" w:eastAsia="Times New Roman" w:hAnsi="Times New Roman"/>
          <w:sz w:val="16"/>
          <w:szCs w:val="16"/>
          <w:b w:val="1"/>
          <w:bCs w:val="1"/>
          <w:color w:val="auto"/>
        </w:rPr>
        <w:t>Three Months Ended</w:t>
      </w:r>
      <w:r>
        <w:rPr>
          <w:sz w:val="20"/>
          <w:szCs w:val="20"/>
          <w:color w:val="auto"/>
        </w:rPr>
        <w:tab/>
      </w:r>
      <w:r>
        <w:rPr>
          <w:rFonts w:ascii="Times New Roman" w:cs="Times New Roman" w:eastAsia="Times New Roman" w:hAnsi="Times New Roman"/>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21590</wp:posOffset>
            </wp:positionV>
            <wp:extent cx="3703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7" w:lineRule="exact"/>
        <w:rPr>
          <w:sz w:val="20"/>
          <w:szCs w:val="20"/>
          <w:color w:val="auto"/>
        </w:rPr>
      </w:pPr>
    </w:p>
    <w:p>
      <w:pPr>
        <w:ind w:left="5620"/>
        <w:spacing w:after="0"/>
        <w:tabs>
          <w:tab w:leader="none" w:pos="7080" w:val="left"/>
        </w:tabs>
        <w:rPr>
          <w:sz w:val="20"/>
          <w:szCs w:val="20"/>
          <w:color w:val="auto"/>
        </w:rPr>
      </w:pPr>
      <w:r>
        <w:rPr>
          <w:rFonts w:ascii="Times New Roman" w:cs="Times New Roman" w:eastAsia="Times New Roman" w:hAnsi="Times New Roman"/>
          <w:sz w:val="14"/>
          <w:szCs w:val="14"/>
          <w:b w:val="1"/>
          <w:bCs w:val="1"/>
          <w:color w:val="auto"/>
        </w:rPr>
        <w:t>June 30, 2025</w:t>
      </w:r>
      <w:r>
        <w:rPr>
          <w:sz w:val="20"/>
          <w:szCs w:val="20"/>
          <w:color w:val="auto"/>
        </w:rPr>
        <w:tab/>
      </w:r>
      <w:r>
        <w:rPr>
          <w:rFonts w:ascii="Times New Roman" w:cs="Times New Roman" w:eastAsia="Times New Roman" w:hAnsi="Times New Roman"/>
          <w:sz w:val="14"/>
          <w:szCs w:val="14"/>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33655</wp:posOffset>
            </wp:positionV>
            <wp:extent cx="18173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5"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4"/>
          <w:szCs w:val="14"/>
          <w:b w:val="1"/>
          <w:bCs w:val="1"/>
          <w:color w:val="auto"/>
        </w:rPr>
        <w:t>June 30, 2025</w:t>
      </w:r>
      <w:r>
        <w:rPr>
          <w:sz w:val="20"/>
          <w:szCs w:val="20"/>
          <w:color w:val="auto"/>
        </w:rPr>
        <w:tab/>
      </w:r>
      <w:r>
        <w:rPr>
          <w:rFonts w:ascii="Times New Roman" w:cs="Times New Roman" w:eastAsia="Times New Roman" w:hAnsi="Times New Roman"/>
          <w:sz w:val="14"/>
          <w:szCs w:val="14"/>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33655</wp:posOffset>
            </wp:positionV>
            <wp:extent cx="18173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3" w:lineRule="exact"/>
        <w:rPr>
          <w:sz w:val="20"/>
          <w:szCs w:val="20"/>
          <w:color w:val="auto"/>
        </w:rPr>
      </w:pPr>
    </w:p>
    <w:p>
      <w:pPr>
        <w:sectPr>
          <w:pgSz w:w="11900" w:h="16838" w:orient="portrait"/>
          <w:cols w:equalWidth="0" w:num="2">
            <w:col w:w="7940" w:space="640"/>
            <w:col w:w="2660"/>
          </w:cols>
          <w:pgMar w:left="320" w:top="121" w:right="339" w:bottom="1440" w:gutter="0" w:footer="0" w:header="0"/>
          <w:type w:val="continuous"/>
        </w:sectPr>
      </w:pPr>
    </w:p>
    <w:tbl>
      <w:tblPr>
        <w:tblLayout w:type="fixed"/>
        <w:tblInd w:w="80" w:type="dxa"/>
        <w:tblCellMar>
          <w:top w:w="0" w:type="dxa"/>
          <w:left w:w="0" w:type="dxa"/>
          <w:bottom w:w="0" w:type="dxa"/>
          <w:right w:w="0" w:type="dxa"/>
        </w:tblCellMar>
      </w:tblPr>
      <w:tr>
        <w:trPr>
          <w:trHeight w:val="22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8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r>
      <w:tr>
        <w:trPr>
          <w:trHeight w:val="22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performance stock units</w:t>
            </w:r>
          </w:p>
        </w:tc>
        <w:tc>
          <w:tcPr>
            <w:tcW w:w="18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ESPP shares</w:t>
            </w:r>
          </w:p>
        </w:tc>
        <w:tc>
          <w:tcPr>
            <w:tcW w:w="1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18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3,210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excluded from diluted net income (loss) per share</w:t>
            </w:r>
          </w:p>
        </w:tc>
        <w:tc>
          <w:tcPr>
            <w:tcW w:w="1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3,210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7,942</w:t>
            </w:r>
          </w:p>
        </w:tc>
      </w:tr>
      <w:tr>
        <w:trPr>
          <w:trHeight w:val="21"/>
        </w:trPr>
        <w:tc>
          <w:tcPr>
            <w:tcW w:w="52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of June 30, 2025, the performance stock units granted during 2021, 2023, 2024, and 2025 had expected achievement levels of 0%, 150%, 150%, and 150%, respectively. The performance stock units granted during 2022 vested on February 1, 2025 with an achievement of approximately 125%. As of June 30, 2024, the performance stock units granted in 2021, 2022, 2023, and 2024 had expected achievement levels of 0%, 100%, 124%, and 150%, respectively. These expected and actual achievement levels are included in the calculation of weighted-average shares in the tables above. Refer to Note 11 for additional information related to performance stock units.</w:t>
      </w:r>
    </w:p>
    <w:p>
      <w:pPr>
        <w:spacing w:after="0" w:line="4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As of both June 30, 2025 and 2024, the number of shares that would be issuable assuming conversion of all of the Convertible Senior Notes (as defined in Note 9) was approximately 3,210,098 and were excluded from the calculation of diluted net income (loss) per share because they were anti-dilutive. The Convertible Senior Notes have an initial conversion rate of 15.6539 shares of common stock per $1,000 principal amount of the Convertible Senior Notes, which will be subject to anti-dilution adjustments in certain circumstances.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majority of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w:t>
      </w:r>
    </w:p>
    <w:p>
      <w:pPr>
        <w:spacing w:after="0" w:line="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recognized on a net basis and on a gross basis for the three and six months ended June 30, 2025 and 2024:</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20" w:type="dxa"/>
            <w:vAlign w:val="bottom"/>
          </w:tcPr>
          <w:p>
            <w:pPr>
              <w:spacing w:after="0"/>
              <w:rPr>
                <w:sz w:val="16"/>
                <w:szCs w:val="16"/>
                <w:color w:val="auto"/>
              </w:rPr>
            </w:pPr>
          </w:p>
        </w:tc>
      </w:tr>
      <w:tr>
        <w:trPr>
          <w:trHeight w:val="23"/>
        </w:trPr>
        <w:tc>
          <w:tcPr>
            <w:tcW w:w="3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20" w:type="dxa"/>
            <w:vAlign w:val="bottom"/>
            <w:tcBorders>
              <w:bottom w:val="single" w:sz="8" w:color="auto"/>
            </w:tcBorders>
          </w:tcPr>
          <w:p>
            <w:pPr>
              <w:spacing w:after="0"/>
              <w:rPr>
                <w:sz w:val="16"/>
                <w:szCs w:val="16"/>
                <w:color w:val="auto"/>
              </w:rPr>
            </w:pPr>
          </w:p>
        </w:tc>
      </w:tr>
      <w:tr>
        <w:trPr>
          <w:trHeight w:val="196"/>
        </w:trPr>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8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30"/>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29"/>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basis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173,332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162,880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329,103</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312,199</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925"/>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revenue by channel for the three and six months ended June 30, 2025 and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20" w:type="dxa"/>
            <w:vAlign w:val="bottom"/>
          </w:tcPr>
          <w:p>
            <w:pPr>
              <w:spacing w:after="0"/>
              <w:rPr>
                <w:sz w:val="16"/>
                <w:szCs w:val="16"/>
                <w:color w:val="auto"/>
              </w:rPr>
            </w:pPr>
          </w:p>
        </w:tc>
      </w:tr>
      <w:tr>
        <w:trPr>
          <w:trHeight w:val="23"/>
        </w:trPr>
        <w:tc>
          <w:tcPr>
            <w:tcW w:w="3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20" w:type="dxa"/>
            <w:vAlign w:val="bottom"/>
            <w:tcBorders>
              <w:bottom w:val="single" w:sz="8" w:color="auto"/>
            </w:tcBorders>
          </w:tcPr>
          <w:p>
            <w:pPr>
              <w:spacing w:after="0"/>
              <w:rPr>
                <w:sz w:val="16"/>
                <w:szCs w:val="16"/>
                <w:color w:val="auto"/>
              </w:rPr>
            </w:pPr>
          </w:p>
        </w:tc>
      </w:tr>
      <w:tr>
        <w:trPr>
          <w:trHeight w:val="196"/>
        </w:trPr>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8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30"/>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CTV</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29"/>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Mobile</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3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Desktop</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disaggregated by geographic location, based on the location of the Company's sellers for the three and six months ended June 30, 2025 and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20" w:type="dxa"/>
            <w:vAlign w:val="bottom"/>
          </w:tcPr>
          <w:p>
            <w:pPr>
              <w:spacing w:after="0"/>
              <w:rPr>
                <w:sz w:val="16"/>
                <w:szCs w:val="16"/>
                <w:color w:val="auto"/>
              </w:rPr>
            </w:pPr>
          </w:p>
        </w:tc>
      </w:tr>
      <w:tr>
        <w:trPr>
          <w:trHeight w:val="23"/>
        </w:trPr>
        <w:tc>
          <w:tcPr>
            <w:tcW w:w="3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20" w:type="dxa"/>
            <w:vAlign w:val="bottom"/>
            <w:tcBorders>
              <w:bottom w:val="single" w:sz="8" w:color="auto"/>
            </w:tcBorders>
          </w:tcPr>
          <w:p>
            <w:pPr>
              <w:spacing w:after="0"/>
              <w:rPr>
                <w:sz w:val="16"/>
                <w:szCs w:val="16"/>
                <w:color w:val="auto"/>
              </w:rPr>
            </w:pPr>
          </w:p>
        </w:tc>
      </w:tr>
      <w:tr>
        <w:trPr>
          <w:trHeight w:val="196"/>
        </w:trPr>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8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123,363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249,195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29"/>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79,908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r>
      <w:tr>
        <w:trPr>
          <w:trHeight w:val="24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(refer to Note 7). Accordingly, both accounts receivable and accounts payable appear large in relation to revenue reported on a net basis.</w:t>
      </w:r>
    </w:p>
    <w:p>
      <w:pPr>
        <w:spacing w:after="0" w:line="5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are recorded at the invoiced amount, are unsecured, and do not bear interest. The allowance for doubtful accounts is reviewed quarterly, requires judgment, and is based on the best estimate of the amount of expected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are presented net of an allowance for doubtful accounts of $3.1 million at June 30, 2025, and</w:t>
      </w:r>
    </w:p>
    <w:p>
      <w:pPr>
        <w:spacing w:after="0" w:line="3"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18"/>
          <w:szCs w:val="18"/>
          <w:color w:val="auto"/>
        </w:rPr>
        <w:t>$2.9 million at December 31, 2024. Accounts receivable are written off against the allowance for doubtful accounts when the Company determines amounts are no longer collectible.</w:t>
      </w:r>
    </w:p>
    <w:p>
      <w:pPr>
        <w:spacing w:after="0" w:line="6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$2.2 million and $1.9 million as of June 30, 2025 and December 31, 2024, respectively.</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is a summary of activity in the allowance for doubtful accounts for the three and six months ended June 30, 2025 and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0"/>
        </w:trPr>
        <w:tc>
          <w:tcPr>
            <w:tcW w:w="61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96"/>
        </w:trPr>
        <w:tc>
          <w:tcPr>
            <w:tcW w:w="6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238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20,363</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(18,934)</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provision for expected credit losses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w:t>
            </w:r>
          </w:p>
        </w:tc>
      </w:tr>
      <w:tr>
        <w:trPr>
          <w:trHeight w:val="20"/>
        </w:trPr>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Company wrote off $18.9 million of allowance for doubtful accounts, of which $18.5 million was attributable to the outstanding accounts receivable from a buyer that filed for bankruptcy during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change in provision for expected credit losses associated with accounts receivable and the offsetting impact of the change to contra seller payables related to recoveries of uncollected buyer receivables result in the amount of bad debt expense or recoveries the Company recognizes each period. During the three and six months ended June 30, 2025 and June 30, 2024, the activity related to the provision of expected credit losses associated with accounts receivable and the activity of contra seller payables related to recoveries of uncollected buyer receivables were immaterial, which resulted in immaterial amounts of bad debt expense or recovery recognized in the respective periods.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4—Fair Value Measurements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3" w:lineRule="exact"/>
        <w:rPr>
          <w:sz w:val="20"/>
          <w:szCs w:val="20"/>
          <w:color w:val="auto"/>
        </w:rPr>
      </w:pPr>
    </w:p>
    <w:p>
      <w:pPr>
        <w:ind w:left="1140" w:right="320" w:hanging="484"/>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(unadjusted) in active markets for identical assets or liabilities that the Company has the ability to access at the measurement date.</w:t>
      </w:r>
    </w:p>
    <w:p>
      <w:pPr>
        <w:spacing w:after="0" w:line="40"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w:t>
      </w:r>
    </w:p>
    <w:p>
      <w:pPr>
        <w:spacing w:after="0" w:line="90"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a summary of financial instruments that are measured at fair value on a recurring basis at June 30, 2025:</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340" w:type="dxa"/>
            <w:vAlign w:val="bottom"/>
          </w:tcPr>
          <w:p>
            <w:pPr>
              <w:spacing w:after="0"/>
              <w:rPr>
                <w:sz w:val="13"/>
                <w:szCs w:val="13"/>
                <w:color w:val="auto"/>
              </w:rPr>
            </w:pPr>
          </w:p>
        </w:tc>
        <w:tc>
          <w:tcPr>
            <w:tcW w:w="2020" w:type="dxa"/>
            <w:vAlign w:val="bottom"/>
            <w:vMerge w:val="restart"/>
          </w:tcPr>
          <w:p>
            <w:pPr>
              <w:jc w:val="center"/>
              <w:ind w:right="52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720" w:type="dxa"/>
            <w:vAlign w:val="bottom"/>
            <w:vMerge w:val="restart"/>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jc w:val="center"/>
              <w:ind w:right="225"/>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34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2"/>
                <w:szCs w:val="12"/>
                <w:color w:val="auto"/>
              </w:rPr>
            </w:pPr>
          </w:p>
        </w:tc>
        <w:tc>
          <w:tcPr>
            <w:tcW w:w="1720" w:type="dxa"/>
            <w:vAlign w:val="bottom"/>
          </w:tcPr>
          <w:p>
            <w:pPr>
              <w:jc w:val="center"/>
              <w:ind w:right="205"/>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340" w:type="dxa"/>
            <w:vAlign w:val="bottom"/>
          </w:tcPr>
          <w:p>
            <w:pPr>
              <w:spacing w:after="0"/>
              <w:rPr>
                <w:sz w:val="12"/>
                <w:szCs w:val="12"/>
                <w:color w:val="auto"/>
              </w:rPr>
            </w:pPr>
          </w:p>
        </w:tc>
        <w:tc>
          <w:tcPr>
            <w:tcW w:w="2020" w:type="dxa"/>
            <w:vAlign w:val="bottom"/>
          </w:tcPr>
          <w:p>
            <w:pPr>
              <w:jc w:val="center"/>
              <w:ind w:right="524"/>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72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2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80" w:type="dxa"/>
            <w:vAlign w:val="bottom"/>
            <w:gridSpan w:val="3"/>
          </w:tcPr>
          <w:p>
            <w:pPr>
              <w:ind w:left="1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337,661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337,661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a summary of financial instruments that are measured at fair value on a recurring basis at December 31, 2024:</w:t>
      </w: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340" w:type="dxa"/>
            <w:vAlign w:val="bottom"/>
          </w:tcPr>
          <w:p>
            <w:pPr>
              <w:spacing w:after="0"/>
              <w:rPr>
                <w:sz w:val="13"/>
                <w:szCs w:val="13"/>
                <w:color w:val="auto"/>
              </w:rPr>
            </w:pPr>
          </w:p>
        </w:tc>
        <w:tc>
          <w:tcPr>
            <w:tcW w:w="2020" w:type="dxa"/>
            <w:vAlign w:val="bottom"/>
            <w:vMerge w:val="restart"/>
          </w:tcPr>
          <w:p>
            <w:pPr>
              <w:jc w:val="center"/>
              <w:ind w:right="52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720" w:type="dxa"/>
            <w:vAlign w:val="bottom"/>
            <w:vMerge w:val="restart"/>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jc w:val="center"/>
              <w:ind w:right="225"/>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34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2"/>
                <w:szCs w:val="12"/>
                <w:color w:val="auto"/>
              </w:rPr>
            </w:pPr>
          </w:p>
        </w:tc>
        <w:tc>
          <w:tcPr>
            <w:tcW w:w="1720" w:type="dxa"/>
            <w:vAlign w:val="bottom"/>
          </w:tcPr>
          <w:p>
            <w:pPr>
              <w:jc w:val="center"/>
              <w:ind w:right="205"/>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340" w:type="dxa"/>
            <w:vAlign w:val="bottom"/>
          </w:tcPr>
          <w:p>
            <w:pPr>
              <w:spacing w:after="0"/>
              <w:rPr>
                <w:sz w:val="12"/>
                <w:szCs w:val="12"/>
                <w:color w:val="auto"/>
              </w:rPr>
            </w:pPr>
          </w:p>
        </w:tc>
        <w:tc>
          <w:tcPr>
            <w:tcW w:w="2020" w:type="dxa"/>
            <w:vAlign w:val="bottom"/>
          </w:tcPr>
          <w:p>
            <w:pPr>
              <w:jc w:val="center"/>
              <w:ind w:right="524"/>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72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2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80" w:type="dxa"/>
            <w:vAlign w:val="bottom"/>
            <w:gridSpan w:val="3"/>
          </w:tcPr>
          <w:p>
            <w:pPr>
              <w:ind w:left="1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436,731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436,731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At June 30, 2025 and December 31, 2024, cash equivalents of $337.7 million and $436.7 million, respectively, consisted of money market funds with original maturities of three months or less. The carrying amounts of cash equivalents are classified as Level 1 or Level 2 depending on whether or not their fair values are based on quoted market prices for identical securities that are traded in an active market.</w:t>
      </w:r>
    </w:p>
    <w:p>
      <w:pPr>
        <w:spacing w:after="0" w:line="54"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At June 30, 2025 and December 31, 2024, the Company had debt outstanding under its Convertible Senior Notes and loans under its 2024 Term Loan B Facility (as defined in Note 9) included in its balance sheets. The estimated fair value of the Company's Convertible Senior Notes was $197.1 million and $190.2 million as of June 30, 2025 and December 31, 2024, respectively. The estimated fair value of Convertible Senior Notes is based on market rates and the closing trading price of the Convertible Senior Notes as of June 30, 2025 and December 31, 2024 and is classified as Level 2 in the fair value hierarchy. At June 30, 2025 and December 31, 2024, the estimated fair value of the Company's 2024 Term Loan B Facility was $364.1 million and $368.2 million, respectively. The estimated fair value is based on borrowing rates currently available to the Company for financing with similar terms and is classified as Level 2 in the fair value hierarchy.</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5—Property and Equipment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Major classes of property and equipment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gridSpan w:val="4"/>
          </w:tcPr>
          <w:p>
            <w:pPr>
              <w:jc w:val="right"/>
              <w:ind w:right="111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network hardware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184,155</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23"/>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191,340</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(122,610)</w:t>
            </w:r>
          </w:p>
        </w:tc>
      </w:tr>
      <w:tr>
        <w:trPr>
          <w:trHeight w:val="248"/>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totaled $5.8 million and $3.6 million for the three months ended June 30, 2025 and 2024, respectively, and $10.9 million and $6.8 million for the six months ended June 30, 2025 and 2024, respectively.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property and equipment, net by geographical region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gridSpan w:val="4"/>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51,708</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17,022</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6—Intangible Assets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intangible assets as of June 30, 2025 and December 31, 2024 included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gridSpan w:val="4"/>
          </w:tcPr>
          <w:p>
            <w:pPr>
              <w:jc w:val="right"/>
              <w:ind w:right="11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3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Developed technology</w:t>
            </w:r>
          </w:p>
        </w:tc>
        <w:tc>
          <w:tcPr>
            <w:tcW w:w="3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109,736</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3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37,300</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 assets</w:t>
            </w:r>
          </w:p>
        </w:tc>
        <w:tc>
          <w:tcPr>
            <w:tcW w:w="3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intangible assets, gross</w:t>
            </w:r>
          </w:p>
        </w:tc>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157,198</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amortization—intangible assets:</w:t>
            </w:r>
          </w:p>
        </w:tc>
        <w:tc>
          <w:tcPr>
            <w:tcW w:w="3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Developed technology</w:t>
            </w:r>
          </w:p>
        </w:tc>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(93,941)</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3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(34,192)</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 assets</w:t>
            </w:r>
          </w:p>
        </w:tc>
        <w:tc>
          <w:tcPr>
            <w:tcW w:w="3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accumulated amortization—intangible assets</w:t>
            </w:r>
          </w:p>
        </w:tc>
        <w:tc>
          <w:tcPr>
            <w:tcW w:w="3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(135,889)</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213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46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Amortization of intangible assets for the three months ended June 30, 2025 and 2024 was $2.9 million and $7.6 million, respectively,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 million and $15.2 million for the six months ended June 30, 2025 and 2024, respectively. For the three months ended June 30, 2025,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wrote off fully amortized intangible assets with a historical cost of $37.3 million.</w:t>
      </w:r>
    </w:p>
    <w:p>
      <w:pPr>
        <w:spacing w:after="0" w:line="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estimated remaining amortization expense associated with the Company's intangible assets was as follows as of June 30,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7—Accounts Payable and Accrued Expenses</w:t>
            </w: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 included the following:</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24"/>
                <w:szCs w:val="24"/>
                <w:color w:val="auto"/>
              </w:rPr>
            </w:pPr>
          </w:p>
        </w:tc>
        <w:tc>
          <w:tcPr>
            <w:tcW w:w="14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gridSpan w:val="4"/>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payable—seller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1,417,780</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payable—trade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30,899</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employee-related payables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0" w:type="dxa"/>
            <w:vAlign w:val="bottom"/>
          </w:tcPr>
          <w:p>
            <w:pPr>
              <w:spacing w:after="0"/>
              <w:rPr>
                <w:sz w:val="1"/>
                <w:szCs w:val="1"/>
                <w:color w:val="auto"/>
              </w:rPr>
            </w:pPr>
          </w:p>
        </w:tc>
      </w:tr>
      <w:tr>
        <w:trPr>
          <w:trHeight w:val="223"/>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1,530,389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1,466,377</w:t>
            </w: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8—Lease Obligations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has operating leases for office facilities and data centers. The lease terms of the Company’s operating leases generally range from 1.0 year to 10.0 years. The Company's lease terms include periods under options to extend or terminate the lease when it is reasonably certain that the Company will exercise that option. The weighted average remaining lease term of leases included in lease liabilities is 4.3 years and 4.6 years as of June 30, 2025 and December 31, 2024, respectively. As of June 30, 2025 and December 31, 2024, a weighted average discount rate of 6.12% has been applied to the remaining lease payments to calculate the lease liabilities included within the condensed consolidated balance sheet.</w:t>
      </w:r>
    </w:p>
    <w:p>
      <w:pPr>
        <w:spacing w:after="0" w:line="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Operating lease expense was $5.6 million and $5.9 million for the three months ended June 30, 2025 and 2024, respectively, and $10.7 million and $11.6 million for the six months ended June 30, 2025 and 2024, respectively. The Company recognized variable lease expense of $0.9 million and $0.6 million for the three months ended June 30, 2025 and 2024, respectively, and $1.8 million and $1.5 million for the six months ended June 30, 2025 and 2024, respectively.</w:t>
      </w:r>
    </w:p>
    <w:p>
      <w:pPr>
        <w:spacing w:after="0" w:line="58"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lease liabilities was $5.4 million and $6.5 million for the three months ended June 30, 2025 and 2024, respectively, and $10.3 million and $12.8 million for the six months ended June 30, 2025 and 2024, respectively.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maturity of the Company's lease liabilities associated with leases included in the lease liabilities and right-of-use ("ROU") assets were as follows as of June 30, 2025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19,465</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13,064</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9,449</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8,017</w:t>
            </w:r>
          </w:p>
        </w:tc>
      </w:tr>
      <w:tr>
        <w:trPr>
          <w:trHeight w:val="223"/>
        </w:trPr>
        <w:tc>
          <w:tcPr>
            <w:tcW w:w="9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 (undiscounted)</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71,174</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(8,385)</w:t>
            </w:r>
          </w:p>
        </w:tc>
      </w:tr>
      <w:tr>
        <w:trPr>
          <w:trHeight w:val="248"/>
        </w:trPr>
        <w:tc>
          <w:tcPr>
            <w:tcW w:w="9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liabilities—total (discounted)</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62,789</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also received rental income of an immaterial amount and $1.3 million for real estate leases for which it subleased the property to a third party during the three months ended June 30, 2025 and 2024, respectively and $0.6 million and $2.6 million for the six months ended June 30, 2025 and 2024, respectively. Rental income is included in other income in the condensed consolidated statements of operations.</w:t>
      </w:r>
    </w:p>
    <w:p>
      <w:pPr>
        <w:spacing w:after="0" w:line="54"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lease liabilities included in these consolidated financial statements, the Company entered into agreements for data centers that had not commenced as of June 30, 2025; therefore, the leases were not included in the lease liabilities and ROU assets balance as of June 30, 2025. The Company has future commitments totaling $11.8 million over a term of 4.5 years related to these agreements.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operating lease right-of-use assets by geographical region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5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4"/>
          </w:tcPr>
          <w:p>
            <w:pPr>
              <w:spacing w:after="0"/>
              <w:rPr>
                <w:sz w:val="2"/>
                <w:szCs w:val="2"/>
                <w:color w:val="auto"/>
              </w:rPr>
            </w:pPr>
          </w:p>
        </w:tc>
      </w:tr>
      <w:tr>
        <w:trPr>
          <w:trHeight w:val="190"/>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40" w:type="dxa"/>
            <w:vAlign w:val="bottom"/>
            <w:gridSpan w:val="4"/>
          </w:tcPr>
          <w:p>
            <w:pPr>
              <w:jc w:val="right"/>
              <w:ind w:right="123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45,178</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9—Debt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 and long term debt as of June 30, 2025 and December 31, 2024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85725</wp:posOffset>
            </wp:positionV>
            <wp:extent cx="20916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60" w:type="dxa"/>
            <w:vAlign w:val="bottom"/>
            <w:tcBorders>
              <w:top w:val="single" w:sz="8" w:color="auto"/>
            </w:tcBorders>
            <w:gridSpan w:val="4"/>
          </w:tcPr>
          <w:p>
            <w:pPr>
              <w:jc w:val="right"/>
              <w:ind w:right="11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30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carrying value of Convertible Senior Notes</w:t>
            </w:r>
          </w:p>
        </w:tc>
        <w:tc>
          <w:tcPr>
            <w:tcW w:w="3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Term Loan B Facility</w:t>
            </w:r>
          </w:p>
        </w:tc>
        <w:tc>
          <w:tcPr>
            <w:tcW w:w="3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30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carrying value of 2024 Term Loan B Facility</w:t>
            </w:r>
          </w:p>
        </w:tc>
        <w:tc>
          <w:tcPr>
            <w:tcW w:w="3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Presentation:</w:t>
            </w:r>
          </w:p>
        </w:tc>
        <w:tc>
          <w:tcPr>
            <w:tcW w:w="3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current, net of debt issuance costs</w:t>
            </w: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non-current, net of debt discount and issuance costs</w:t>
            </w:r>
          </w:p>
        </w:tc>
        <w:tc>
          <w:tcPr>
            <w:tcW w:w="30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30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556,418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4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the principal amount of the Company's debt as of June 30, 2025 were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2"/>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208,699</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345,925</w:t>
            </w:r>
          </w:p>
        </w:tc>
      </w:tr>
      <w:tr>
        <w:trPr>
          <w:trHeight w:val="248"/>
        </w:trPr>
        <w:tc>
          <w:tcPr>
            <w:tcW w:w="9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567,336</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Amortization of debt discount and debt issuance costs is computed using the effective interest method and is included in interest expense in the condensed consolidated statement of operations. Amortization of the debt discount and debt issuance costs associated with the Company's indebtedness totaled $0.8 million and $1.6 million for the three and six months ended June 30, 2025, respectively, and $0.9 million and $1.9 million for the three and six months ended June 30, 2024, respectively. In addition, amortization of deferred financing costs was an immaterial amount for each of the three and six months ended June 30, 2025 and 2024. Deferred financing costs are included in other assets, non-current in the condensed consolidated balance sheets.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and Capped Call Transactions</w:t>
      </w:r>
    </w:p>
    <w:p>
      <w:pPr>
        <w:spacing w:after="0" w:line="94"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The Convertible Senior Notes will mature on March 15, 2026, unless earlier repurchased, redeemed or converted. The total net proceeds from the offering, after deducting debt issuance costs, paid by the Company, were approximately $388.6 million. The Company used approximately $39.0 million of the net proceeds from the offering to pay for the Capped Call Transactions (as described below).</w:t>
      </w:r>
    </w:p>
    <w:p>
      <w:pPr>
        <w:spacing w:after="0" w:line="62" w:lineRule="exact"/>
        <w:rPr>
          <w:sz w:val="20"/>
          <w:szCs w:val="20"/>
          <w:color w:val="auto"/>
        </w:rPr>
      </w:pPr>
    </w:p>
    <w:p>
      <w:pPr>
        <w:ind w:right="60" w:firstLine="648"/>
        <w:spacing w:after="0" w:line="276" w:lineRule="auto"/>
        <w:rPr>
          <w:sz w:val="20"/>
          <w:szCs w:val="20"/>
          <w:color w:val="auto"/>
        </w:rPr>
      </w:pPr>
      <w:r>
        <w:rPr>
          <w:rFonts w:ascii="Times New Roman" w:cs="Times New Roman" w:eastAsia="Times New Roman" w:hAnsi="Times New Roman"/>
          <w:sz w:val="17"/>
          <w:szCs w:val="17"/>
          <w:color w:val="auto"/>
        </w:rPr>
        <w:t>The Convertible Senior Notes are senior, unsecured obligations and are (i) equal in right of payment with the existing and future senior, unsecured indebtedness; (ii) senior in right of payment to any of the Company’s future indebtedness that is expressly subordinated to the Convertible Senior Notes;</w:t>
      </w:r>
    </w:p>
    <w:p>
      <w:pPr>
        <w:spacing w:after="0" w:line="1" w:lineRule="exact"/>
        <w:rPr>
          <w:sz w:val="20"/>
          <w:szCs w:val="20"/>
          <w:color w:val="auto"/>
        </w:rPr>
      </w:pPr>
    </w:p>
    <w:p>
      <w:pPr>
        <w:jc w:val="both"/>
        <w:ind w:right="200" w:firstLine="8"/>
        <w:spacing w:after="0" w:line="253"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to the Company’s existing and future secured indebtedness, to the extent of the value of the collateral securing that indebtedness, including amounts outstanding under the Loan Agreement or the new Credit Agreement (see section below); and (iv) structurally subordinated to all existing and future indebtedness and other liabilities, including trade payables, and (to the extent the Company is not a holder thereof) preferred equity, if any, of the Company’s subsidiaries that do not guarantee the Convertible Senior Notes.</w:t>
      </w:r>
    </w:p>
    <w:p>
      <w:pPr>
        <w:spacing w:after="0" w:line="6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Convertible Senior Notes accrue interest at 0.25% per annum payable semi-annually in arrears on March 15 and September 15 of each year, beginning on September 15, 2021. The Convertible Senior Notes will mature on March 15, 2026 unless they are redeemed, repurchased or converted prior to such date. The Convertible Senior Notes are convertible at the option of holders only during certain periods and upon satisfaction of certain conditions.</w:t>
      </w:r>
    </w:p>
    <w:p>
      <w:pPr>
        <w:spacing w:after="0" w:line="4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Holders have the right to convert their notes (or any portion of a note in an authorized denomination), in the following circumstances: (i) during any calendar quarter commencing after the calendar quarter ending on June 30, 2021,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(iii) upon the occurrence of certain corporate events or distributions on the Company’s common stock; (iv) if the Company calls such Convertible Senior Notes for redemption; and (v) on or after September 15, 2025, until the close of business on the second scheduled trading day immediately before the maturity date, holders of the Convertible Senior Notes may, at their option, convert all or a portion of their Convertible Senior Notes regardless of the foregoing conditions at any time from, and including, September 15, 2025 until the close of business on the second scheduled trading day immediately before the maturity date.</w:t>
      </w:r>
    </w:p>
    <w:p>
      <w:pPr>
        <w:spacing w:after="0" w:line="7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Upon conversion, the Convertible Senior Notes may be settled in shares of the Company’s common stock, cash or a combination of cash and shares of the Company’s common stock, at the Company’s election. All conversions with a conversion date that occurs on or after September 15, 2025 will be settled using the same settlement method, and the Company will send notice of such settlement method to noteholders no later than the open of business on September 15, 2025.</w:t>
      </w:r>
    </w:p>
    <w:p>
      <w:pPr>
        <w:spacing w:after="0" w:line="5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agreement, the Company has the right, at its election, to redeem all, or any portion (subject to the partial redemption limitation) in an authorized denomination, of the Convertible Senior Notes, at any time, and from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time to time, on a redemption date on or after March 20, 2024 and on or before the 40th scheduled trading day immediately before the maturity date, for cash, but only if the "last reported sale price," as defined under the Offering Memorandum, per share of common stock exceeds 130% of the "conversion price" on (i) each of at least 20 trading days, during the 30 consecutive trading days ending on, and including, the trading day immediately before the date the Company sends the related redemption notice; and (ii) the trading day immediately before the date the Company sends such notice. In addition, calling any note for redemption will constitute a "make-whole fundamental change" (as defined below) with respect to that note, in which case the conversion rate applicable to the conversion of that note will be increased in certain circumstances if it is converted after it is called for redemption. If the Company elects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 described above on account of the redemption, except to the limited extent described further below. No sinking fund is provided for the Convertible Senior Notes, which means that the Company is not required to redeem or retire the Convertible Senior Notes periodically.</w:t>
      </w:r>
    </w:p>
    <w:p>
      <w:pPr>
        <w:spacing w:after="0" w:line="5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If a fundamental change occurs, then each noteholder will have the right to require the Company to repurchase its notes (or any portion thereof in an authorized denomination) for cash on a date (the "fundamental change repurchase date") of the Company’s choosing, which must be a business day that is no more than 45, nor less than 20, business days after the date the Company distributes the related fundamental change notice.</w:t>
      </w:r>
    </w:p>
    <w:p>
      <w:pPr>
        <w:spacing w:after="0" w:line="5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an event of default, other than a reporting default remedied by special interest as defined in the indenture agreement, occurs with respect to the Company or any guarantor, then the principal amount of, and all accrued and unpaid interest on, all of the notes then outstanding will immediately become due and payable without any further action or notice by any person. If an event of default (other than a reporting event of default described above with respect to the Company or any guarantor and not solely with respect to a significant subsidiary of the Company’s or a guarantor, other than the Company or such guarantor) occurs and is continuing, then, the trustee, by notice to the Company, or noteholders of at least 25% of the aggregate principal amount of notes then outstanding, by written notice to the Company and the trustee, may declare the principal amount of, and all accrued and unpaid interest on, all of the notes then outstanding to become due and payable immediately.</w:t>
      </w:r>
    </w:p>
    <w:p>
      <w:pPr>
        <w:spacing w:after="0" w:line="6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Convertible Senior Notes have an initial conversion rate of 15.6539 shares of common stock per $1,000 principal amount of the Convertible Senior Notes, which will be subject to customary anti-dilution adjustments in certain circumstances.</w:t>
      </w:r>
    </w:p>
    <w:p>
      <w:pPr>
        <w:spacing w:after="0" w:line="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pricing of the Convertible Senior Notes, the Company entered into privately negotiated capped call transactions with various financial institutions (the "Capped Call Transactions"). The Capped Call Transactions were entered into with third party broker-dealers to limit the potential dilution that would occur if the Company has to settle the conversion value in excess of the principal in shares. This exposure will be covered (i.e., the Company will receive as many shares as are required to be issued between the conversion price of $63.8818 and the maximum price of $91.2600). Any shares required to be issued by the Company over this amount would have net earnings per share dilution impact. By entering into the Capped Call Transactions,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Company paid $39.0 million for the Capped Call Transactions, which was recorded as additional paid-in capital, using a portion of the gross proceeds from the sale of the Convertible Senior Notes. The cost of the Capped Call Transactions is not expected to be tax deductible as the Company did not elect to integrate the capped call into the Convertible Senior Notes for tax purposes. The cost of the Capped Call Transaction was recorded as a reduction of the Company’s additional paid-in capital in the accompanying condensed consolidated financial statements.</w:t>
      </w:r>
    </w:p>
    <w:p>
      <w:pPr>
        <w:spacing w:after="0" w:line="7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incurred debt issuance costs of $11.4 million in March 2021. The Convertible Senior Notes are presented net of issuance costs on the Company's condensed consolidated balance sheets. The debt issuance costs are amortized on an effective interest basis over the term of the Convertible Senior Notes and are included in interest expense and amortization of debt discount in the accompanying condensed consolidated statements of operations.</w:t>
      </w:r>
    </w:p>
    <w:p>
      <w:pPr>
        <w:spacing w:after="0" w:line="5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repurchased $194.9 million of principal balance of its Convertible Senior Notes in the open market with cash on hand for $165.5 million.</w:t>
      </w:r>
    </w:p>
    <w:p>
      <w:pPr>
        <w:spacing w:after="0" w:line="2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interest expense related to the Convertible Senior Notes for the three and six months ended June 30, 2025 and 2024 (in thousands, except interest rates):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3000" w:type="dxa"/>
            <w:vAlign w:val="bottom"/>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29"/>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0.82 %</w:t>
            </w:r>
          </w:p>
        </w:tc>
        <w:tc>
          <w:tcPr>
            <w:tcW w:w="0" w:type="dxa"/>
            <w:vAlign w:val="bottom"/>
          </w:tcPr>
          <w:p>
            <w:pPr>
              <w:spacing w:after="0"/>
              <w:rPr>
                <w:sz w:val="1"/>
                <w:szCs w:val="1"/>
                <w:color w:val="auto"/>
              </w:rPr>
            </w:pPr>
          </w:p>
        </w:tc>
      </w:tr>
      <w:tr>
        <w:trPr>
          <w:trHeight w:val="819"/>
        </w:trPr>
        <w:tc>
          <w:tcPr>
            <w:tcW w:w="4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the Company's debt issuance costs related to the Convertible Senior Notes for the fiscal years 2025 through 2026 was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60" w:type="dxa"/>
            <w:vAlign w:val="bottom"/>
          </w:tcPr>
          <w:p>
            <w:pPr>
              <w:spacing w:after="0"/>
              <w:rPr>
                <w:sz w:val="16"/>
                <w:szCs w:val="16"/>
                <w:color w:val="auto"/>
              </w:rPr>
            </w:pP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Debt Issuance Costs</w:t>
            </w:r>
          </w:p>
        </w:tc>
      </w:tr>
      <w:tr>
        <w:trPr>
          <w:trHeight w:val="23"/>
        </w:trPr>
        <w:tc>
          <w:tcPr>
            <w:tcW w:w="9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48"/>
        </w:trPr>
        <w:tc>
          <w:tcPr>
            <w:tcW w:w="9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2021 and 2024 Credit Agreements</w:t>
      </w:r>
    </w:p>
    <w:p>
      <w:pPr>
        <w:spacing w:after="0" w:line="108"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On April 30, 2021, the Company entered into a credit agreement (the "2021 Credit Agreement") with Goldman Sachs Bank USA as administrative agent and collateral agent, and other lender parties thereto. The 2021 Credit Agreement provided for a $360.0 million seven-year senior secured term loan facility ("2021 Term Loan B Facility"), which had a maturity in April 2028, and a $65.0 million senior secured revolving credit facility (as amended in June 2021, the "2021 Revolving Credit Facility"), which had a maturity in December 2025. In June 2023, the Company amended the 2021 Credit Agreement (the "Amended 2021 Credit Agreement") to transition away from a variable interest rate based on the Eurodollar Rate towards a similar variable interest rate based on Adjusted Term SOFR, as defined in the Amended 2021 Credit Agreement, which is based on the secured overnight financing rate ("SOFR").</w:t>
      </w:r>
    </w:p>
    <w:p>
      <w:pPr>
        <w:spacing w:after="0" w:line="51"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Amounts outstanding under the Amended 2021 Credit Agreement accrue interest at a rate equal to either, (1) for the 2021 Term Loan B Facility, at the Company’s election, the Adjusted Term SOFR plus a margin of 5.00% per annum, or ABR (as defined in the Amended 2021 Credit Agreement) plus a margin of 4.00%, and (2) for the 2021 Revolving Credit Facility, at the Company’s election, the Adjusted Term SOFR plus a margin of 4.25% to 4.75%, or ABR plus a margin of 3.25% to 3.75%, in each case, depending on the Company’s first lien net leverage ratio.</w:t>
      </w:r>
    </w:p>
    <w:p>
      <w:pPr>
        <w:spacing w:after="0" w:line="4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February 6, 2024, the Company refinanced the 2021 Credit Agreement and entered into a new credit agreement (the "2024 Credit Agreement") with Morgan Stanley Senior Funding, Inc. as the Company term loan administrative agent and Citibank, N.A. as the Company's revolving facility administrative agent and collateral agent, and other lender parties thereto. The 2024 Credit Agreement included a $365.0 million seven-year senior secured term loan facility (the "2024 Term Loan B Facility"), which will mature in February 2031 and a $175.0 million five-year senior secured revolving credit facility (the "2024 Revolving Credit Facility"), which will mature in February 2029. The Company primarily used the proceeds from the 2024 Term Loan B Facility to repay in full all outstanding amounts owed under the Company's Amended 2021 Credit Agreement. Accordingly, the Amended 2021 Credit Agreement was terminated and replaced in its entirety. The obligations under the 2024 Credit Agreement are secured by substantially all of the assets of the Company.</w:t>
      </w:r>
    </w:p>
    <w:p>
      <w:pPr>
        <w:spacing w:after="0" w:line="70" w:lineRule="exact"/>
        <w:rPr>
          <w:sz w:val="20"/>
          <w:szCs w:val="20"/>
          <w:color w:val="auto"/>
        </w:rPr>
      </w:pPr>
    </w:p>
    <w:p>
      <w:pPr>
        <w:ind w:right="360" w:firstLine="648"/>
        <w:spacing w:after="0" w:line="272" w:lineRule="auto"/>
        <w:rPr>
          <w:sz w:val="20"/>
          <w:szCs w:val="20"/>
          <w:color w:val="auto"/>
        </w:rPr>
      </w:pPr>
      <w:r>
        <w:rPr>
          <w:rFonts w:ascii="Times New Roman" w:cs="Times New Roman" w:eastAsia="Times New Roman" w:hAnsi="Times New Roman"/>
          <w:sz w:val="17"/>
          <w:szCs w:val="17"/>
          <w:color w:val="auto"/>
        </w:rPr>
        <w:t>Amounts outstanding under the 2024 Credit Agreement accrue interest at a rate equal to either, (1) for the 2024 Term Loan B Facility, at the Company’s election, Term SOFR (as defined in the 2024 Credit Agreement) plus a margin of 4.50% per annum, or ABR (as defined in the 2024 Credit Agreement) plus a margin of 3.50%, and (2) for the 2024 Revolving Credit Facility, at the Company’s election, Term SOFR plus a margin of 3.50% to</w:t>
      </w:r>
    </w:p>
    <w:p>
      <w:pPr>
        <w:spacing w:after="0" w:line="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4.00%, or ABR plus a margin of 2.50% to 3.00%, in each case, depending on the Company’s First Lien Net Leverage Ratio (as defined in the 2024 Credit Agreement).</w:t>
      </w:r>
    </w:p>
    <w:p>
      <w:pPr>
        <w:spacing w:after="0" w:line="6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September 18, 2024, the Company entered into Amendment No. 1 to the 2024 Credit Agreement ("Amendment No. 1"), which reduced the interest rate of the 2024 Term Loan B Facility by 75 basis points to Term SOFR plus a margin of 3.75%, from the previous rate of Term SOFR plus a margin of 4.50%. Amendment No. 1 also reduced the interest rate margin of any ABR Loans (as defined in Amendment No. 1) by 75 basis points to ABR plus a margin of 2.75% from the previous rate of ABR plus a margin of 3.50%. The remaining terms of the 2024 Term Loan B Facility and 2024 Revolving Credit Facility were substantially unchanged.</w:t>
      </w:r>
    </w:p>
    <w:p>
      <w:pPr>
        <w:spacing w:after="0" w:line="4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March 18, 2025, the Company entered into Amendment No. 2 to the 2024 Credit Agreement ("Amendment No. 2"), which reduced the interest rate of the 2024 Term Loan B Facility by an additional 75 basis points to Term SOFR plus a margin of 3.00%, from the previous rate of Term SOFR plus a margin of 3.75%. Amendment No. 2 also reduced the interest rate margin of any ABR Loans (as defined in Amendment No. 2) by 75 basis points to ABR plus a margin of 2.00% from the previous rate of ABR plus a margin of 2.75%. The remaining terms of the 2024 Term Loan B Facility and 2024 Revolving Credit Facility were substantially unchanged.</w:t>
      </w:r>
    </w:p>
    <w:p>
      <w:pPr>
        <w:spacing w:after="0" w:line="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the contractual interest rate related to the 2024 Term Loan B Facility was 7.33%. In addition to having to pay contractual interest on the 2024 Term Loan B Facility, the Company is also required to pay certain other fees, primarily to the lenders under the 2024 Revolving Credit Facility, in order to maintain their revolving facility commitments.</w:t>
      </w:r>
    </w:p>
    <w:p>
      <w:pPr>
        <w:spacing w:after="0" w:line="54"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covenants of the 2024 Credit Agreement include customary negative covenants that, among other things, restrict the Company’s ability to incur additional indebtedness, grant liens and make certain acquisitions, investments, asset dispositions and restricted payments. In addition, the 2024 Credit Agreement contains a springing financial covenant that is tested on the last day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any fiscal quarter only if utilization of the 2024 Revolving Credit Facility exceeds 35% of the total revolving commitments, whereby the Company is required to maintain a First Lien Net Leverage Ratio below 3.25 to 1.00. As of June 30, 2025, no amounts were outstanding under the 2024 Revolving Credit Facility and the Company was in compliance with its debt covenants. At June 30, 2025, amounts available under the 2024 Revolving Credit Facility were $171.3 million, net of letters of credit outstanding in the amount of $3.7 million.</w:t>
      </w:r>
    </w:p>
    <w:p>
      <w:pPr>
        <w:spacing w:after="0" w:line="4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2024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2024 Credit Agreement. The 2024 Credit Agreement calls for customary scheduled loan amortization payments of 0.25% of the initial principal balance, which at the time of Amendment No. 2 was $363.2 million, payable quarterly (i.e. 1% in aggregate per year) as well as a provision that requires the Company to prepay the 2024 Term Loan B Facility based on an annual calculation of free cash flow ("Excess Cash Flow") as defined by the 2024 Credit Agreement. The Company was not required to make any such mandatory prepayment required by the Excess Cash Flow provision for the period ended June 30, 2025.</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amount outstanding under the Company's 2024 Term Loan B Facility at June 30, 2025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83185</wp:posOffset>
            </wp:positionV>
            <wp:extent cx="2091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gridSpan w:val="4"/>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Term Loan B Facility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363,177</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Term Loan B Facility, net of debt discount and issuance costs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352,188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350,102</w:t>
            </w:r>
          </w:p>
        </w:tc>
      </w:tr>
      <w:tr>
        <w:trPr>
          <w:trHeight w:val="21"/>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February 6, 2024 Debt Refinance</w:t>
      </w:r>
    </w:p>
    <w:p>
      <w:pPr>
        <w:spacing w:after="0" w:line="10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As part of the debt refinance on February 6, 2024, where lenders under the 2021 Credit Agreement continued to be lenders under the 2024 Credit Agreement, certain of their loans and revolving facility commitments were deemed to have been modified ("Modified Loans" and "Modified Commitments," respectively). The Company continued to defer debt discount costs of $3.7 million and debt issuance costs of $5.7 million from Modified Loans over the term of the new 2024 Term Loan B Facility. The Company continued to defer financing costs as of February 6, 2024 of an immaterial amount from Modified Commitments over the term of the new 2024 Revolver Facility.</w:t>
      </w:r>
    </w:p>
    <w:p>
      <w:pPr>
        <w:spacing w:after="0" w:line="48"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For lenders of the 2021 Credit Agreement that did not continue to participate in the 2024 Credit Agreement, their pro-rata portion of the unamortized debt discount of $2.8 million, unamortized debt issuance costs of $4.3 million, and unamortized deferred financing costs of an immaterial amount were deemed to be extinguished. The resulting loss on extinguishment of debt of $7.4 million is included in other (income) expense in the Company's condensed consolidated statement of operations for the six months ended June 30, 2024.</w:t>
      </w:r>
    </w:p>
    <w:p>
      <w:pPr>
        <w:spacing w:after="0" w:line="5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paid $7.7 million in third-party fees related to the closing of the 2024 Credit Agreement. Third-party fees attributed to new lenders of $2.4 million were capitalized as part of the debt issuance costs and will be amortized over the term of the 2024 Term Loan B Facility while third-party fees attributed to Modified Loans of $3.1 million were included in general and administrative expenses in the Company's condensed consolidated statement of operations for the six months ended June 30, 2024. In addition, third-party fees of $2.1 million attributed to new revolving lenders and Modified Commitments were capitalized as part of deferred financing costs and will be amortized over the term of the 2024 Revolving Facility. The Company also capitalized additional debt discount costs of $3.7 million associated with the closing of the 2024 Term Loan B Facility, which will be amortized over the term of the 2024 Term Loan B Facility.</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September 18, 2024 Debt Repricing</w:t>
      </w:r>
    </w:p>
    <w:p>
      <w:pPr>
        <w:spacing w:after="0" w:line="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analyzed the changes of Amendment No. 1 on a lender-by-lender basis and determined that the transaction would primarily be accounted for as a modification, with a portion of it accounted for as debt extinguishment and new debt issuance. As a result, the Company recognized an immaterial loss on extinguishment related to unamortized debt discount and unamortized debt issuance costs related to the portion of the 2024 Term Loan B Facility that was extinguished. The Company paid $1.0 million in third-party fees related to Amendment No. 1 of which an immaterial amount was capitalized as debt issuance costs and $1.0 million was included in general and administrative expenses in the Company's condensed consolidated statement of operations for the three months ended September 30, 2024. As part of Amendment No. 1, most lenders decided to roll their loan balances over from the original 2024 Term Loan B Facility to the amended 2024 Term Loan B Facility, while some decided to cash out and reassign their loan balances. On September 18, 2024, $312.0 million of the 2024 Term Loan B Facility principal balance was rolled over as part of non-cash financing activities while $52.1 million of the 2024 Term Loan B Facility principal balance was repaid and then reissued.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March 18, 2025 Debt Repricing</w:t>
      </w:r>
    </w:p>
    <w:p>
      <w:pPr>
        <w:spacing w:after="0" w:line="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Company analyzed the changes of Amendment No. 2 on a lender-by-lender basis and determined that the transaction would primarily be accounted for as a modification, with a portion of it accounted for as debt extinguishment and new debt issuance. As a result, the Company recognized a loss on extinguishment of $2.2 million related to $1.0 million of unamortized debt discount and $1.1 million of unamortized debt issuance costs related to the portion of the 2024 Term Loan B Facility that was extinguished. The Company paid $1.1 million in third-party fees related to Amendment No. 2 of which an immaterial amount was capitalized as debt issuance costs and $1.0 million was included in general and administrative expenses in the Company's condensed consolidated statement of operations for the six months ended June 30, 2025. As part of Amendment No. 2, most of the 2024 Term Loan B lenders decided to roll their loan balances over from Amendment No. 1 to Amendment No. 2, while some decided to cash out and reassign their loan balances. On March 18, 2025, $270.6 million of the 2024 Term Loan B principal balance from Amendment No. 1 was rolled over to Amendment No. 2 as part of non-cash financing activities while $92.6 million of the 2024 Term Loan B Facility principal balance from Amendment No. 1 was repaid and then reissued as part of Amendment No. 2.</w:t>
      </w:r>
    </w:p>
    <w:p>
      <w:pPr>
        <w:spacing w:after="0" w:line="7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interest expense related to the 2024 Term Loan B Facility and the 2021 Term Loan B Facility (in thousands, except interest rates):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3160" w:type="dxa"/>
            <w:vAlign w:val="bottom"/>
            <w:gridSpan w:val="4"/>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0"/>
        </w:trPr>
        <w:tc>
          <w:tcPr>
            <w:tcW w:w="43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2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6,722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9,032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13,952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18,198</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6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584</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716</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7,185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14,953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19,498</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10.77 %</w:t>
            </w:r>
          </w:p>
        </w:tc>
      </w:tr>
    </w:tbl>
    <w:p>
      <w:pPr>
        <w:spacing w:after="0" w:line="15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the 2024 Term Loan B Facility debt discount and debt issuance costs for fiscal years 2025 through 2029 and thereafter was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Debt Discount</w:t>
            </w:r>
          </w:p>
        </w:tc>
        <w:tc>
          <w:tcPr>
            <w:tcW w:w="160" w:type="dxa"/>
            <w:vAlign w:val="bottom"/>
          </w:tcPr>
          <w:p>
            <w:pPr>
              <w:spacing w:after="0"/>
              <w:rPr>
                <w:sz w:val="16"/>
                <w:szCs w:val="16"/>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Debt Issuance Costs</w:t>
            </w:r>
          </w:p>
        </w:tc>
      </w:tr>
      <w:tr>
        <w:trPr>
          <w:trHeight w:val="23"/>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48"/>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Total Interest Expense and Interest Income</w:t>
      </w:r>
    </w:p>
    <w:p>
      <w:pPr>
        <w:spacing w:after="0" w:line="9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Interest expense consists primarily of contractual interest expense and amortization of debt discount, debt issuance costs, and deferred financing costs related to the Company's debt facilities under its 2024 Credit Agreement and 2021 Credit Agreement as well as its Convertible Senior Notes. Interest income primarily consists of interest earned on the Company's cash equivalents. The following includes interest expense and interest income, as presented within interest expense, net in the condensed consolidated statement of operations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302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6"/>
                <w:szCs w:val="16"/>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
        </w:trPr>
        <w:tc>
          <w:tcPr>
            <w:tcW w:w="4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8"/>
              </w:rPr>
              <w:t>7,801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16,221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20,618</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677"/>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8"/>
              </w:rPr>
              <w:t>(5,973)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(5,867)</w:t>
            </w: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8"/>
              </w:rPr>
              <w:t>5,071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10,248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14,751</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10—Commitments and Contingencies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commitments under non-cancelable operating leases for facilities and its managed data center facilities (refer to Note 8).</w:t>
      </w:r>
    </w:p>
    <w:p>
      <w:pPr>
        <w:spacing w:after="0" w:line="104"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Company had $3.7 million and $5.2 million, respectively, of letters of credit associated with office leases available for borrowing, on which there were no outstanding borrowings as of either date.</w:t>
      </w:r>
    </w:p>
    <w:p>
      <w:pPr>
        <w:spacing w:after="0" w:line="4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non-cancelable contractual obligations with various parties, primarily related to cloud-managed service agreements, software service agreements, and data center providers. As of June 30, 2025, the Company's outstanding non-cancelable contractual obligations with a remaining term in excess of one year consist of the following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52,848</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106,024</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71,770</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17,652</w:t>
            </w:r>
          </w:p>
        </w:tc>
      </w:tr>
      <w:tr>
        <w:trPr>
          <w:trHeight w:val="248"/>
        </w:trPr>
        <w:tc>
          <w:tcPr>
            <w:tcW w:w="9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248,294</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amounts above include commitments under a cloud-managed services agreement, under which the Company has a non-cancelable commitment from July 2025 to June 2028 containing minimum spend amounts for each twelve-month period (i.e. July 2025 to June 2026, July 2026 to June 2027, and July 2027 to June 2028) as well as an additional minimum spend amount over the entire three-year term. The table above approximates the manner in which the Company expects to fulfill the obligation.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w:t>
      </w:r>
    </w:p>
    <w:p>
      <w:pPr>
        <w:spacing w:after="0" w:line="10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condensed consolidated financial statements.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0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and its subsidiaries may from time to time be parties to legal or regulatory proceedings, lawsuits and other claims incident to their business activities and to the Company’s status as a public company. Such routine matters may include, among other things, assertions of contract breach or intellectual property infringement, claims for indemnity arising in the course of the Company’s business, claims relating to our collection or use of data, regulatory investigations, audits by taxing authorities, or enforcement proceedings, and claims by persons whose employment has been terminated. For example, the Company has recently been subject to lawsuits alleging violation of various privacy statutes.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June 30, 2025. However, based on management’s knowledge as of June 30, 2025, management believes that the final resolution of these matters known at such date, individually and in the aggregate, will not have a material adverse effect upon the Company’s condensed consolidated financial position, results of operations or cash flows.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Contracts</w:t>
      </w:r>
    </w:p>
    <w:p>
      <w:pPr>
        <w:spacing w:after="0" w:line="10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11—Stock-Based Compensation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stock option activity for the six months ended June 30, 2025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Under Option</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2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Average Exercise Price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00" w:type="dxa"/>
            <w:vAlign w:val="bottom"/>
          </w:tcPr>
          <w:p>
            <w:pPr>
              <w:spacing w:after="0"/>
              <w:rPr>
                <w:sz w:val="17"/>
                <w:szCs w:val="17"/>
                <w:color w:val="auto"/>
              </w:rPr>
            </w:pPr>
          </w:p>
        </w:tc>
        <w:tc>
          <w:tcPr>
            <w:tcW w:w="12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6"/>
        </w:trPr>
        <w:tc>
          <w:tcPr>
            <w:tcW w:w="4980" w:type="dxa"/>
            <w:vAlign w:val="bottom"/>
          </w:tcPr>
          <w:p>
            <w:pPr>
              <w:spacing w:after="0"/>
              <w:rPr>
                <w:sz w:val="17"/>
                <w:szCs w:val="17"/>
                <w:color w:val="auto"/>
              </w:rPr>
            </w:pPr>
          </w:p>
        </w:tc>
        <w:tc>
          <w:tcPr>
            <w:tcW w:w="14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4.3 years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61,640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June 30, 2025</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8"/>
              </w:rPr>
              <w:t>4.0 years</w:t>
            </w: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bottom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8"/>
                <w:szCs w:val="18"/>
                <w:color w:val="auto"/>
              </w:rPr>
              <w:t>57,996</w:t>
            </w:r>
          </w:p>
        </w:tc>
        <w:tc>
          <w:tcPr>
            <w:tcW w:w="0" w:type="dxa"/>
            <w:vAlign w:val="bottom"/>
          </w:tcPr>
          <w:p>
            <w:pPr>
              <w:spacing w:after="0" w:line="20" w:lineRule="exact"/>
              <w:rPr>
                <w:sz w:val="1"/>
                <w:szCs w:val="1"/>
                <w:color w:val="auto"/>
              </w:rPr>
            </w:pPr>
          </w:p>
        </w:tc>
      </w:tr>
      <w:tr>
        <w:trPr>
          <w:trHeight w:val="208"/>
        </w:trPr>
        <w:tc>
          <w:tcPr>
            <w:tcW w:w="4980" w:type="dxa"/>
            <w:vAlign w:val="bottom"/>
            <w:vMerge w:val="continue"/>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38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six months ended June 30, 2025 was $5.8 million, based on their respective exercise dates. At June 30, 2025, the Company had unrecognized stock-based compensation expense relating to unvested stock options of approximately $2.5 million, which is expected to be recognized over a weighted-average period of 2.0 years.</w:t>
      </w:r>
    </w:p>
    <w:p>
      <w:pPr>
        <w:spacing w:after="0" w:line="5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that contain service conditions using the Black-Scholes option pricing model. The grant date fair value of options granted during the six months ended June 30, 2025 and 2024 was $11.40 and $6.34, respectively, per share. The weighted-average input assumptions used by the Company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260" w:type="dxa"/>
            <w:vAlign w:val="bottom"/>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98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7980" w:type="dxa"/>
            <w:vAlign w:val="bottom"/>
          </w:tcPr>
          <w:p>
            <w:pPr>
              <w:spacing w:after="0"/>
              <w:rPr>
                <w:sz w:val="16"/>
                <w:szCs w:val="16"/>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5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29"/>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3.93 %</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restricted stock unit ("RSU") activity for the six months ended June 30, 2025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160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3"/>
                <w:szCs w:val="13"/>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5"/>
        </w:trPr>
        <w:tc>
          <w:tcPr>
            <w:tcW w:w="792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5"/>
        </w:trPr>
        <w:tc>
          <w:tcPr>
            <w:tcW w:w="7920" w:type="dxa"/>
            <w:vAlign w:val="bottom"/>
          </w:tcPr>
          <w:p>
            <w:pPr>
              <w:spacing w:after="0"/>
              <w:rPr>
                <w:sz w:val="16"/>
                <w:szCs w:val="16"/>
                <w:color w:val="auto"/>
              </w:rPr>
            </w:pP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 at December 31, 2024</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11,809</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 and released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3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 and unvested at June 30, 2025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per share of restricted stock units granted during the six months ended June 30, 2025 and 2024 was $16.08 and $9.27, respectively.</w:t>
      </w:r>
    </w:p>
    <w:p>
      <w:pPr>
        <w:spacing w:after="0" w:line="4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restricted stock units that vested and were released during the six months ended June 30, 2025 and 2024 was $68.1 million and $35.1 million, respectively, based on their respective vesting dates. At June 30, 2025, the intrinsic value of unvested restricted stock units was $280.1 million. At June 30, 2025, the Company had unrecognized stock-based compensation expense relating to unvested restricted stock units of approximately $128.0 million, which is expected to be recognized over 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period of 2.6 years.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0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grants performance stock units ("PSU") to select executive employees that vest based on share price metrics tied to total shareholder return relative ("TSR") to a peer group, subject to a time-based service component. Between 0% and 150% of the performance stock units will vest at the end of the performance period, which is generally on the third anniversary of the PSU grant date.</w:t>
      </w:r>
    </w:p>
    <w:p>
      <w:pPr>
        <w:spacing w:after="0" w:line="4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PSUs is based on the grant date fair value and the number of shares assuming a performance measurement of 100%. The compensation expense will not be reversed if the performance metrics are not met.</w:t>
      </w:r>
    </w:p>
    <w:p>
      <w:pPr>
        <w:spacing w:after="0" w:line="4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the Company granted PSUs with an aggregate target of 346,287 shares, assuming a performance measurement of 100%. The amount of shares that will ultimately vest will be determined based on the Company's TSR relative to the TSRs of a peer group for the three year-period beginning January 1, 2025, as well as certain interim measurements based on relative TSR for the one-year and two-year periods beginning on January 1, 2025.</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PSU activity for the six months ended June 30, 2025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160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6"/>
        </w:trPr>
        <w:tc>
          <w:tcPr>
            <w:tcW w:w="7940" w:type="dxa"/>
            <w:vAlign w:val="bottom"/>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6"/>
        </w:trPr>
        <w:tc>
          <w:tcPr>
            <w:tcW w:w="7940" w:type="dxa"/>
            <w:vAlign w:val="bottom"/>
          </w:tcPr>
          <w:p>
            <w:pPr>
              <w:spacing w:after="0"/>
              <w:rPr>
                <w:sz w:val="17"/>
                <w:szCs w:val="17"/>
                <w:color w:val="auto"/>
              </w:rPr>
            </w:pPr>
          </w:p>
        </w:tc>
        <w:tc>
          <w:tcPr>
            <w:tcW w:w="16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 w:right="260" w:firstLine="6"/>
        <w:spacing w:after="0" w:line="245" w:lineRule="auto"/>
        <w:tabs>
          <w:tab w:leader="none" w:pos="14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PSUs granted and weighted-average grant date fair value include 22 shares issued above the target shares for a PSU that vested and was released during the 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4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grant date fair value for the PSUs was estimated using a Monte-Carlo simulation model. The grant date fair value of PSUs granted during the six months ended June 30, 2025 and June 30, 2024 was $20.93 and $11.76, respectively, per share. The weighted-average input assumptions used by the Company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3520" w:type="dxa"/>
            <w:vAlign w:val="bottom"/>
            <w:gridSpan w:val="3"/>
          </w:tcPr>
          <w:p>
            <w:pPr>
              <w:jc w:val="right"/>
              <w:ind w:right="111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72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90"/>
        </w:trPr>
        <w:tc>
          <w:tcPr>
            <w:tcW w:w="7720" w:type="dxa"/>
            <w:vAlign w:val="bottom"/>
          </w:tcPr>
          <w:p>
            <w:pPr>
              <w:spacing w:after="0"/>
              <w:rPr>
                <w:sz w:val="16"/>
                <w:szCs w:val="16"/>
                <w:color w:val="auto"/>
              </w:rPr>
            </w:pPr>
          </w:p>
        </w:tc>
        <w:tc>
          <w:tcPr>
            <w:tcW w:w="18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7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29"/>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period (in years)</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4.05 %</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of Magnite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of selected peer companies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correlation coefficients of Magnite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correlation coefficients of selected peer companies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5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the fair value of PSUs that vested and were released was $1.9 million, based on their respective vesting dates. At June 30, 2025, the intrinsic value of unvested performance stock units based on expected achievement levels was $40.7 million. As of June 30, 2025, the Company had unrecognized stock-based compensation expense relating to unvested PSUs of approximately $10.8 million, which will be recognized over a weighted-average period of 1.4 years.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stock-based compensation expense recorded in the condensed consolidated statements of operations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640" w:type="dxa"/>
            <w:vAlign w:val="bottom"/>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51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96"/>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gridSpan w:val="4"/>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16,208</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w:t>
            </w: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an aggregate of 16,240,389 shares remained available for future grants under the Magnite, Inc. Amended and Restated 2014 Equity Incentive Plan (the "Amended and Restated 2014 Equity Incentive Plan").</w:t>
      </w:r>
    </w:p>
    <w:p>
      <w:pPr>
        <w:spacing w:after="0" w:line="4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has reserved 4,111,203 shares of its common stock for issuance under the Magnite, Inc. Amended and Restated 2014 Employee Stock Purchase Plan (the "Amended and Restated 2014 Employee Stock Purchase Plan").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12—Income Taxes</w:t>
      </w:r>
    </w:p>
    <w:p>
      <w:pPr>
        <w:spacing w:after="0" w:line="10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deductible stock option expenses, nondeductible executive compensation, and changes in the Company's valuation allowance.</w:t>
      </w:r>
    </w:p>
    <w:p>
      <w:pPr>
        <w:spacing w:after="0" w:line="5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recorded an income tax provision of $1.0 million and $0.1 million for the three and six months ended June 30, 2025, and an income tax provision of $4.6 million and tax benefit of $3.2 million for the three and six months ended June 30, 2024, respectively. The tax provision for the three and six months ended June 30, 2025 was primarily the result of the Company's ability to recognize deferred tax assets ("DTAs") subject to the domestic valuation allowance and the federal, state, and foreign income tax provisions. The tax provision and benefit for the three and six months ended June 30, 2024, respectively, was primarily the result of the Company's ability to recognize DTAs subject to the domestic valuation allowance and the foreign income tax provision. The Company continues to maintain a partial valuation allowance for the domestic DTAs.</w:t>
      </w:r>
    </w:p>
    <w:p>
      <w:pPr>
        <w:spacing w:after="0" w:line="5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Due to uncertainty as to the realization of benefits from the Company's domestic and certain international DTAs, including net operating loss carryforwards and research and development tax credits, the Company has a partial valuation allowance reserved against such assets. The Company intends to continue to maintain a partial valuation allowance on the DTAs until there is sufficient evidence to support the reversal of all or some additional portion of these allowances. Given the Company's current earnings and anticipated future earnings, the Company believes that there is a reasonable possibility that within the next twelve months, sufficient positive evidence may become available to allow the Company to reach a conclusion that all or a significant portion of the valuation allowance will no longer be needed. The exact timing and amount of the valuation allowance release are subject to change on the basis of the level of profitability that the Company is able to actually achieve.</w:t>
      </w:r>
    </w:p>
    <w:p>
      <w:pPr>
        <w:spacing w:after="0" w:line="6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Due to the net operating loss carryforwards, all of the Company's United States federal and a majority of its state returns are open to examination by the Internal Revenue Service and state jurisdictions for all years since inception. For the Netherlands, India, Sweden, and the United Kingdom, all tax years remain open for examination by the local country tax authorities, for France, only 2022 and forward are open, for Australia and Singapore, only 2021 and forward are open for examination, for Brazil, Canada, Germany, and Malaysia, only 2020 and forward are open for examination, for Italy and New Zealand, only 2019 and forward are open for examination, and for Japan, only 2018 and forward remain open for examination.</w:t>
      </w:r>
    </w:p>
    <w:p>
      <w:pPr>
        <w:spacing w:after="0" w:line="6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Pursuant to Section 382 of the Internal Revenue Code, the Company and Telaria, Inc. both underwent ownership changes for tax purposes (i.e. a more than 50% change in stock ownership in aggregated 5% shareholders) on April 1, 2020 due to the merger with Telaria Inc. As a result, the use of the Company's total domestic NOL carryforwards and tax credits generated prior to the ownership change will be subject to annual use limitations under Section 382 and Section 383 of the Code and comparable state income tax laws. The Company believes that the ownership change will not impact its ability to utilize substantially all of its NOLs and state research and development carryforward tax credits to the extent it will generate taxable income that can be offset by such losses. The Company reasonably expects some of its federal research and development carryforward tax credits will not be recovered prior to expiration.</w:t>
      </w:r>
    </w:p>
    <w:p>
      <w:pPr>
        <w:spacing w:after="0" w:line="54"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There was no material change to the Company's unrecognized tax benefits in the six months ended June 30, 2025 and the Company does not expect to have any material changes to unrecognized tax benefits through the end of the fiscal year.</w:t>
      </w:r>
    </w:p>
    <w:p>
      <w:pPr>
        <w:spacing w:after="0" w:line="4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On July 4, 2025, the President of the United States signed H.R. 1, commonly referred to as the "One Big Beautiful Bill Act" ("OBBBA") into law. The legislation includes several changes to federal tax law that generally allow for more favorable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deductibility of certain business expenses beginning in 2025, including the restoration of immediate expensing of domestic R&amp;D expenditures, reinstatement of 100% bonus depreciation, and more favorable rules for determining the limitation on business interest expense. OBBBA also includes certain changes to the U.S. taxation of foreign activity, including changes to foreign tax credits, Global Intangible Low-Taxed Income, Foreign-Derived Intangible Income, and Base Erosion and Anti-Abuse Tax amongst other changes. These changes are generally effective for tax years beginning after December 31, 2025. These changes were not reflected in the income tax provision for the three and six months ended June 30, 2025, as enactment occurred after the balance sheet date. Based on current projections, the impact will be a deferral of the payment of current income taxes over multiple years; however, the Company expects the net impact to its effective tax rate for 2025 to be immaterial.</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the Company's guidance or expectations with respect to future financial performance; acquisitions by the Company, or the anticipated benefits thereof; macroeconomic conditions or concerns related thereto; the growth of ad-supported programmatic connected television ("CTV"); our ability to use and collect data to provide our offerings; the scope and duration of client relationships; the fees we may charge in the future; key strategic objectives; anticipated benefits of new offerings; business mix; sales growth; benefits from supply path optimization; our ability to adapt to advancements in artificial intelligence; the development of identity solutions; client utilization of our offerings; the impact of requests for discounts, rebates, or other fee concessions; our competitive differentiation; our market share and leadership position in the industry; market conditions, trends, and opportunities; the effects of regulatory developments or antitrust rulings on competitive dynamics in our industry;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w:t>
      </w:r>
    </w:p>
    <w:p>
      <w:pPr>
        <w:spacing w:after="0" w:line="6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2024 and subsequent filings.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64" w:lineRule="exact"/>
        <w:rPr>
          <w:sz w:val="20"/>
          <w:szCs w:val="20"/>
          <w:color w:val="auto"/>
        </w:rPr>
      </w:pPr>
    </w:p>
    <w:p>
      <w:pPr>
        <w:jc w:val="both"/>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40"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condensed consolidated financial statements and notes thereto appearing elsewhere in this Quarterly Report on Form 10-Q.</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Magnite, Inc., ("we," or "us"), provides technology solutions to automate the purchase and sale of digital advertising inventory.</w:t>
      </w:r>
    </w:p>
    <w:p>
      <w:pPr>
        <w:spacing w:after="0" w:line="9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are the world’s largest independent omni-channel sell-side advertising platform ("SSP"),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w:t>
      </w:r>
    </w:p>
    <w:p>
      <w:pPr>
        <w:spacing w:after="0" w:line="54"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7"/>
          <w:szCs w:val="17"/>
          <w:color w:val="auto"/>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spacing w:after="0" w:line="5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recently combined streaming SSP and ad server, which we refer to as SpringServe, offers CTV sellers a holistic solution to manage and monetize their entire portfolio of CTV ad inventory, across both programmatic and direct-sold video inventory. We provide sellers with a full suite of tools to protect the consumer viewing experience and brand safety expectations, while increasing revenue opportunities, including tools for mediation and yield optimization, forecasting tools, customized ad experiences and ad formats, frequency capping, and advanced podding logic. These tools are particularly important to CTV sellers who need to provide a TV-like viewing and advertising experience for consumers.</w:t>
      </w:r>
    </w:p>
    <w:p>
      <w:pPr>
        <w:spacing w:after="0" w:line="48"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Buyers leverage our platform to reach their target audiences across thousands of sellers in a premium brand-safe environment, simplify order management and campaign tracking, and obtain actionable insights into audiences for their advertising. We believe that our scale, platform features, and omni-channel offering makes us an essential partner for buyers.</w:t>
      </w:r>
    </w:p>
    <w:p>
      <w:pPr>
        <w:spacing w:after="0" w:line="5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Company Trends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Continued Shift Toward Digital Advertising</w:t>
      </w:r>
    </w:p>
    <w:p>
      <w:pPr>
        <w:spacing w:after="0" w:line="10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Automation of Buying and Selling</w:t>
      </w:r>
    </w:p>
    <w:p>
      <w:pPr>
        <w:spacing w:after="0" w:line="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Due to the size and complexity of the digital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transactions include biddable auctions, where multiple buyers bid against each other in a real-time auction for the right to purchase a publisher's inventory, as well as reserve auctions, where publishers establish direct deals or private marketplaces with select buyers. These reserve auctions may be "guaranteed," where a buyer has negotiated a pre-established price and volume with a seller, otherwise referred to as "programmatic guaranteed."</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Convergence of TV and Digital</w:t>
      </w:r>
    </w:p>
    <w:p>
      <w:pPr>
        <w:spacing w:after="0" w:line="10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CTV viewership is growing rapidly and the pace of adoption is accelerating the transition of linear television to CTV programming. Initially, many streaming services were subscription based, but as the market has matured, the largest streaming publishers have adopted ad-supported models or hybrid models that rely on a combination of subscription fees and advertising. With the proliferation of CTV advertising inventory, we believe that brand advertisers looking to engage with streaming viewers will continue to shift their budgets from linear to CTV. Moreover, we believe that as the amount of CTV inventory continues to scale, CTV sellers will make a greater percentage of inventory available through biddable auction environments with multiple buyers rather than programmatic guaranteed, in order to attract a broader set of advertisers that have not historically advertised on linear TV. We believe that this shift, if it were to occur, would likely be beneficial to our CTV growth as biddable transactions tend to require a higher level of service and therefore carry a higher take-rate compared to reserve auctions. At the same time, we expect CTV advertisers that have historically transacted on our platform through managed service insertion orders to continue to shift budgets towards more automated solutions, which tend to carry a lower take rate; and as a result, we expect transactions through managed service insertion orders to become a smaller component of our overall business.</w:t>
      </w:r>
    </w:p>
    <w:p>
      <w:pPr>
        <w:spacing w:after="0" w:line="5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We have made and plan to continue to make significant investments in technology, sales and support related to our CTV growth initiatives, and believe CTV will be a significant driver of our revenue growth for the foreseeable future. In April 2025, we announced the introduction of our next generation SpringServe CTV platform. The new SpringServe platform combines the features and functionalities of our streaming SSP and ad server to provide a more efficient connection for buyers to premium CTV supply, while offering powerful tools and streamlined workflow for sellers through a single user interface.</w:t>
      </w:r>
    </w:p>
    <w:p>
      <w:pPr>
        <w:spacing w:after="0" w:line="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Identity Solutions</w:t>
      </w:r>
    </w:p>
    <w:p>
      <w:pPr>
        <w:spacing w:after="0" w:line="10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One of the advantages of programmatic advertising is that it enables more precise audience targeting, which is generally more effective and valuable for buyers than other types of advertising, resulting in better performance for buyers and more revenue for sellers. Historically, in desktop and mobile, one of the primary methods for delivering targeted advertisements was through the use of third-party cookies. However, in recent years the use of third-party cookies and other tracking technologies that collect user information have come under greater scrutiny due to privacy concerns, and a number of participants in the advertising technology ecosystem, in particular web browsers and device manufacturers, have taken steps to eliminate or restrict the use of these technologies.</w:t>
      </w:r>
    </w:p>
    <w:p>
      <w:pPr>
        <w:spacing w:after="0" w:line="5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the long term, we believe that a decreased reliance on third-party cookies and other non-transparent tracking methods would be a positive for the industry, and offer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In CTV, where third-party cookies do not exist, this identity model already largely exists with publishers more tightly controlling access to identifiers and user data, while offering proprietary first party data segments for reaching desired audiences.</w:t>
      </w:r>
    </w:p>
    <w:p>
      <w:pPr>
        <w:spacing w:after="0" w:line="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scale and expertise in CTV position us well to take a leadership position in advancing this shift to a first-party identity model and creating additional value opportunities for our clients. Accordingly, we have invested and intend to further invest in the development and enhancement of industry leading identity and audience solutions, such as our Magnite Curator Marketplace, a self-service platform that allows buyers to create custom marketplaces that include curated pools of inventory that are enriched with the buyer's first-party or third-party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Supply Path Optimization</w:t>
      </w:r>
    </w:p>
    <w:p>
      <w:pPr>
        <w:spacing w:after="0" w:line="9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Supply Path Optimization ("SPO") refers to efforts by buyers to consolidate the number of vendors with which they work to find the most effective and cost-efficient paths to procure media. SPO is important to buyers because it can increase the proportion of their advertising ultimately spent on working media, with the goal of increasing return on their advertising spend, and can help them gain efficiencies by reducing the number of vendors with which they work in a complex ecosystem.</w:t>
      </w:r>
    </w:p>
    <w:p>
      <w:pPr>
        <w:spacing w:after="0" w:line="58"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18"/>
          <w:szCs w:val="18"/>
          <w:color w:val="auto"/>
        </w:rPr>
        <w:t>SPO is important for us because it allows us to potentially attract unique advertising demand and increase revenue opportunities for our seller clients. We typically enter into SPO agreements directly with agencies or agency holding companies, which may provide for custom integrations, data flows or volume-based discounts. Under these SPO agreements, we may be designated as a preferred partner or otherwise enter into terms intended to increase the overall spend on our platform.</w:t>
      </w:r>
    </w:p>
    <w:p>
      <w:pPr>
        <w:spacing w:after="0" w:line="5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believe we are well positioned to benefit from SPO in the long run as a result of our transparency, our broad and unique inventory supply across all channels and formats, buyer tools, such as our ClearLine product offering and agency marketplaces, traffic filtering technology that reduces the cost of working with us, and brand safety measures.</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Header Bidding and Data Processing</w:t>
      </w:r>
    </w:p>
    <w:p>
      <w:pPr>
        <w:spacing w:after="0" w:line="10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Header bidding is a programmatic technique by which sellers offer inventory to multiple ad exchanges and supply side platforms, such as our platform, simultaneously. Header bidding has been rapidly adopted in recent years in the desktop and mobile channels and has experienced modest adoption in CTV. The adoption of header bidding has created a number of challenges and technical complexities for both sellers and buyers, which require sophisticated tools to manage.</w:t>
      </w:r>
    </w:p>
    <w:p>
      <w:pPr>
        <w:spacing w:after="0" w:line="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header bidding has led to a significant increase in the number of ad impressions to be processed and analyzed through our platform as well as by DSPs, which can lead to increased costs if not properly addressed. We continuously work to increase the operational efficiency of our platform, so as to enable buyers and sellers to achieve their campaign and monetization objectives in a cost-effective manner.</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Regulatory Developments</w:t>
      </w:r>
    </w:p>
    <w:p>
      <w:pPr>
        <w:spacing w:after="0" w:line="10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On April 17, 2025, the United States District Court for the Eastern District of Virginia (the "Court") ruled that Google had violated federal antitrust laws by willfully acquiring and maintaining monopoly power in the display publisher ad server market and display ad exchange (also called an SSP) market, and had unlawfully tied its display ad server and ad exchange. Having found Google liable, the Court is scheduled to hold a hearing commencing September 2025 to determine what remedies are appropriate to restore competition to the affected markets. While the specific timing and nature of these remedies remains uncertain, and Google has indicated its intent to appeal the decision, we expect this ruling to have a significant positive impact on our industry and business prospects.</w:t>
      </w:r>
    </w:p>
    <w:p>
      <w:pPr>
        <w:spacing w:after="0" w:line="6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mobile and desktop SSP competes directly with Google's ad exchange for the placement of display ads within the Google display ad server, which is estimated to be used by approximately 90% of open-web publishers. We believe that the conduct found to be unlawful by the Court provided Google's ad exchange with an unfair advantage relative to rival exchanges, such as our SSP, and artificially depressed our ability to win impressions within the Google display ad server. Moreover, we believe that Google's illegal conduct foreclosed the ability of publishers to freely choose what SSPs or exchanges they worked with to monetize inventory. As such, any remedy that creates a more level playing field and increases publisher choice is likely to improve our ability to monetize a greater share of display inventory while growing our market share in open-web display.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Developments</w:t>
      </w:r>
    </w:p>
    <w:p>
      <w:pPr>
        <w:spacing w:after="0" w:line="10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Macroeconomic challenges such as inflation, tariffs and trade wars, the interest rate environment, global conflicts, the risk of a recession, and labor strikes, generally have a negative impact on ad budgets, which in turn may lead to slower ad spend growth through our platform. Any worsening of macroeconomic conditions in future periods would likely have a negative effect on our financial results, the magnitude of which is difficult to predict. In addition, inflation and tariffs could result in an increase in our cost base relative to our revenue and increased cost associated with our infrastructure investments. Moreover, in response to U.S. tariffs, foreign countries in which we operate may enact additional or new taxes that are applicable to our business.</w:t>
      </w:r>
    </w:p>
    <w:p>
      <w:pPr>
        <w:spacing w:after="0" w:line="6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Refer to Item 1A. "Risk Factors" in our Annual Report on Form 10-K for the year ended December 31, 2024 for additional information related to risks associated with macroeconomic challenges.</w:t>
      </w: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0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report our financial results as one operating segment. Our consolidated operating results are regularly reviewed by our chief operating decision maker, principally to make decisions about how we allocate our resources and to measure our consolidated operating performance.</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generate revenue from the use of our platform for the purchase and sale of digital advertising inventory. Generally, our revenue is based on a percentage of the ad spend that runs through our platform, although for certain clients, services, or transaction types, we may receive a fixed CPM for each impression sold, and for advertising campaigns that are transacted through insertion orders, we earn revenue based on the full amount of ad spend that runs through our platform. In addition, we may receive certain fixed monthly fees for the use of our platform or products.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w:t>
      </w:r>
    </w:p>
    <w:p>
      <w:pPr>
        <w:spacing w:after="0" w:line="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2025, our revenue reported on a gross basis was 11% and 11%, respectively, of total revenue and for the three and six months ended June 30, 2024, our revenue reported on a gross basis was 16% and 17%, respectively, of total revenue. Any mix shift that causes an increase in the relative percentage of our revenue accounted for on a gross basis would result in a higher revenue contribution and an associated decrease in our gross margin percentage (with no underlying impact on gross profit or Contribution ex-TAC, as defined in section "Key Operating and Financial Performance Metrics"). Our revenue recognition policies are discussed in more detail in our audited consolidated financial statements and Note 2 thereto included in our Annual Report on Form 10-K for the year ended December 31, 2024.</w:t>
      </w:r>
    </w:p>
    <w:p>
      <w:pPr>
        <w:spacing w:after="0" w:line="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classify our expenses into the following categories:</w:t>
      </w:r>
    </w:p>
    <w:p>
      <w:pPr>
        <w:spacing w:after="0" w:line="10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Our cost of revenue primarily consists of cloud hosting, data center, and bandwidth costs, ad verification costs,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expense of hardware supporting our revenue-producing platform, amortization of internally-developed software costs for the development of our revenue-producing platform, amortization expense associated with acquired developed technologies, personnel costs, and software costs. In addition, for revenue booked on a gross basis, cost of revenue includes traffic acquisition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48" w:lineRule="exact"/>
        <w:rPr>
          <w:sz w:val="20"/>
          <w:szCs w:val="20"/>
          <w:color w:val="auto"/>
        </w:rPr>
      </w:pPr>
    </w:p>
    <w:p>
      <w:pPr>
        <w:ind w:right="3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Our sales and marketing expenses primarily consists of personnel costs, including salaries, bonuses, and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 well as marketing expenses such as brand marketing, travel expenses, trade shows and marketing materials, amortization expense associated with client relationships, and non-compete agreements from our business acquisitions, professional services, facilities-related costs, and depreciation expense. Our sales and support organization focuses on increasing the adoption of our solution by existing and new buyers and sellers and supports ongoing client relationships. We amortize acquired intangibles associated with client relationships from our business acquisitions over their estimated useful lives.</w:t>
      </w:r>
    </w:p>
    <w:p>
      <w:pPr>
        <w:spacing w:after="0" w:line="47"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Technology and Development</w:t>
      </w:r>
      <w:r>
        <w:rPr>
          <w:rFonts w:ascii="Times New Roman" w:cs="Times New Roman" w:eastAsia="Times New Roman" w:hAnsi="Times New Roman"/>
          <w:sz w:val="18"/>
          <w:szCs w:val="18"/>
          <w:color w:val="auto"/>
        </w:rPr>
        <w:t>. Our technology and development expenses primarily consists of personnel costs, including salaries,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as well as professional services associated with the ongoing development and maintenance of our solution, software costs, facilities-related costs, and depreciation and amortization expense.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condensed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77"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Our general and administrative expenses primarily consists of personnel costs, including salaries, bonuses, and stock-based compensation, associated with our executive, finance, legal, human resources, compliance, and other administrative personnel, as well as accounting and legal professional services fees, facilities-related costs, depreciation expense, bad debt expense, and other corporate-related expenses.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92"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Interest expense primarily consists of interest expense associated with our 2024 Term Loan B Facility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2021 Term Loan B Facility (defined below) and Convertible Senior Notes (defined below), and their related amortization of debt issuance costs and debt discount. Interest income primarily consists of interest earned on our cash equivalents.</w:t>
      </w:r>
    </w:p>
    <w:p>
      <w:pPr>
        <w:spacing w:after="0" w:line="52"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Foreign Currency Exchange (Gain) Loss, Net</w:t>
      </w:r>
      <w:r>
        <w:rPr>
          <w:rFonts w:ascii="Times New Roman" w:cs="Times New Roman" w:eastAsia="Times New Roman" w:hAnsi="Times New Roman"/>
          <w:sz w:val="18"/>
          <w:szCs w:val="18"/>
          <w:color w:val="auto"/>
        </w:rPr>
        <w:t>. Foreign currency exchange (gain) loss, net consists of gains and losses on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and remeasurement of monetary assets and liabilities on our balance sheet denominated in foreign currencies. Foreign currency monetary assets and liabilities primarily consists of cash and cash equivalents, accounts receivable, accounts payable, and various intercompany balances held between our subsidiaries. Our primary foreign currency exposures are currencies other than the U.S. Dollar, principally the Australian Dollar, British Pound, Canadian Dollar, Euro, Japanese Yen, and New Zealand Dollar.</w:t>
      </w:r>
    </w:p>
    <w:p>
      <w:pPr>
        <w:spacing w:after="0" w:line="62"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Loss on Extinguishment of Debt. L</w:t>
      </w:r>
      <w:r>
        <w:rPr>
          <w:rFonts w:ascii="Times New Roman" w:cs="Times New Roman" w:eastAsia="Times New Roman" w:hAnsi="Times New Roman"/>
          <w:sz w:val="18"/>
          <w:szCs w:val="18"/>
          <w:color w:val="auto"/>
        </w:rPr>
        <w:t>oss on extinguishment of debt consists of losses associated with the refinancing of our debt facilities,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extinguishment of unamortized debt discount, debt issuance costs, and deferred financing costs.</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primarily consists of rental income from commercial office space we hold under lease and have sublet to other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0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income tax benefits, the applicability of special tax regimes, changes in foreign currency exchange rates, changes in our stock price, changes in our deferred tax assets ("DTAs") and liabilities and their valuation, changes in the laws, regulations, administrative practices, principles, and interpretations related to tax, including changes to the global tax framework, competition, and other laws and accounting rules in various jurisdictions.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results of operations: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2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0"/>
        </w:trPr>
        <w:tc>
          <w:tcPr>
            <w:tcW w:w="2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20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Change %</w:t>
            </w:r>
          </w:p>
        </w:tc>
        <w:tc>
          <w:tcPr>
            <w:tcW w:w="14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1260" w:type="dxa"/>
            <w:vAlign w:val="bottom"/>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Change %</w:t>
            </w:r>
          </w:p>
        </w:tc>
      </w:tr>
      <w:tr>
        <w:trPr>
          <w:trHeight w:val="196"/>
        </w:trPr>
        <w:tc>
          <w:tcPr>
            <w:tcW w:w="28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2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173,332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162,880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312,199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64,953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62,606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128,508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42,323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42,240</w:t>
            </w:r>
          </w:p>
        </w:tc>
        <w:tc>
          <w:tcPr>
            <w:tcW w:w="1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85,929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1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52,720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2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22,514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22,631</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46,452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49,296</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151,373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153,306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316,453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0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21,959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(4,254)</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0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241 %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(22,017)</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09"/>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11,139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20" w:type="dxa"/>
            <w:vAlign w:val="bottom"/>
          </w:tcPr>
          <w:p>
            <w:pPr>
              <w:spacing w:after="0"/>
              <w:rPr>
                <w:sz w:val="18"/>
                <w:szCs w:val="18"/>
                <w:color w:val="auto"/>
              </w:rPr>
            </w:pP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(18,835)</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
        </w:trPr>
        <w:tc>
          <w:tcPr>
            <w:tcW w:w="2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28" w:lineRule="exact"/>
        <w:rPr>
          <w:sz w:val="20"/>
          <w:szCs w:val="20"/>
          <w:color w:val="auto"/>
        </w:rPr>
      </w:pPr>
    </w:p>
    <w:p>
      <w:pPr>
        <w:ind w:right="100" w:firstLine="177"/>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condensed consolidated results of operations for the specified periods as a percentage of our revenue for those periods presented: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02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6"/>
                <w:szCs w:val="16"/>
                <w:color w:val="auto"/>
              </w:rPr>
            </w:pPr>
          </w:p>
        </w:tc>
      </w:tr>
      <w:tr>
        <w:trPr>
          <w:trHeight w:val="23"/>
        </w:trPr>
        <w:tc>
          <w:tcPr>
            <w:tcW w:w="46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0"/>
        </w:trPr>
        <w:tc>
          <w:tcPr>
            <w:tcW w:w="46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Borders>
              <w:bottom w:val="single" w:sz="8" w:color="auto"/>
            </w:tcBorders>
          </w:tcPr>
          <w:p>
            <w:pPr>
              <w:spacing w:after="0"/>
              <w:rPr>
                <w:sz w:val="16"/>
                <w:szCs w:val="16"/>
                <w:color w:val="auto"/>
              </w:rPr>
            </w:pPr>
          </w:p>
        </w:tc>
      </w:tr>
      <w:tr>
        <w:trPr>
          <w:trHeight w:val="229"/>
        </w:trPr>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4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Cost of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tcPr>
          <w:p>
            <w:pPr>
              <w:spacing w:after="0"/>
              <w:rPr>
                <w:sz w:val="20"/>
                <w:szCs w:val="20"/>
                <w:color w:val="auto"/>
              </w:rPr>
            </w:pPr>
          </w:p>
        </w:tc>
      </w:tr>
      <w:tr>
        <w:trPr>
          <w:trHeight w:val="246"/>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Sales and marketing</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shd w:val="clear" w:color="auto" w:fill="CCEEFF"/>
          </w:tcPr>
          <w:p>
            <w:pPr>
              <w:spacing w:after="0"/>
              <w:rPr>
                <w:sz w:val="21"/>
                <w:szCs w:val="21"/>
                <w:color w:val="auto"/>
              </w:rPr>
            </w:pPr>
          </w:p>
        </w:tc>
      </w:tr>
      <w:tr>
        <w:trPr>
          <w:trHeight w:val="240"/>
        </w:trPr>
        <w:tc>
          <w:tcPr>
            <w:tcW w:w="4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tcPr>
          <w:p>
            <w:pPr>
              <w:spacing w:after="0"/>
              <w:rPr>
                <w:sz w:val="20"/>
                <w:szCs w:val="20"/>
                <w:color w:val="auto"/>
              </w:rPr>
            </w:pPr>
          </w:p>
        </w:tc>
      </w:tr>
      <w:tr>
        <w:trPr>
          <w:trHeight w:val="219"/>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tcBorders>
              <w:bottom w:val="single" w:sz="8" w:color="auto"/>
            </w:tcBorders>
            <w:shd w:val="clear" w:color="auto" w:fill="CCEEFF"/>
          </w:tcPr>
          <w:p>
            <w:pPr>
              <w:spacing w:after="0"/>
              <w:rPr>
                <w:sz w:val="19"/>
                <w:szCs w:val="19"/>
                <w:color w:val="auto"/>
              </w:rPr>
            </w:pPr>
          </w:p>
        </w:tc>
      </w:tr>
      <w:tr>
        <w:trPr>
          <w:trHeight w:val="220"/>
        </w:trPr>
        <w:tc>
          <w:tcPr>
            <w:tcW w:w="46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Total expenses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80" w:type="dxa"/>
            <w:vAlign w:val="bottom"/>
            <w:tcBorders>
              <w:bottom w:val="single" w:sz="8" w:color="auto"/>
            </w:tcBorders>
          </w:tcPr>
          <w:p>
            <w:pPr>
              <w:spacing w:after="0"/>
              <w:rPr>
                <w:sz w:val="19"/>
                <w:szCs w:val="19"/>
                <w:color w:val="auto"/>
              </w:rPr>
            </w:pPr>
          </w:p>
        </w:tc>
      </w:tr>
      <w:tr>
        <w:trPr>
          <w:trHeight w:val="213"/>
        </w:trPr>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8"/>
                <w:szCs w:val="18"/>
                <w:color w:val="auto"/>
              </w:rPr>
            </w:pPr>
          </w:p>
        </w:tc>
      </w:tr>
      <w:tr>
        <w:trPr>
          <w:trHeight w:val="213"/>
        </w:trPr>
        <w:tc>
          <w:tcPr>
            <w:tcW w:w="46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expense, net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Borders>
              <w:bottom w:val="single" w:sz="8" w:color="auto"/>
            </w:tcBorders>
          </w:tcPr>
          <w:p>
            <w:pPr>
              <w:spacing w:after="0"/>
              <w:rPr>
                <w:sz w:val="18"/>
                <w:szCs w:val="18"/>
                <w:color w:val="auto"/>
              </w:rPr>
            </w:pPr>
          </w:p>
        </w:tc>
      </w:tr>
      <w:tr>
        <w:trPr>
          <w:trHeight w:val="212"/>
        </w:trPr>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shd w:val="clear" w:color="auto" w:fill="CCEEFF"/>
          </w:tcPr>
          <w:p>
            <w:pPr>
              <w:spacing w:after="0"/>
              <w:rPr>
                <w:sz w:val="18"/>
                <w:szCs w:val="18"/>
                <w:color w:val="auto"/>
              </w:rPr>
            </w:pPr>
          </w:p>
        </w:tc>
      </w:tr>
      <w:tr>
        <w:trPr>
          <w:trHeight w:val="213"/>
        </w:trPr>
        <w:tc>
          <w:tcPr>
            <w:tcW w:w="46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auto"/>
            </w:tcBorders>
          </w:tcPr>
          <w:p>
            <w:pPr>
              <w:spacing w:after="0"/>
              <w:rPr>
                <w:sz w:val="18"/>
                <w:szCs w:val="18"/>
                <w:color w:val="auto"/>
              </w:rPr>
            </w:pPr>
          </w:p>
        </w:tc>
      </w:tr>
      <w:tr>
        <w:trPr>
          <w:trHeight w:val="219"/>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r>
    </w:tbl>
    <w:p>
      <w:pPr>
        <w:jc w:val="center"/>
        <w:spacing w:after="0"/>
        <w:rPr>
          <w:sz w:val="20"/>
          <w:szCs w:val="20"/>
          <w:color w:val="auto"/>
        </w:rPr>
      </w:pPr>
      <w:r>
        <w:rPr>
          <w:rFonts w:ascii="Times New Roman" w:cs="Times New Roman" w:eastAsia="Times New Roman" w:hAnsi="Times New Roman"/>
          <w:sz w:val="16"/>
          <w:szCs w:val="16"/>
          <w:color w:val="auto"/>
        </w:rPr>
        <w:t>Note: Percentages may not sum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-107315</wp:posOffset>
            </wp:positionV>
            <wp:extent cx="41490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14909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June 30, 2025 and 2024</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Revenue increased $10.5 million, or 6%, for the three months ended June 30, 2025 compared to the prior year period. Our revenue growth was driven by growth in mobile and CTV revenue, which increased by $5.6 million, or 10%, and $4.6 million, or 6%, respectively. Revenue from desktop for the three months ended June 30, 2025 was relatively flat compared to the prior year period.</w:t>
      </w:r>
    </w:p>
    <w:p>
      <w:pPr>
        <w:spacing w:after="0" w:line="41"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Revenue increased $16.9 million, or 5%, for the six months ended June 30, 2025 compared to the prior year period. Our revenue growth was primarily driven by growth in mobile and CTV revenue, which increased by $10.1 million, or 9%, and $4.6 million, or 3%, respectively. In addition, revenue from desktop increased by $2.2 million or 5% for the six months ended June 30, 2025 compared to the prior year period.</w:t>
      </w:r>
    </w:p>
    <w:p>
      <w:pPr>
        <w:spacing w:after="0" w:line="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CTV revenue growth for the three and six months ended June 30, 2025 compared to the respective prior year periods was negatively impacted by a decline in the relative percentage of transactions reported on a gross basis, compared to on a net basis.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Transactions reported on a gross basis generally result in a higher revenue contribution with an associated increase in our traffic acquisition costs. See Key Operating and Financial Performance Metrics below for a discussion of Contribution ex-TAC, which presents a year-over-year comparison of our CTV growth, without considering the impact of traffic acquisition costs related to revenue reported on a gross basis.</w:t>
      </w:r>
    </w:p>
    <w:p>
      <w:pPr>
        <w:spacing w:after="0" w:line="4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subject to changes in publisher-specific take rates, and shifts in the mix of advertising spend on our platform among publishers and transaction types.</w:t>
      </w:r>
    </w:p>
    <w:p>
      <w:pPr>
        <w:spacing w:after="0" w:line="5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For the full year 2025, we believe our revenue will increase compared to the prior year period and we expect CTV and mobile to be our biggest growth drivers.</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9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Cost of revenue increased $2.3 million, or 4%, for the three months ended June 30, 2025 compared to the prior year period, primarily due to increases of $3.8 million in software costs and $2.6 million in cloud hosting, data center, and bandwidth expenses. The increases were partially offset by a decrease of $4.7 million in traffic acquisition costs due to a decrease in revenue reported on a gross basis.</w:t>
      </w:r>
    </w:p>
    <w:p>
      <w:pPr>
        <w:spacing w:after="0" w:line="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 decreased $0.8 million, or 1%, for the six months ended June 30, 2025 compared to the prior year period, primarily due to a decrease of $13.6 million in traffic acquisition costs due to a decrease in revenue reported on a gross basis. The decrease was partially offset by increases of $7.9 million in software costs, $2.9 million in personnel costs, and $2.1 million in depreciation and amortization primarily due to investments made to our on-prem data centers to support increasing volume of transactions processed on our platform.</w:t>
      </w:r>
    </w:p>
    <w:p>
      <w:pPr>
        <w:spacing w:after="0" w:line="58"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Cost of revenue may fluctuate from quarter to quarter and period to period, on an absolute dollar basis and as a percentage of revenue, depending on revenue levels and the volume of transactions we process supporting those revenues, whether transactions are reported on a gross or net basis, and the timing and amounts of depreciation and amortization of equipment and software.</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0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were relatively flat for the three months ended June 30, 2025 compared to the prior year period. An increase of $2.1 million in personnel costs was offset primarily by a decrease of $1.7 million in depreciation and amortization, which was driven by certain acquired intangible assets becoming fully amortized in 2025.</w:t>
      </w:r>
    </w:p>
    <w:p>
      <w:pPr>
        <w:spacing w:after="0" w:line="54"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$4.5 million, or 5%, for the six months ended June 30, 2025 compared to the prior year period primarily due to an increase of $5.7 million in personnel costs. This increase was partially offset by a decrease of $1.9 million in depreciation and amortization for the same reasons as above.</w:t>
      </w:r>
    </w:p>
    <w:p>
      <w:pPr>
        <w:spacing w:after="0" w:line="41"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may fluctuate quarter to quarter and period to period, on an absolute dollar basis and as a percentage of revenue, based on revenue levels, the timing of our investments and seasonality in our industry and business.</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Development</w:t>
      </w:r>
    </w:p>
    <w:p>
      <w:pPr>
        <w:spacing w:after="0" w:line="10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Technology and development expenses decreased $4.2 million, or 16%, for the three months ended June 30, 2025 compared to the prior year period, primarily due to decreases of $2.5 million in software costs and $1.4 million in personnel costs.</w:t>
      </w:r>
    </w:p>
    <w:p>
      <w:pPr>
        <w:spacing w:after="0" w:line="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Technology and development expenses decreased $8.8 million, or 17%, for the six months ended June 30, 2025 compared to the prior year period, primarily due to decreases of $4.3 million in software costs and $2.9 million in personnel costs.</w:t>
      </w:r>
    </w:p>
    <w:p>
      <w:pPr>
        <w:spacing w:after="0" w:line="4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internally-developed capitalized projects and the timing and amounts of future capitalized internally-developed software costs.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were relatively flat for the three months ended June 30, 2025 compared to the prior year period.</w:t>
      </w:r>
    </w:p>
    <w:p>
      <w:pPr>
        <w:spacing w:after="0" w:line="77"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decreased $2.8 million, or 6%, for the six months ended June 30, 2025 compared to the prior year period, primarily due to decreases of $2.2 million in refinancing expenses associated with our 2024 Term Loan B Facility (defined below) and $1.8 million in facilities-related costs.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68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0"/>
        </w:trPr>
        <w:tc>
          <w:tcPr>
            <w:tcW w:w="54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83"/>
        </w:trPr>
        <w:tc>
          <w:tcPr>
            <w:tcW w:w="5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4"/>
          </w:tcPr>
          <w:p>
            <w:pPr>
              <w:jc w:val="right"/>
              <w:ind w:right="93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4"/>
          </w:tcPr>
          <w:p>
            <w:pPr>
              <w:jc w:val="right"/>
              <w:ind w:right="933"/>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3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14,751</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w:t>
            </w:r>
          </w:p>
        </w:tc>
      </w:tr>
      <w:tr>
        <w:trPr>
          <w:trHeight w:val="22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17,763</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Interest expense, net decreased $1.7 million and $4.5 million for the three and six months ended June 30, 2025, respectively, compared to the prior year periods. The net decreases were primarily due to a decrease in interest expense as a result of the refinancing and repricing of our Term Loan B Facility (defined below).</w:t>
      </w:r>
    </w:p>
    <w:p>
      <w:pPr>
        <w:spacing w:after="0" w:line="4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Foreign exchange (gain) loss, net changed by $4.4 million and $9.0 million for the three and six months ended June 30, 2025 compared to the prior year periods, respectively, due to movements in foreign currency exchange rates and the amount of foreign currency-denominated cash, receivables, and payables, which were impacted by our billings to buyers, payments to sellers, and intercompany balances.</w:t>
      </w:r>
    </w:p>
    <w:p>
      <w:pPr>
        <w:spacing w:after="0" w:line="4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loss on extinguishment of debt of $2.2 million and $7.4 million for the six months ended June 30, 2025 and 2024, respectively, was due to the March 2025 repricing of our 2024 Term Loan B Facility (defined below) and the February 2024 refinancing of our prior 2021 Term Loan B Facility (defined below), which are further discussed below.</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0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recorded an income tax provision of $1.0 million and $0.1 million for the three and six months ended June 30, 2025, respectively, and an income tax provision of $4.6 million and a tax benefit of $3.2 million for the three and six months ended June 30, 2024, respectively. The tax provision for the three and six months ended June 30, 2025 was primarily the result of the Company's ability to recognize DTAs subject to the domestic valuation allowance and the federal, state, and foreign income tax provisions. The tax provision and benefit for the three and six months ended June 30, 2024, respectively, was primarily the result of the Company's ability to recognize DTAs subject to the domestic valuation allowance, and the foreign income tax provision. Given our current earnings and anticipated future earnings, we believe that there is a reasonable possibility that within the next twelve months, sufficient positive evidence may become available to allow us to reach a conclusion that all or a significant portion of the valuation allowance will no longer be needed. The exact timing and amount of the valuation allowance release are subject to change on the basis of the level of profitability that we are able to actually achieve.</w:t>
      </w:r>
    </w:p>
    <w:p>
      <w:pPr>
        <w:spacing w:after="0" w:line="5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July 4, 2025, the President of the United States signed H.R. 1, commonly referred to as the "One Big Beautiful Bill Act" ("OBBBA") into law. These changes were not reflected in the income tax provision for the three and six months ended June 30, 2025, as enactment occurred after the balance sheet date. We have evaluated the tax law as it relates to our financials and determined there is no material impact on the periods presented above. Based on current projections, the impact will be a deferral of the payment of current income taxes over multiple years; however, we expect the net impact to our effective tax rate for 2025 to be immaterial.</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Performance Metrics</w:t>
      </w:r>
    </w:p>
    <w:p>
      <w:pPr>
        <w:spacing w:after="0" w:line="10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to our GAAP results, we review non-GAAP financial measures, including Contribution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cost of revenue, and net income (loss) are discussed above under the headings "Components of Our Results of Operations" and "Results of Operations."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128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Three Months Ended</w:t>
      </w:r>
      <w:r>
        <w:rPr>
          <w:sz w:val="20"/>
          <w:szCs w:val="20"/>
          <w:color w:val="auto"/>
        </w:rPr>
        <w:tab/>
      </w: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33655</wp:posOffset>
            </wp:positionV>
            <wp:extent cx="48260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5" w:lineRule="exact"/>
        <w:rPr>
          <w:sz w:val="20"/>
          <w:szCs w:val="20"/>
          <w:color w:val="auto"/>
        </w:rPr>
      </w:pPr>
    </w:p>
    <w:p>
      <w:pPr>
        <w:ind w:left="3840"/>
        <w:spacing w:after="0"/>
        <w:tabs>
          <w:tab w:leader="none" w:pos="5140" w:val="left"/>
          <w:tab w:leader="none" w:pos="6520" w:val="left"/>
        </w:tabs>
        <w:rPr>
          <w:sz w:val="20"/>
          <w:szCs w:val="20"/>
          <w:color w:val="auto"/>
        </w:rPr>
      </w:pPr>
      <w:r>
        <w:rPr>
          <w:rFonts w:ascii="Times New Roman" w:cs="Times New Roman" w:eastAsia="Times New Roman" w:hAnsi="Times New Roman"/>
          <w:sz w:val="14"/>
          <w:szCs w:val="14"/>
          <w:b w:val="1"/>
          <w:bCs w:val="1"/>
          <w:color w:val="auto"/>
        </w:rPr>
        <w:t>June 30, 2025</w:t>
      </w:r>
      <w:r>
        <w:rPr>
          <w:sz w:val="20"/>
          <w:szCs w:val="20"/>
          <w:color w:val="auto"/>
        </w:rPr>
        <w:tab/>
      </w:r>
      <w:r>
        <w:rPr>
          <w:rFonts w:ascii="Times New Roman" w:cs="Times New Roman" w:eastAsia="Times New Roman" w:hAnsi="Times New Roman"/>
          <w:sz w:val="14"/>
          <w:szCs w:val="14"/>
          <w:b w:val="1"/>
          <w:bCs w:val="1"/>
          <w:color w:val="auto"/>
        </w:rPr>
        <w:t>June 30, 2024</w:t>
      </w:r>
      <w:r>
        <w:rPr>
          <w:sz w:val="20"/>
          <w:szCs w:val="20"/>
          <w:color w:val="auto"/>
        </w:rPr>
        <w:tab/>
      </w:r>
      <w:r>
        <w:rPr>
          <w:rFonts w:ascii="Times New Roman" w:cs="Times New Roman" w:eastAsia="Times New Roman" w:hAnsi="Times New Roman"/>
          <w:sz w:val="14"/>
          <w:szCs w:val="14"/>
          <w:b w:val="1"/>
          <w:bCs w:val="1"/>
          <w:color w:val="auto"/>
        </w:rPr>
        <w:t>Change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33655</wp:posOffset>
            </wp:positionV>
            <wp:extent cx="24085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3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1260" w:val="left"/>
          <w:tab w:leader="none" w:pos="2620" w:val="left"/>
        </w:tabs>
        <w:rPr>
          <w:sz w:val="20"/>
          <w:szCs w:val="20"/>
          <w:color w:val="auto"/>
        </w:rPr>
      </w:pPr>
      <w:r>
        <w:rPr>
          <w:rFonts w:ascii="Times New Roman" w:cs="Times New Roman" w:eastAsia="Times New Roman" w:hAnsi="Times New Roman"/>
          <w:sz w:val="14"/>
          <w:szCs w:val="14"/>
          <w:b w:val="1"/>
          <w:bCs w:val="1"/>
          <w:color w:val="auto"/>
        </w:rPr>
        <w:t>June 30, 2025</w:t>
      </w:r>
      <w:r>
        <w:rPr>
          <w:sz w:val="20"/>
          <w:szCs w:val="20"/>
          <w:color w:val="auto"/>
        </w:rPr>
        <w:tab/>
      </w:r>
      <w:r>
        <w:rPr>
          <w:rFonts w:ascii="Times New Roman" w:cs="Times New Roman" w:eastAsia="Times New Roman" w:hAnsi="Times New Roman"/>
          <w:sz w:val="14"/>
          <w:szCs w:val="14"/>
          <w:b w:val="1"/>
          <w:bCs w:val="1"/>
          <w:color w:val="auto"/>
        </w:rPr>
        <w:t>June 30, 2024</w:t>
      </w:r>
      <w:r>
        <w:rPr>
          <w:sz w:val="20"/>
          <w:szCs w:val="20"/>
          <w:color w:val="auto"/>
        </w:rPr>
        <w:tab/>
      </w:r>
      <w:r>
        <w:rPr>
          <w:rFonts w:ascii="Times New Roman" w:cs="Times New Roman" w:eastAsia="Times New Roman" w:hAnsi="Times New Roman"/>
          <w:sz w:val="14"/>
          <w:szCs w:val="14"/>
          <w:b w:val="1"/>
          <w:bCs w:val="1"/>
          <w:color w:val="auto"/>
        </w:rPr>
        <w:t>Change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33655</wp:posOffset>
            </wp:positionV>
            <wp:extent cx="23571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6" w:lineRule="exact"/>
        <w:rPr>
          <w:sz w:val="20"/>
          <w:szCs w:val="20"/>
          <w:color w:val="auto"/>
        </w:rPr>
      </w:pPr>
    </w:p>
    <w:p>
      <w:pPr>
        <w:sectPr>
          <w:pgSz w:w="11900" w:h="16838" w:orient="portrait"/>
          <w:cols w:equalWidth="0" w:num="2">
            <w:col w:w="7180" w:space="520"/>
            <w:col w:w="354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Financial Measures and non-GAAP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65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Measures: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173,332</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162,880</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6 %  $</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329,103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312,199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2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108,379</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100,274</w:t>
            </w:r>
          </w:p>
        </w:tc>
        <w:tc>
          <w:tcPr>
            <w:tcW w:w="1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8 %</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201,351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183,691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2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 ex-TAC</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161,956</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146,763</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307,804</w:t>
            </w:r>
          </w:p>
        </w:tc>
        <w:tc>
          <w:tcPr>
            <w:tcW w:w="380" w:type="dxa"/>
            <w:vAlign w:val="bottom"/>
          </w:tcPr>
          <w:p>
            <w:pPr>
              <w:spacing w:after="0"/>
              <w:rPr>
                <w:sz w:val="19"/>
                <w:szCs w:val="19"/>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277,316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2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(1,078)</w:t>
            </w:r>
          </w:p>
        </w:tc>
        <w:tc>
          <w:tcPr>
            <w:tcW w:w="1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NM</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1,505</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(18,835)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4"/>
        </w:trPr>
        <w:tc>
          <w:tcPr>
            <w:tcW w:w="2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54,391</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44,747</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22 %</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91,191</w:t>
            </w:r>
          </w:p>
        </w:tc>
        <w:tc>
          <w:tcPr>
            <w:tcW w:w="380" w:type="dxa"/>
            <w:vAlign w:val="bottom"/>
          </w:tcPr>
          <w:p>
            <w:pPr>
              <w:spacing w:after="0"/>
              <w:rPr>
                <w:sz w:val="20"/>
                <w:szCs w:val="20"/>
                <w:color w:val="auto"/>
              </w:rPr>
            </w:pPr>
          </w:p>
        </w:tc>
        <w:tc>
          <w:tcPr>
            <w:tcW w:w="12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69,773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Contribution ex-TAC</w:t>
      </w:r>
    </w:p>
    <w:p>
      <w:pPr>
        <w:spacing w:after="0" w:line="10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Contribution ex-TAC is calculated as gross profit plus cost of revenue excluding traffic acquisition cost ("TAC"). Traffic acquisition cost, a component of cost of revenue, represents what we must pay sellers for the sale of advertising inventory through our platform for revenue reported on a gross basis. Contribution ex-TAC is a non-GAAP financial measure that is most comparable to gross profit. Our management believes Contribution ex-TAC is a useful measure in facilitating a consistent comparison against our core business without considering the impact of traffic acquisition costs related to revenue reported on a gross basis.</w:t>
      </w:r>
    </w:p>
    <w:p>
      <w:pPr>
        <w:spacing w:after="0" w:line="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Contribution ex-TAC differently, which may make comparisons difficult. Because of these and other limitations, you should consider our non-GAAP measures only as supplemental to GAAP-based financial performance measures, including revenue, gross profit, net income (loss) and cash flows.</w:t>
      </w:r>
    </w:p>
    <w:p>
      <w:pPr>
        <w:spacing w:after="0" w:line="4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gross profit and reconciliation of gross profit to Contribution ex-TAC for the three and six months ended June 30, 2025 and 2024:</w:t>
      </w:r>
    </w:p>
    <w:p>
      <w:pPr>
        <w:spacing w:after="0" w:line="344" w:lineRule="exact"/>
        <w:rPr>
          <w:sz w:val="20"/>
          <w:szCs w:val="20"/>
          <w:color w:val="auto"/>
        </w:rPr>
      </w:pPr>
    </w:p>
    <w:p>
      <w:pPr>
        <w:ind w:left="4940"/>
        <w:spacing w:after="0"/>
        <w:tabs>
          <w:tab w:leader="none" w:pos="8800" w:val="left"/>
        </w:tabs>
        <w:rPr>
          <w:sz w:val="20"/>
          <w:szCs w:val="20"/>
          <w:color w:val="auto"/>
        </w:rPr>
      </w:pPr>
      <w:r>
        <w:rPr>
          <w:rFonts w:ascii="Times New Roman" w:cs="Times New Roman" w:eastAsia="Times New Roman" w:hAnsi="Times New Roman"/>
          <w:sz w:val="14"/>
          <w:szCs w:val="14"/>
          <w:b w:val="1"/>
          <w:bCs w:val="1"/>
          <w:color w:val="auto"/>
        </w:rPr>
        <w:t>Three Months Ended</w:t>
      </w:r>
      <w:r>
        <w:rPr>
          <w:sz w:val="20"/>
          <w:szCs w:val="20"/>
          <w:color w:val="auto"/>
        </w:rPr>
        <w:tab/>
      </w: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33655</wp:posOffset>
            </wp:positionV>
            <wp:extent cx="47574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574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69" w:lineRule="exact"/>
        <w:rPr>
          <w:sz w:val="20"/>
          <w:szCs w:val="20"/>
          <w:color w:val="auto"/>
        </w:rPr>
      </w:pPr>
    </w:p>
    <w:p>
      <w:pPr>
        <w:ind w:left="3940"/>
        <w:spacing w:after="0"/>
        <w:tabs>
          <w:tab w:leader="none" w:pos="5240" w:val="left"/>
          <w:tab w:leader="none" w:pos="6580" w:val="left"/>
        </w:tabs>
        <w:rPr>
          <w:sz w:val="20"/>
          <w:szCs w:val="20"/>
          <w:color w:val="auto"/>
        </w:rPr>
      </w:pPr>
      <w:r>
        <w:rPr>
          <w:rFonts w:ascii="Times New Roman" w:cs="Times New Roman" w:eastAsia="Times New Roman" w:hAnsi="Times New Roman"/>
          <w:sz w:val="14"/>
          <w:szCs w:val="14"/>
          <w:b w:val="1"/>
          <w:bCs w:val="1"/>
          <w:color w:val="auto"/>
        </w:rPr>
        <w:t>June 30, 2025</w:t>
      </w:r>
      <w:r>
        <w:rPr>
          <w:sz w:val="20"/>
          <w:szCs w:val="20"/>
          <w:color w:val="auto"/>
        </w:rPr>
        <w:tab/>
      </w:r>
      <w:r>
        <w:rPr>
          <w:rFonts w:ascii="Times New Roman" w:cs="Times New Roman" w:eastAsia="Times New Roman" w:hAnsi="Times New Roman"/>
          <w:sz w:val="14"/>
          <w:szCs w:val="14"/>
          <w:b w:val="1"/>
          <w:bCs w:val="1"/>
          <w:color w:val="auto"/>
        </w:rPr>
        <w:t>June 30, 2024</w:t>
      </w:r>
      <w:r>
        <w:rPr>
          <w:sz w:val="20"/>
          <w:szCs w:val="20"/>
          <w:color w:val="auto"/>
        </w:rPr>
        <w:tab/>
      </w:r>
      <w:r>
        <w:rPr>
          <w:rFonts w:ascii="Times New Roman" w:cs="Times New Roman" w:eastAsia="Times New Roman" w:hAnsi="Times New Roman"/>
          <w:sz w:val="14"/>
          <w:szCs w:val="14"/>
          <w:b w:val="1"/>
          <w:bCs w:val="1"/>
          <w:color w:val="auto"/>
        </w:rPr>
        <w:t>Change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33655</wp:posOffset>
            </wp:positionV>
            <wp:extent cx="23488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tabs>
          <w:tab w:leader="none" w:pos="1300" w:val="left"/>
          <w:tab w:leader="none" w:pos="2620" w:val="left"/>
        </w:tabs>
        <w:rPr>
          <w:sz w:val="20"/>
          <w:szCs w:val="20"/>
          <w:color w:val="auto"/>
        </w:rPr>
      </w:pPr>
      <w:r>
        <w:rPr>
          <w:rFonts w:ascii="Times New Roman" w:cs="Times New Roman" w:eastAsia="Times New Roman" w:hAnsi="Times New Roman"/>
          <w:sz w:val="14"/>
          <w:szCs w:val="14"/>
          <w:b w:val="1"/>
          <w:bCs w:val="1"/>
          <w:color w:val="auto"/>
        </w:rPr>
        <w:t>June 30, 2025</w:t>
      </w:r>
      <w:r>
        <w:rPr>
          <w:sz w:val="20"/>
          <w:szCs w:val="20"/>
          <w:color w:val="auto"/>
        </w:rPr>
        <w:tab/>
      </w:r>
      <w:r>
        <w:rPr>
          <w:rFonts w:ascii="Times New Roman" w:cs="Times New Roman" w:eastAsia="Times New Roman" w:hAnsi="Times New Roman"/>
          <w:sz w:val="14"/>
          <w:szCs w:val="14"/>
          <w:b w:val="1"/>
          <w:bCs w:val="1"/>
          <w:color w:val="auto"/>
        </w:rPr>
        <w:t>June 30, 2024</w:t>
      </w:r>
      <w:r>
        <w:rPr>
          <w:sz w:val="20"/>
          <w:szCs w:val="20"/>
          <w:color w:val="auto"/>
        </w:rPr>
        <w:tab/>
      </w:r>
      <w:r>
        <w:rPr>
          <w:rFonts w:ascii="Times New Roman" w:cs="Times New Roman" w:eastAsia="Times New Roman" w:hAnsi="Times New Roman"/>
          <w:sz w:val="14"/>
          <w:szCs w:val="14"/>
          <w:b w:val="1"/>
          <w:bCs w:val="1"/>
          <w:color w:val="auto"/>
        </w:rPr>
        <w:t>Change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33655</wp:posOffset>
            </wp:positionV>
            <wp:extent cx="23488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3" w:lineRule="exact"/>
        <w:rPr>
          <w:sz w:val="20"/>
          <w:szCs w:val="20"/>
          <w:color w:val="auto"/>
        </w:rPr>
      </w:pPr>
    </w:p>
    <w:p>
      <w:pPr>
        <w:sectPr>
          <w:pgSz w:w="11900" w:h="16838" w:orient="portrait"/>
          <w:cols w:equalWidth="0" w:num="2">
            <w:col w:w="7240" w:space="500"/>
            <w:col w:w="35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162,880</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6 %</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312,199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3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Cost of revenue</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62,606</w:t>
            </w:r>
          </w:p>
        </w:tc>
        <w:tc>
          <w:tcPr>
            <w:tcW w:w="124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128,508</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100,274</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8 %</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183,691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3"/>
        </w:trPr>
        <w:tc>
          <w:tcPr>
            <w:tcW w:w="3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Add back: Cost of revenue, excluding TAC</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46,489</w:t>
            </w:r>
          </w:p>
        </w:tc>
        <w:tc>
          <w:tcPr>
            <w:tcW w:w="124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15 %</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93,625</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ex-TAC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146,763</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10 %</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277,316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Sellers use our technology to monetize their content across all digital channels, including CTV, mobile, and desktop. We track the breakdown of Contribution ex-TAC across channels to better understand how our clients are transacting on our platform.</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Contribution ex-TAC by channel for the three and six months ended June 30, 2025 and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8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Contribution ex-TAC</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3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3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Borders>
              <w:bottom w:val="single" w:sz="8" w:color="auto"/>
            </w:tcBorders>
          </w:tcPr>
          <w:p>
            <w:pPr>
              <w:spacing w:after="0"/>
              <w:rPr>
                <w:sz w:val="16"/>
                <w:szCs w:val="16"/>
                <w:color w:val="auto"/>
              </w:rPr>
            </w:pPr>
          </w:p>
        </w:tc>
      </w:tr>
      <w:tr>
        <w:trPr>
          <w:trHeight w:val="196"/>
        </w:trPr>
        <w:tc>
          <w:tcPr>
            <w:tcW w:w="3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196"/>
        </w:trPr>
        <w:tc>
          <w:tcPr>
            <w:tcW w:w="3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gridSpan w:val="5"/>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7"/>
                <w:szCs w:val="17"/>
                <w:color w:val="auto"/>
              </w:rPr>
            </w:pPr>
          </w:p>
        </w:tc>
      </w:tr>
      <w:tr>
        <w:trPr>
          <w:trHeight w:val="23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CTV</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117,847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Mobile</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3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Desktop</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26,097</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48,457</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8"/>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161,956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277,316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Contribution ex-TAC increased $15.2 million, or 10%, for the three months ended June 30, 2025 compared to the prior year period. The increase in Contribution ex-TAC was primarily due to the growth in CTV and mobile.</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Contribution ex-TAC increased $30.5 million, or 11%, for the six months ended June 30, 2025 compared to the prior year period. The increase in Contribution ex-TAC was primarily due to the growth drivers described above.</w:t>
      </w:r>
    </w:p>
    <w:p>
      <w:pPr>
        <w:spacing w:after="0" w:line="27"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For the remainder of 2025, we expect Contribution ex-TAC will increase compared to the prior year period, and we expect CTV will be our biggest growth driver in 2025.</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9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(loss) adjusted to exclude stock-based compensation expense, depreciation and amortization, including amortization of acquired intangible assets, impairment charges, interest income or expense, provision (benefit) for income taxes, and certain cash and non-cash based income or expenses that we do not consider indicative of our core operating performance, including, but not limited to foreign exchange gains and losses, acquisition and related items, gains or losses on extinguishment of debt, other debt refinancing expenses, and non-operational real estate and other expenses (income), net. We believe Adjusted EBITDA is useful to investors in evaluating our performance for the following reasons:</w:t>
      </w:r>
    </w:p>
    <w:p>
      <w:pPr>
        <w:spacing w:after="0" w:line="62" w:lineRule="exact"/>
        <w:rPr>
          <w:sz w:val="20"/>
          <w:szCs w:val="20"/>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spacing w:after="0" w:line="54"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is also used as a metric for determining payment of cash incentive compensation.</w:t>
      </w:r>
    </w:p>
    <w:p>
      <w:pPr>
        <w:spacing w:after="0" w:line="40"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149"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41" w:lineRule="exact"/>
        <w:rPr>
          <w:sz w:val="20"/>
          <w:szCs w:val="20"/>
          <w:color w:val="auto"/>
        </w:rPr>
      </w:pPr>
    </w:p>
    <w:p>
      <w:pPr>
        <w:ind w:left="660" w:right="5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a non-cash charge and will remain an element of our long-term incentive compensation package, although we exclude it as an expense when evaluating our ongoing operating performance for a particular period.</w:t>
      </w:r>
    </w:p>
    <w:p>
      <w:pPr>
        <w:spacing w:after="0" w:line="4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are non-cash charges, and the assets being depreciated or amortized will often have to be replaced in the future, but Adjusted EBITDA does not reflect any cash requirements for these replacements.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are non-cash charges related to goodwill, intangible assets and/or long-lived assets.</w:t>
      </w:r>
    </w:p>
    <w:p>
      <w:pPr>
        <w:spacing w:after="0" w:line="90"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certain cash and non-cash charges related to acquisition and related items, such as amortization of acquired intangible assets, merger, acquisition, or restructuring related severance costs, certain transaction expenses, and changes in the fair value of contingent consideration.</w:t>
      </w:r>
    </w:p>
    <w:p>
      <w:pPr>
        <w:spacing w:after="0" w:line="54"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cash and non-cash charges related to interest income and interest expense and certain financing transactions such as gains or losses on extinguishment of debt or other debt refinancing expenses.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cash requirements for income taxes and the cash impact of other income or expense.</w:t>
      </w:r>
    </w:p>
    <w:p>
      <w:pPr>
        <w:spacing w:after="0" w:line="90"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certain non-operational real estate and other (income) and expense, net, which consists of transactions or expenses that are typically by nature non-operating, one-time items, or unrelated to our core operations.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our working capital needs, capital expenditures, or contractual commitments.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pacing w:after="0" w:line="185"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Our Adjusted EBITDA is influenced by fluctuations in our revenue, cost of revenue, and the timing and amounts of the cost of our operations. Adjusted EBITDA should not be considered as an alternative to net income (loss), income (loss) from operations, or any other measure of financial performance calculated and presented in accordance with GAAP.</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income (loss), the most comparable GAAP measure, to Adjusted EBITDA for the three and six months ended June 30, 2025 and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68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2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
        </w:trPr>
        <w:tc>
          <w:tcPr>
            <w:tcW w:w="5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r>
      <w:tr>
        <w:trPr>
          <w:trHeight w:val="196"/>
        </w:trPr>
        <w:tc>
          <w:tcPr>
            <w:tcW w:w="5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80" w:type="dxa"/>
            <w:vAlign w:val="bottom"/>
            <w:gridSpan w:val="4"/>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80" w:type="dxa"/>
            <w:vAlign w:val="bottom"/>
            <w:gridSpan w:val="4"/>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(18,835)</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 (deduct):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40,491</w:t>
            </w:r>
          </w:p>
        </w:tc>
      </w:tr>
      <w:tr>
        <w:trPr>
          <w:trHeight w:val="176"/>
        </w:trPr>
        <w:tc>
          <w:tcPr>
            <w:tcW w:w="54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Depreciation and amortization expense, excluding amortization of</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w:t>
            </w: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15,163</w:t>
            </w:r>
          </w:p>
        </w:tc>
      </w:tr>
      <w:tr>
        <w:trPr>
          <w:trHeight w:val="229"/>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14,751</w:t>
            </w: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r>
      <w:tr>
        <w:trPr>
          <w:trHeight w:val="229"/>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29"/>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r>
      <w:tr>
        <w:trPr>
          <w:trHeight w:val="230"/>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debt refinancing expense</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r>
      <w:tr>
        <w:trPr>
          <w:trHeight w:val="229"/>
        </w:trPr>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Non-operational real estate and other (income) expense, net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69,773</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Adjusted EBITDA increased by $9.6 million during the three months ended June 30, 2025 compared to the prior year period and increased by $21.4 million during the six months ended June 30, 2025 compared to the prior year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08"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As of June 30, 2025, we had cash and cash equivalents of $426.0 million, of which $67.8 million was held in foreign currency denominated cash accounts, and an aggregate gross principal amount of $567.3 million of indebtedness outstanding under our 2024 Term Loan B Facility (as defined below) and our Convertible Senior Notes (as defined below). In addition, we were party to a $175.0 million 2024 Revolving Credit Facility (as defined below), of which approximately $3.7 million was assigned to outstanding but undrawn letters of credit. See "Capital Resources" below for further information about our outstanding debt.</w:t>
      </w:r>
    </w:p>
    <w:p>
      <w:pPr>
        <w:spacing w:after="0" w:line="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principal cash requirements for the twelve-month period following this report primarily consists of personnel costs, contractual payment obligations, including office leases, cloud hosting, data center, and bandwidth expenses, capital expenditures, payment of interest, required principal payments on our Convertible Senior Notes, which mature in March 2026, and our 2024 Term Loan B Facility, cash outlays for income taxes, and cash requirements to fund working capital. In the longer term, we would expect to have similar cash requirements, excluding the one-time payment related to the maturity of our Convertible Senior Notes, with increases in absolute dollars associated with the continued growth of our business and expansion of operations. See "Contractual Obligations and Known Future Cash Requirements" for a further discussion of our known material contractual obligations.</w:t>
      </w:r>
    </w:p>
    <w:p>
      <w:pPr>
        <w:spacing w:after="0" w:line="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February 1, 2024, the Board of Directors approved a new repurchase plan (the "February 2024 Repurchase Plan"), which fully replaced the prior repurchase plan, pursuant to which we are authorized to repurchase common stock or Convertible Senior Notes, with an aggregate market value of up to $125.0 million, through February 1, 2026. During six months ended June 30, 2025, we repurchased 1,869,700 shares of the Company's common stock for an aggregate amount of $22.9 million. As of June 30, 2025, $87.5 million remains available under the February 2024 Repurchase Plan.</w:t>
      </w:r>
    </w:p>
    <w:p>
      <w:pPr>
        <w:spacing w:after="0" w:line="5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working capital needs and cash conversion cycle, which is influenced by seasonality and by the mix of terms among our buyers and sellers and which may be negatively impacted as a result of pandemics, inflationary, recessionary and other macroeconomic challenges, can have large fluctuations due to the timing of receipts from buyers and timing of disbursements to sellers. In addition, in the event a buyer defaults on payment, we may still be required to pay sellers for the inventory purchased. The impacts from changes in working capital and capital expenditures can significantly impact our cash flows and therefore, our liquidity during any period presented.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historically relied upon cash and cash equivalents, cash generated from operations, borrowings under credit facilities and issuance of debt for our liquidity needs. Our ability to meet our cash requirements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w:t>
      </w:r>
    </w:p>
    <w:p>
      <w:pPr>
        <w:spacing w:after="0" w:line="4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believe our existing cash and cash equivalents, cash generated from operating activities, and amounts available to borrow under our 2024 Revolving Credit Facility will be sufficient to meet our liquidity requirements for at least the next twelve months from the issuance of our financial statements. However, there are multiple factors that could impact our cash balances in the future, including the factors described above with respect to working capital and cash conversion cycles, as well as the duration and severity of events beyond our control, macroeconomic factors, and other factors set forth in Part I, Item 1A: "Risk Factors" of our Annual Report on Form 10-K for the year ended December 31, 2024.</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10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March 2021, we sold convertible senior notes ("Convertible Senior Notes") for gross proceeds of $400.0 million. The Convertible Senior Notes are senior, unsecured obligations with interest payable semi-annually in cash at a rate of 0.25% per annum in arrears on March 15 and September 15. The Convertible Senior Notes will mature on March 15, 2026, unless earlier converted, redeemed, or repurchased. The initial conversion rate is 15.6539 shares per $1,000 principal amount of notes, which represents an initial conversion price of approximately $63.88 per share of the Company’s common stock and is subject to adjustment as described in the Offering Memorandum. At June 30, 2025, the balance of the Convertible Senior Notes was $204.2 million, net of unamortized debt issuance costs of $0.8 million and is reflected as debt, current, net of debt issuance costs in the Company’s condensed balance sheet.</w:t>
      </w:r>
    </w:p>
    <w:p>
      <w:pPr>
        <w:spacing w:after="0" w:line="5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conjunction with the issuance of the Convertible Senior Notes, we entered into capped call transactions to reduce the Company's exposure to additional cash payments above principal balances in the event of a cash conversion of the Convertible Senior Notes. The Company may owe additional cash or shares to the holders of the Convertible Senior Notes upon early conversion if our stock price exceeds $91.260 per share, which is subject to certain adjustments.</w:t>
      </w:r>
    </w:p>
    <w:p>
      <w:pPr>
        <w:spacing w:after="0" w:line="58"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7"/>
          <w:szCs w:val="17"/>
          <w:color w:val="auto"/>
        </w:rPr>
        <w:t>On February 6, 2024, we entered into a credit agreement (the "2024 Credit Agreement") with Morgan Stanley Senior Funding, Inc. as our term loan administrative agent and Citibank, N.A. as our revolving facility administrative agent and collateral agent, and other lender parties thereto. The 2024 Credit Agreement provided for a $365.0 million seven-year senior secured term loan facility (the "2024 Term Loan B Facility") and a $175.0 million five-year senior secured revolving credit facility (the "2024 Revolving Credit Facility"). The proceeds from the 2024 Term Loan B Facility were used, among other things, to terminate and to repay in full the outstanding facilities under the prior credit agreement entered into in April 2021 (the "2021 Credit Agreement"), which included a term loan facility (the "2021 Term Loan B Facility") and a revolving facility (the "2021 Revolving Credit Facility").</w:t>
      </w:r>
    </w:p>
    <w:p>
      <w:pPr>
        <w:spacing w:after="0" w:line="5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September 18, 2024, we entered into Amendment No. 1 to the 2024 Credit Agreement ("Amendment No. 1"), which reduced the interest rate of the 2024 Term Loan B Facility by 75 basis points to Term SOFR plus a margin of 3.75% from the previous rate of Term SOFR plus a margin of 4.50%, and on March 18, 2025, we entered into Amendment No. 2 to the 2024 Credit Agreement ("Amendment No. 2"), which reduced the interest rate of the 2024 Term Loan B Facility by an additional 75 basis points to Term SOFR plus a margin of 3.00%. The remaining terms of the 2024 Term Loan B Facility and the 2024 Revolving Credit Facility were substantially unchanged by these amendments.</w:t>
      </w:r>
    </w:p>
    <w:p>
      <w:pPr>
        <w:spacing w:after="0" w:line="4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At June 30, 2025, the balance of the 2024 Term Loan B Facility was $352.2 million, net of unamortized debt discount and debt issuance costs of $10.1 million, and amounts available under the 2024 Revolving Credit Facility were $171.3 million, net of letters of credit outstanding in the amount of $3.7 million.</w:t>
      </w:r>
    </w:p>
    <w:p>
      <w:pPr>
        <w:spacing w:after="0" w:line="54"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may be diluted. If we raise additional financing by incurring indebtedness, we will be subject to increased fixed payment obligations and could also be subject to financial maintenance covenants, or restrictive covenants, such as limitations on our ability to incur additional debt, and other operating restrictions that could adversely impact our ability to conduct our business. Any future indebtedness we incur may result in terms that could be unfavorable to equity investors. An inability to raise additional capital could adversely affect our ability to achieve our business objectives.</w:t>
      </w:r>
    </w:p>
    <w:p>
      <w:pPr>
        <w:spacing w:after="0" w:line="6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cash and cash equivalents balance is affected by our results of operations, the timing of capital expenditures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by certain macroeconomic challenges, such as capital market disruptions and instability of financial institutions.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gridSpan w:val="4"/>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96"/>
        </w:trPr>
        <w:tc>
          <w:tcPr>
            <w:tcW w:w="7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7"/>
                <w:szCs w:val="17"/>
                <w:color w:val="auto"/>
              </w:rPr>
            </w:pPr>
          </w:p>
        </w:tc>
      </w:tr>
      <w:tr>
        <w:trPr>
          <w:trHeight w:val="23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29,156</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(22,556)</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Our cash flows from operating activities are primarily driven by revenue generated by our business, offset by the cash costs of operations, and are significantly influenced by the timing of and fluctuations in receipts from buyers and related payments to sellers. Our future cash flows will be diminished if we cannot increase our revenue levels and manage costs appropriately.</w:t>
      </w:r>
    </w:p>
    <w:p>
      <w:pPr>
        <w:spacing w:after="0" w:line="4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2025, net cash provided by operating activities was $21.1 million compared to $29.2 million for the six months ended June 30, 2024. Our operating activities included our net income of $1.5 million and non-cash adjustments of $78.7 million for the six months ended June 30, 2025 and net loss of $18.8 million offset by non-cash adjustments of $70.7 million for the six months ended June 30, 2024. Net changes in our working capital resulted in $59.1 million and $22.7 million of cash used in operating activities for the six months ended June 30, 2025 and June 30, 2024, respectively. The net changes in working capital for both periods presented are primarily due to the timing of cash receipts from buyers and the timing of payments to sellers.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Our primary investing activities have consisted of purchases of property and equipment, and capital expenditures in support of creating and enhancing our technology infrastructure. Purchases of property and equipment and investments in internal use software development may vary from period-to-period due to the timing of the expansion of our operations, changes to headcount, and the cycles of our internal use software development.</w:t>
      </w:r>
    </w:p>
    <w:p>
      <w:pPr>
        <w:spacing w:after="0" w:line="54"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and 2024, our investing activities used net cash of $33.3 million and $22.6 million, respectively. During the six months ended June 30, 2025 and 2024, we used cash for purchases of property and equipment of $26.9 million and $15.0 million, respectively, and used cash for investments in our internally developed software of $6.4 million and $7.5 million, respectively.</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financing activities consisted of our debt refinancing and repricing activities, and transactions related to our share repurchases and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w:t>
      </w:r>
    </w:p>
    <w:p>
      <w:pPr>
        <w:spacing w:after="0" w:line="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the six months ended June 30, 2025 and 2024, net cash used in financing activities was $47.4 million and $5.6 million, respectively. Cash outflows from financing activities for the six months ended June 30, 2025 primarily included $92.6 million of payments to certain 2024 Term Loan B Facility lenders related to our Amendment No. 2 repricing activity, $27.3 million for taxes paid related to net share settlement of stock-based awards, and $22.9 million of payments related to share repurchases. The outflows were partially offset by cash proceeds primarily consisting of $92.6 million from certain 2024 Term Loan B Facility lenders related to our Amendment No. 2 repricing activity, cash proceeds from the employee stock purchase plan of $2.1 million, and cash proceeds from stock options exercised of $1.7 million . In connection with Amendment No. 2, most lenders decided to roll their principal balance from the 2024 Term Loan B Facility over from Amendment No. 1 to Amendment No. 2, while some decided to cash out and reassign their loan balances. On March 18, 2025, $270.6 million of the Amendment No. 1 principal balance was rolled over as part of non-cash financing activities while the remaining lenders who were repaid and then had their loans reissued were included in the $92.6 million cash outflows and the $92.6 million cash proceeds mentioned above.</w:t>
      </w:r>
    </w:p>
    <w:p>
      <w:pPr>
        <w:spacing w:after="0" w:line="59"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Cash outflows from financing activities for the six months ended June 30, 2024 primarily included $351.0 million of payments related to paying off our 2021 Term Loan B Facility, $12.7 million for taxes paid related to net share settlement of stock-based awards, and $4.5 million of payments related to debt issuance costs for our 2024 Term Loan B Facility and 2024 Revolver Facility. The outflows were partially offset by cash proceeds of $361.4 million from the issuance of our 2024 Term Loan B Facility, net of debt discount, and cash proceeds from the employee stock purchase plan of $2.0 million.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Known Future Cash Requirements</w:t>
      </w:r>
    </w:p>
    <w:p>
      <w:pPr>
        <w:spacing w:after="0" w:line="9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principal commitments as of June 30, 2025 consist of obligations under our Convertible Senior Notes, 2024 Term Loan B Facility, 2024 Revolving Credit Facility, leases for our various office facilities, including our corporate headquarters in New York, New York and offices in Los Angeles, California, and operating lease agreements, including data centers, and cloud hosting services that expire at various times through 2033. In certain cases, the terms of the lease agreements provide for rental payments on a graduated basis.</w:t>
      </w:r>
    </w:p>
    <w:p>
      <w:pPr>
        <w:spacing w:after="0" w:line="58"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future lease obligations, payments of principal and interest under our debt agreements, and other future payments due under non-cancelable agreements at June 30, 2025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Remaining 2025</w:t>
            </w: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6"/>
                <w:szCs w:val="16"/>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56"/>
        </w:trPr>
        <w:tc>
          <w:tcPr>
            <w:tcW w:w="28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Lease liabilities associated with leases</w:t>
            </w: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75"/>
        </w:trPr>
        <w:tc>
          <w:tcPr>
            <w:tcW w:w="2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included in right-of-use lease assets as</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June 30, 2025</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71,174</w:t>
            </w:r>
          </w:p>
        </w:tc>
      </w:tr>
      <w:tr>
        <w:trPr>
          <w:trHeight w:val="175"/>
        </w:trPr>
        <w:tc>
          <w:tcPr>
            <w:tcW w:w="2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Obligations for leases not included in</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as of June 30, 2025</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11,784</w:t>
            </w: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205,067</w:t>
            </w: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Convertible Senior Notes</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29"/>
        </w:trPr>
        <w:tc>
          <w:tcPr>
            <w:tcW w:w="2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2024 Term Loan B Facility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362,269</w:t>
            </w:r>
          </w:p>
        </w:tc>
      </w:tr>
      <w:tr>
        <w:trPr>
          <w:trHeight w:val="230"/>
        </w:trPr>
        <w:tc>
          <w:tcPr>
            <w:tcW w:w="2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w w:val="98"/>
              </w:rPr>
              <w:t xml:space="preserve">Interest, 2024 Term Loan B Facility </w:t>
            </w:r>
            <w:r>
              <w:rPr>
                <w:rFonts w:ascii="Times New Roman" w:cs="Times New Roman" w:eastAsia="Times New Roman" w:hAnsi="Times New Roman"/>
                <w:sz w:val="23"/>
                <w:szCs w:val="23"/>
                <w:color w:val="auto"/>
                <w:w w:val="98"/>
                <w:vertAlign w:val="superscript"/>
              </w:rPr>
              <w:t>(2)</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146,948</w:t>
            </w:r>
          </w:p>
        </w:tc>
      </w:tr>
      <w:tr>
        <w:trPr>
          <w:trHeight w:val="175"/>
        </w:trPr>
        <w:tc>
          <w:tcPr>
            <w:tcW w:w="2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Contractual fees related to the 2024</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6"/>
        </w:trPr>
        <w:tc>
          <w:tcPr>
            <w:tcW w:w="2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Term Loan B Facility and the 2024</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28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Revolving Credit Facility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non-cancelable obligations</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248,294</w:t>
            </w:r>
          </w:p>
        </w:tc>
      </w:tr>
      <w:tr>
        <w:trPr>
          <w:trHeight w:val="24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81,621</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364,088</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117,934</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60,321</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41,938</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382,632</w:t>
            </w:r>
          </w:p>
        </w:tc>
        <w:tc>
          <w:tcPr>
            <w:tcW w:w="8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1,048,534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hanging="154"/>
        <w:spacing w:after="0" w:line="199" w:lineRule="auto"/>
        <w:tabs>
          <w:tab w:leader="none" w:pos="1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only customary scheduled loan amortization payments and excludes currently unknown prepayment amounts that may be required, per terms of the 2024 Credit Agreement.</w:t>
      </w:r>
    </w:p>
    <w:p>
      <w:pPr>
        <w:spacing w:after="0" w:line="30" w:lineRule="exact"/>
        <w:rPr>
          <w:rFonts w:ascii="Times New Roman" w:cs="Times New Roman" w:eastAsia="Times New Roman" w:hAnsi="Times New Roman"/>
          <w:sz w:val="19"/>
          <w:szCs w:val="19"/>
          <w:color w:val="auto"/>
          <w:vertAlign w:val="superscript"/>
        </w:rPr>
      </w:pPr>
    </w:p>
    <w:p>
      <w:pPr>
        <w:ind w:left="180" w:hanging="154"/>
        <w:spacing w:after="0" w:line="189" w:lineRule="auto"/>
        <w:tabs>
          <w:tab w:leader="none" w:pos="1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Interest payments are based on an assumed rate of 7.33%, which was the rate as of June 30, 2025 for the associated 2024 Term Loan B Facility.</w:t>
      </w:r>
    </w:p>
    <w:p>
      <w:pPr>
        <w:spacing w:after="0" w:line="30" w:lineRule="exact"/>
        <w:rPr>
          <w:rFonts w:ascii="Times New Roman" w:cs="Times New Roman" w:eastAsia="Times New Roman" w:hAnsi="Times New Roman"/>
          <w:sz w:val="19"/>
          <w:szCs w:val="19"/>
          <w:color w:val="auto"/>
          <w:vertAlign w:val="superscript"/>
        </w:rPr>
      </w:pPr>
    </w:p>
    <w:p>
      <w:pPr>
        <w:ind w:left="20" w:right="60" w:firstLine="6"/>
        <w:spacing w:after="0" w:line="213" w:lineRule="auto"/>
        <w:tabs>
          <w:tab w:leader="none" w:pos="165"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estimated fees based on current available amounts under our 2024 Revolving Credit Facility and using the current commitment rate as of June 30, 2025, fees based on outstanding but undrawn letters of credit as of June 30, 2025, and fees owed to our administrative agents for both facilities under the 2024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-446405</wp:posOffset>
            </wp:positionV>
            <wp:extent cx="53403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148"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Obligations for leases not included in the lease liabilities as of June 30, 2025 include commitments under agreements for office space and data centers that have not commenced as of June 30, 2025.</w:t>
      </w:r>
    </w:p>
    <w:p>
      <w:pPr>
        <w:spacing w:after="0" w:line="2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Payments associated with our Convertible Senior Notes, 2024 Term Loan B, and 2024 Revolving Credit Facility are based on contractual terms and intended timing of repayments of current and long-term debt and associated interest and required fees.</w:t>
      </w:r>
    </w:p>
    <w:p>
      <w:pPr>
        <w:spacing w:after="0" w:line="4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Other non-cancelable obligations above consist of agreements in the normal course of business that are in excess of one year as of June 30, 2025. The amounts above include commitments under a cloud-managed services agreement, under which we have a non-cancelable commitment from July 2025 to June 2028 containing minimum spend amounts for each twelve-month period (i.e. July 2025 to June 2026, July 2026 to June 2027, and July 2027 to June 2028) as well as an additional minimum spend amount over the entire three-year term. The table above approximates the manner in which we expect to fulfill the obligation.</w:t>
      </w:r>
    </w:p>
    <w:p>
      <w:pPr>
        <w:spacing w:after="0" w:line="50"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June 30, 2025.</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5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following assumptions and estimates have the greatest potential impact on our condensed consolidated financial statements: (i) the determination of revenue recognition as net versus gross in our revenue arrangements and (ii) the determination of amounts to capitalize and the estimated useful lives of internal-use software development costs. There have been no significant changes in our accounting policies or estimates from those disclosed in our audited consolidated financial statements and notes thereto for the year ended December 31, 2024 included in our Annual Report on Form 10-K.</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refer to Note 1 to our condensed consolidated financial statements included in this Quarterly Report on Form 10-Q.</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9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certain global macroeconomic challenges and market conditions.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0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funds, but may from time to time also include other money market instruments such as commercial paper or U.S. treasury bills, with original maturities of three months or less. Our investments may consist of repurchase agreements, U.S. government agency debt, and U.S. treasury debt. The primary objective of our investment activities is to preserve the value of our cash without significantly increasing risk. Because our cash, cash equivalents, and investments have a short maturity, our portfolio’s fair value is relatively insensitive to interest rate changes, however, interest income earned will vary as interest rates change.</w:t>
      </w:r>
    </w:p>
    <w:p>
      <w:pPr>
        <w:spacing w:after="0" w:line="4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do not have economic interest rate expense exposure on our Convertible Senior Notes due to their fixed interest rate nature. The amount paid upon redemption or maturity, before considering any potential additional amount owed due to increases in our underlying share price above the conversion price, is not based on changes in any interest rate index or underlying market interest rates. It is fixed at 100% of the principal amount of the Convertible Senior Notes plus unpaid interest. Since the Convertible Senior Notes bear a fixed interest rate, we are not exposed to interest rate risk on those notes, however, the fair value of those notes will change as market interest rates change.</w:t>
      </w:r>
    </w:p>
    <w:p>
      <w:pPr>
        <w:spacing w:after="0" w:line="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2024 Term Loan B Facility bears a floating rate of interest that resets periodically, subject to a 0% floor on that floating rate, according to the terms of the agreement (the "SOFR Floor"). Our financial results have been exposed to changes in the underlying base interest rate on that debt because the underlying base interest rate resets above the floor on such underlying interest rate. The fair value of the 2024 Term Loan B Facility may fluctuate when the underlying base interest rate fluctuates below the floor or when the rate of return demanded by our loan investors changes relative to when the loans were issued. As of June 30, 2025, the Company had no outstanding borrowings under the 2024 Revolving Credit Facility. Should the company borrow under the 2024 Revolving Credit Facility at any point in the future, any associated borrowings would have a floating underlying base rate of interest that would expose the Company to interest rate risk.</w:t>
      </w:r>
    </w:p>
    <w:p>
      <w:pPr>
        <w:spacing w:after="0" w:line="6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do not believe that an increase or decrease in interest rates of 100 basis points would have a material effect on our operating results or financial condition. The annualized impact to interest expense for each 100 basis points increase above the SOFR Floor on our 2024 Term Loan B Facility is approximately $3.6 million. The actual impact to our financial results of the same increase in interest rates is expected to be lower depending on the timing and magnitude of such rate changes relative to our SOFR Floor, and will be partially offset by higher interest income earned on our cash and cash equivalent balances over the same period. In future periods, we will continue to evaluate our investment opportunities and policy relative to our overall objectives.</w:t>
      </w:r>
    </w:p>
    <w:p>
      <w:pPr>
        <w:spacing w:after="0" w:line="5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With regard to all debt currently outstanding, the Company is potentially exposed to refinancing risk in the future, should the Company seek to refinance its debt or raise new debt. As such, the type, cost, and terms of any new debt potentially raised in the future may differ from that of our existing debt agreements.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9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As a U.S. based company that does business around the globe, we have foreign currency risks related to our revenue and expenses denominated in currencies other than the U.S. Dollar, principally the Australian Dollar, British Pound, Canadian Dollar, Euro, Japanese Yen, and New Zealand Dollar. Foreign exchange rate volatility is influenced by many factors that we cannot forecast with reliable accuracy. In the event our non-U.S. Dollar denominated revenue and expenses increase, or the volatility of the foreign currencies that we transact in increases, our operating results may be more greatly affected by fluctuations in the exchange rates of those foreign currencies. In addition,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 currency-denominated monetary assets and liabilities at June 30, 2025 and December 31, 2024, including intercompany balances, would result in a foreign currency loss of approximately $7.5 million and $10.8 million, respectively. At this time we do not, but we may in the future, enter into derivatives or other financial instruments in an attempt to hedge our foreign currency exchange risk.</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do not believe that cost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 This risk of cost inflation is distinct from the risk that inflation throughout the broader economy could lead to reduced ad spend and indirectly harm our business, financial condition, and results of operations. For a discussion of the indirect results of inflation on our business, see "Macroeconomic Developments."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8"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June 30, 2025, our disclosure controls and procedures were effective at the reasonable assurance level.</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94"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three months ended June 30, 2025 that have materially affected, or are reasonably likely to materially affect, our internal control over financial reporting.</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claims relating to our collection or use of data, regulatory investigations, audits by taxing authorities, or enforcement proceedings, and claims by persons whose employment has been terminated. For example, we have recently been subject to lawsuits alleging violation of various privacy statutes.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June 30, 2025. However, based on our knowledge as of June 30, 2025, we 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14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Refer to Note 10 to our condensed consolidated financial statements included in this Quarterly Report on Form 10-Q for additional information related to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We describe risks associated with our business in Part I, Item 1A: "Risk Factors" of our Annual Report on Form 10-K for the year ended December 31, 2024 and in Part II, Item 1A "Risk Factors" of our Quarterly Report on Form 10-Q for the period ended March 31, 2025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w:t>
      </w:r>
    </w:p>
    <w:p>
      <w:pPr>
        <w:spacing w:after="0" w:line="57" w:lineRule="exact"/>
        <w:rPr>
          <w:sz w:val="20"/>
          <w:szCs w:val="20"/>
          <w:color w:val="auto"/>
        </w:rPr>
      </w:pPr>
    </w:p>
    <w:p>
      <w:pPr>
        <w:ind w:right="340" w:firstLine="648"/>
        <w:spacing w:after="0" w:line="256" w:lineRule="auto"/>
        <w:rPr>
          <w:sz w:val="20"/>
          <w:szCs w:val="20"/>
          <w:color w:val="auto"/>
        </w:rPr>
      </w:pPr>
      <w:r>
        <w:rPr>
          <w:rFonts w:ascii="Times New Roman" w:cs="Times New Roman" w:eastAsia="Times New Roman" w:hAnsi="Times New Roman"/>
          <w:sz w:val="18"/>
          <w:szCs w:val="18"/>
          <w:color w:val="auto"/>
        </w:rPr>
        <w:t>There are no additional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In addition, the economic impact of macroeconomic challenges, such as inflation, global conflict, capital market disruptions and the instability of financial institutions, the risk of a recession, and other macroeconomic factors may amplify many of the risks described in our risk factors. Accordingly, you are advised to consider additional sources of information and exercise your own judgment in addition to the information we provide.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2" w:lineRule="exact"/>
        <w:rPr>
          <w:sz w:val="20"/>
          <w:szCs w:val="20"/>
          <w:color w:val="auto"/>
        </w:rPr>
      </w:pPr>
    </w:p>
    <w:p>
      <w:pPr>
        <w:ind w:left="180" w:right="7480" w:firstLine="476"/>
        <w:spacing w:after="0" w:line="394" w:lineRule="auto"/>
        <w:tabs>
          <w:tab w:leader="none" w:pos="903"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Recent Sales of Unregistered Securities </w:t>
      </w:r>
      <w:r>
        <w:rPr>
          <w:rFonts w:ascii="Times New Roman" w:cs="Times New Roman" w:eastAsia="Times New Roman" w:hAnsi="Times New Roman"/>
          <w:sz w:val="18"/>
          <w:szCs w:val="18"/>
          <w:color w:val="auto"/>
        </w:rPr>
        <w:t>None (except as previously disclosed).</w:t>
      </w:r>
    </w:p>
    <w:p>
      <w:pPr>
        <w:spacing w:after="0" w:line="22" w:lineRule="exact"/>
        <w:rPr>
          <w:rFonts w:ascii="Times New Roman" w:cs="Times New Roman" w:eastAsia="Times New Roman" w:hAnsi="Times New Roman"/>
          <w:sz w:val="18"/>
          <w:szCs w:val="18"/>
          <w:i w:val="1"/>
          <w:iCs w:val="1"/>
          <w:color w:val="auto"/>
        </w:rPr>
      </w:pPr>
    </w:p>
    <w:p>
      <w:pPr>
        <w:ind w:left="920" w:hanging="264"/>
        <w:spacing w:after="0"/>
        <w:tabs>
          <w:tab w:leader="none" w:pos="9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Use of Proceeds</w:t>
      </w:r>
    </w:p>
    <w:p>
      <w:pPr>
        <w:spacing w:after="0" w:line="1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 Purchases of Equity Securities by the Company and Affiliated Purchasers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repurchases during the quarter ended June 30, 2025 were as follows (in thousands, except per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0" w:type="dxa"/>
            <w:vAlign w:val="bottom"/>
          </w:tcPr>
          <w:p>
            <w:pPr>
              <w:spacing w:after="0"/>
              <w:rPr>
                <w:sz w:val="17"/>
                <w:szCs w:val="17"/>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17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60" w:type="dxa"/>
            <w:vAlign w:val="bottom"/>
          </w:tcPr>
          <w:p>
            <w:pPr>
              <w:spacing w:after="0"/>
              <w:rPr>
                <w:sz w:val="15"/>
                <w:szCs w:val="15"/>
                <w:color w:val="auto"/>
              </w:rPr>
            </w:pPr>
          </w:p>
        </w:tc>
        <w:tc>
          <w:tcPr>
            <w:tcW w:w="17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 Price per</w:t>
            </w: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 a</w:t>
            </w:r>
          </w:p>
        </w:tc>
        <w:tc>
          <w:tcPr>
            <w:tcW w:w="198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8"/>
              </w:rPr>
              <w:t>Value that May Yet be</w:t>
            </w:r>
          </w:p>
        </w:tc>
        <w:tc>
          <w:tcPr>
            <w:tcW w:w="0" w:type="dxa"/>
            <w:vAlign w:val="bottom"/>
          </w:tcPr>
          <w:p>
            <w:pPr>
              <w:spacing w:after="0"/>
              <w:rPr>
                <w:sz w:val="1"/>
                <w:szCs w:val="1"/>
                <w:color w:val="auto"/>
              </w:rPr>
            </w:pPr>
          </w:p>
        </w:tc>
      </w:tr>
      <w:tr>
        <w:trPr>
          <w:trHeight w:val="176"/>
        </w:trPr>
        <w:tc>
          <w:tcPr>
            <w:tcW w:w="3640" w:type="dxa"/>
            <w:vAlign w:val="bottom"/>
            <w:vMerge w:val="restart"/>
          </w:tcPr>
          <w:p>
            <w:pPr>
              <w:ind w:left="15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220" w:type="dxa"/>
            <w:vAlign w:val="bottom"/>
          </w:tcPr>
          <w:p>
            <w:pPr>
              <w:spacing w:after="0"/>
              <w:rPr>
                <w:sz w:val="15"/>
                <w:szCs w:val="15"/>
                <w:color w:val="auto"/>
              </w:rPr>
            </w:pPr>
          </w:p>
        </w:tc>
        <w:tc>
          <w:tcPr>
            <w:tcW w:w="17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Purchased Under the</w:t>
            </w:r>
          </w:p>
        </w:tc>
        <w:tc>
          <w:tcPr>
            <w:tcW w:w="0" w:type="dxa"/>
            <w:vAlign w:val="bottom"/>
          </w:tcPr>
          <w:p>
            <w:pPr>
              <w:spacing w:after="0"/>
              <w:rPr>
                <w:sz w:val="1"/>
                <w:szCs w:val="1"/>
                <w:color w:val="auto"/>
              </w:rPr>
            </w:pPr>
          </w:p>
        </w:tc>
      </w:tr>
      <w:tr>
        <w:trPr>
          <w:trHeight w:val="243"/>
        </w:trPr>
        <w:tc>
          <w:tcPr>
            <w:tcW w:w="3640" w:type="dxa"/>
            <w:vAlign w:val="bottom"/>
            <w:vMerge w:val="continue"/>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60" w:type="dxa"/>
            <w:vAlign w:val="bottom"/>
          </w:tcPr>
          <w:p>
            <w:pPr>
              <w:spacing w:after="0"/>
              <w:rPr>
                <w:sz w:val="21"/>
                <w:szCs w:val="21"/>
                <w:color w:val="auto"/>
              </w:rPr>
            </w:pPr>
          </w:p>
        </w:tc>
        <w:tc>
          <w:tcPr>
            <w:tcW w:w="17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220" w:type="dxa"/>
            <w:vAlign w:val="bottom"/>
          </w:tcPr>
          <w:p>
            <w:pPr>
              <w:spacing w:after="0"/>
              <w:rPr>
                <w:sz w:val="21"/>
                <w:szCs w:val="21"/>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April 1 - April 30, 2025</w:t>
            </w:r>
          </w:p>
        </w:tc>
        <w:tc>
          <w:tcPr>
            <w:tcW w:w="1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Equity withholding</w:t>
            </w:r>
            <w:r>
              <w:rPr>
                <w:rFonts w:ascii="Times New Roman" w:cs="Times New Roman" w:eastAsia="Times New Roman" w:hAnsi="Times New Roman"/>
                <w:sz w:val="23"/>
                <w:szCs w:val="23"/>
                <w:color w:val="auto"/>
                <w:vertAlign w:val="superscript"/>
              </w:rPr>
              <w:t>(1)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Repurchase program</w:t>
            </w:r>
            <w:r>
              <w:rPr>
                <w:rFonts w:ascii="Times New Roman" w:cs="Times New Roman" w:eastAsia="Times New Roman" w:hAnsi="Times New Roman"/>
                <w:sz w:val="23"/>
                <w:szCs w:val="23"/>
                <w:color w:val="auto"/>
                <w:vertAlign w:val="superscript"/>
              </w:rPr>
              <w:t>(2)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9.88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87,547</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May 1 - May 31, 2025</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Equity withholding</w:t>
            </w:r>
            <w:r>
              <w:rPr>
                <w:rFonts w:ascii="Times New Roman" w:cs="Times New Roman" w:eastAsia="Times New Roman" w:hAnsi="Times New Roman"/>
                <w:sz w:val="23"/>
                <w:szCs w:val="23"/>
                <w:color w:val="auto"/>
                <w:vertAlign w:val="superscript"/>
              </w:rPr>
              <w:t>(1)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15.88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Repurchase program</w:t>
            </w:r>
            <w:r>
              <w:rPr>
                <w:rFonts w:ascii="Times New Roman" w:cs="Times New Roman" w:eastAsia="Times New Roman" w:hAnsi="Times New Roman"/>
                <w:sz w:val="23"/>
                <w:szCs w:val="23"/>
                <w:color w:val="auto"/>
                <w:vertAlign w:val="superscript"/>
              </w:rPr>
              <w:t>(2)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87,547</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1 - June 30, 2025</w:t>
            </w:r>
          </w:p>
        </w:tc>
        <w:tc>
          <w:tcPr>
            <w:tcW w:w="1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Equity withholding</w:t>
            </w:r>
            <w:r>
              <w:rPr>
                <w:rFonts w:ascii="Times New Roman" w:cs="Times New Roman" w:eastAsia="Times New Roman" w:hAnsi="Times New Roman"/>
                <w:sz w:val="23"/>
                <w:szCs w:val="23"/>
                <w:color w:val="auto"/>
                <w:vertAlign w:val="superscript"/>
              </w:rPr>
              <w:t>(1)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Repurchase program</w:t>
            </w:r>
            <w:r>
              <w:rPr>
                <w:rFonts w:ascii="Times New Roman" w:cs="Times New Roman" w:eastAsia="Times New Roman" w:hAnsi="Times New Roman"/>
                <w:sz w:val="23"/>
                <w:szCs w:val="23"/>
                <w:color w:val="auto"/>
                <w:vertAlign w:val="superscript"/>
              </w:rPr>
              <w:t>(2)</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87,547</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60" w:firstLine="8"/>
        <w:spacing w:after="0" w:line="255" w:lineRule="auto"/>
        <w:tabs>
          <w:tab w:leader="none" w:pos="181"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Upon vesting of most restricted stock units or stock awards,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pacing w:after="0" w:line="66" w:lineRule="exact"/>
        <w:rPr>
          <w:rFonts w:ascii="Times New Roman" w:cs="Times New Roman" w:eastAsia="Times New Roman" w:hAnsi="Times New Roman"/>
          <w:sz w:val="22"/>
          <w:szCs w:val="22"/>
          <w:color w:val="auto"/>
          <w:vertAlign w:val="superscript"/>
        </w:rPr>
      </w:pPr>
    </w:p>
    <w:p>
      <w:pPr>
        <w:ind w:right="100" w:firstLine="8"/>
        <w:spacing w:after="0" w:line="280" w:lineRule="auto"/>
        <w:tabs>
          <w:tab w:leader="none" w:pos="165"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On February 1, 2024, our Board of Directors approved a share repurchase program (the "February 2024 Repurchase Plan") under which the Company is authorized to repurchase common stock or Convertible Senior Notes, with an aggregate market value of up to $125.0 million, through February 1, 2026. Shares repurchased under the February 2024 Repurchase Plan in the quarter ended June 30, 2025 have been subsequently retired, which was recorded as a reduction in additional paid in capital. The average price paid per share purchased under the February 2024 Repurchase Plan includes broker commission costs. As of June 30, 2025, $87.5 million remains available under the February 2024 Repurchase Plan.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Trading Plans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second quarter of 2025, the following trading plans were adopted or terminated by our Section 16 officers or directors: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Date Plan</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Shares to be Purchased or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Intended to</w:t>
            </w:r>
          </w:p>
        </w:tc>
        <w:tc>
          <w:tcPr>
            <w:tcW w:w="0" w:type="dxa"/>
            <w:vAlign w:val="bottom"/>
          </w:tcPr>
          <w:p>
            <w:pPr>
              <w:spacing w:after="0"/>
              <w:rPr>
                <w:sz w:val="1"/>
                <w:szCs w:val="1"/>
                <w:color w:val="auto"/>
              </w:rPr>
            </w:pPr>
          </w:p>
        </w:tc>
      </w:tr>
      <w:tr>
        <w:trPr>
          <w:trHeight w:val="184"/>
        </w:trPr>
        <w:tc>
          <w:tcPr>
            <w:tcW w:w="16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Officer Name</w:t>
            </w:r>
          </w:p>
        </w:tc>
        <w:tc>
          <w:tcPr>
            <w:tcW w:w="17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Officer Title</w:t>
            </w:r>
          </w:p>
        </w:tc>
        <w:tc>
          <w:tcPr>
            <w:tcW w:w="1920" w:type="dxa"/>
            <w:vAlign w:val="bottom"/>
            <w:gridSpan w:val="2"/>
            <w:vMerge w:val="continue"/>
          </w:tcPr>
          <w:p>
            <w:pPr>
              <w:spacing w:after="0"/>
              <w:rPr>
                <w:sz w:val="16"/>
                <w:szCs w:val="16"/>
                <w:color w:val="auto"/>
              </w:rPr>
            </w:pPr>
          </w:p>
        </w:tc>
        <w:tc>
          <w:tcPr>
            <w:tcW w:w="2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Duration of Plan</w:t>
            </w:r>
          </w:p>
        </w:tc>
        <w:tc>
          <w:tcPr>
            <w:tcW w:w="2500" w:type="dxa"/>
            <w:vAlign w:val="bottom"/>
            <w:gridSpan w:val="2"/>
            <w:vMerge w:val="continue"/>
          </w:tcPr>
          <w:p>
            <w:pPr>
              <w:spacing w:after="0"/>
              <w:rPr>
                <w:sz w:val="16"/>
                <w:szCs w:val="16"/>
                <w:color w:val="auto"/>
              </w:rPr>
            </w:pPr>
          </w:p>
        </w:tc>
        <w:tc>
          <w:tcPr>
            <w:tcW w:w="13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Satisfy Rule</w:t>
            </w:r>
          </w:p>
        </w:tc>
        <w:tc>
          <w:tcPr>
            <w:tcW w:w="0" w:type="dxa"/>
            <w:vAlign w:val="bottom"/>
          </w:tcPr>
          <w:p>
            <w:pPr>
              <w:spacing w:after="0"/>
              <w:rPr>
                <w:sz w:val="1"/>
                <w:szCs w:val="1"/>
                <w:color w:val="auto"/>
              </w:rPr>
            </w:pPr>
          </w:p>
        </w:tc>
      </w:tr>
      <w:tr>
        <w:trPr>
          <w:trHeight w:val="229"/>
        </w:trPr>
        <w:tc>
          <w:tcPr>
            <w:tcW w:w="1660" w:type="dxa"/>
            <w:vAlign w:val="bottom"/>
            <w:gridSpan w:val="2"/>
            <w:vMerge w:val="continue"/>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Adopted/Terminated</w:t>
            </w:r>
          </w:p>
        </w:tc>
        <w:tc>
          <w:tcPr>
            <w:tcW w:w="2120" w:type="dxa"/>
            <w:vAlign w:val="bottom"/>
            <w:gridSpan w:val="2"/>
            <w:vMerge w:val="continue"/>
          </w:tcPr>
          <w:p>
            <w:pPr>
              <w:spacing w:after="0"/>
              <w:rPr>
                <w:sz w:val="19"/>
                <w:szCs w:val="19"/>
                <w:color w:val="auto"/>
              </w:rPr>
            </w:pPr>
          </w:p>
        </w:tc>
        <w:tc>
          <w:tcPr>
            <w:tcW w:w="250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Sold</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10b5-1(c)?</w:t>
            </w:r>
          </w:p>
        </w:tc>
        <w:tc>
          <w:tcPr>
            <w:tcW w:w="0" w:type="dxa"/>
            <w:vAlign w:val="bottom"/>
          </w:tcPr>
          <w:p>
            <w:pPr>
              <w:spacing w:after="0"/>
              <w:rPr>
                <w:sz w:val="1"/>
                <w:szCs w:val="1"/>
                <w:color w:val="auto"/>
              </w:rPr>
            </w:pPr>
          </w:p>
        </w:tc>
      </w:tr>
      <w:tr>
        <w:trPr>
          <w:trHeight w:val="178"/>
        </w:trPr>
        <w:tc>
          <w:tcPr>
            <w:tcW w:w="1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September 2, 2025 -</w:t>
            </w:r>
          </w:p>
        </w:tc>
        <w:tc>
          <w:tcPr>
            <w:tcW w:w="100" w:type="dxa"/>
            <w:vAlign w:val="bottom"/>
            <w:tcBorders>
              <w:top w:val="single" w:sz="8" w:color="CCEEFF"/>
            </w:tcBorders>
            <w:shd w:val="clear" w:color="auto" w:fill="CCEEFF"/>
          </w:tcPr>
          <w:p>
            <w:pPr>
              <w:spacing w:after="0"/>
              <w:rPr>
                <w:sz w:val="15"/>
                <w:szCs w:val="15"/>
                <w:color w:val="auto"/>
              </w:rPr>
            </w:pPr>
          </w:p>
        </w:tc>
        <w:tc>
          <w:tcPr>
            <w:tcW w:w="240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Sell up to 53,594*, subject to</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 Soroca</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Product Officer</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Adopted May 28, 2025</w:t>
            </w:r>
          </w:p>
        </w:tc>
        <w:tc>
          <w:tcPr>
            <w:tcW w:w="2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November 28, 2025</w:t>
            </w: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conditions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Chief Accounting</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September 4, 2025 -</w:t>
            </w:r>
          </w:p>
        </w:tc>
        <w:tc>
          <w:tcPr>
            <w:tcW w:w="25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Sell up to 27,671, subject to</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Brian Gephart</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Adopted June 05, 2025</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May 15, 2026</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certain conditions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*Represents a combination of previously vested shares and gross amounts of shares that will vest over the duration of the plan (shares that will actually be sold under the plan are net of tax withholding).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4"/>
                <w:szCs w:val="24"/>
                <w:color w:val="auto"/>
              </w:rPr>
            </w:pPr>
          </w:p>
        </w:tc>
        <w:tc>
          <w:tcPr>
            <w:tcW w:w="88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7"/>
        </w:trPr>
        <w:tc>
          <w:tcPr>
            <w:tcW w:w="2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13a-14(a) and 15d-14(a), as adopted pursuant</w:t>
            </w: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13a-14(a) and 15d-14(a), as adopted pursuant</w:t>
            </w:r>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23"/>
                <w:szCs w:val="23"/>
                <w:color w:val="auto"/>
                <w:vertAlign w:val="superscript"/>
              </w:rPr>
              <w:t>(1)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and Principal Financial Officer Pursuant to 18 U.S.C. Section 1350, as</w:t>
            </w: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3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2"/>
            <w:shd w:val="clear" w:color="auto" w:fill="0000FF"/>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8"/>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 *</w:t>
            </w:r>
          </w:p>
        </w:tc>
        <w:tc>
          <w:tcPr>
            <w:tcW w:w="20" w:type="dxa"/>
            <w:vAlign w:val="bottom"/>
          </w:tcPr>
          <w:p>
            <w:pPr>
              <w:spacing w:after="0"/>
              <w:rPr>
                <w:sz w:val="20"/>
                <w:szCs w:val="20"/>
                <w:color w:val="auto"/>
              </w:rPr>
            </w:pPr>
          </w:p>
        </w:tc>
        <w:tc>
          <w:tcPr>
            <w:tcW w:w="8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 *</w:t>
            </w:r>
          </w:p>
        </w:tc>
        <w:tc>
          <w:tcPr>
            <w:tcW w:w="20" w:type="dxa"/>
            <w:vAlign w:val="bottom"/>
          </w:tcPr>
          <w:p>
            <w:pPr>
              <w:spacing w:after="0"/>
              <w:rPr>
                <w:sz w:val="19"/>
                <w:szCs w:val="19"/>
                <w:color w:val="auto"/>
              </w:rPr>
            </w:pPr>
          </w:p>
        </w:tc>
        <w:tc>
          <w:tcPr>
            <w:tcW w:w="8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Schema Linkbase Document</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 *</w:t>
            </w:r>
          </w:p>
        </w:tc>
        <w:tc>
          <w:tcPr>
            <w:tcW w:w="20" w:type="dxa"/>
            <w:vAlign w:val="bottom"/>
          </w:tcPr>
          <w:p>
            <w:pPr>
              <w:spacing w:after="0"/>
              <w:rPr>
                <w:sz w:val="19"/>
                <w:szCs w:val="19"/>
                <w:color w:val="auto"/>
              </w:rPr>
            </w:pPr>
          </w:p>
        </w:tc>
        <w:tc>
          <w:tcPr>
            <w:tcW w:w="8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 *</w:t>
            </w:r>
          </w:p>
        </w:tc>
        <w:tc>
          <w:tcPr>
            <w:tcW w:w="20" w:type="dxa"/>
            <w:vAlign w:val="bottom"/>
          </w:tcPr>
          <w:p>
            <w:pPr>
              <w:spacing w:after="0"/>
              <w:rPr>
                <w:sz w:val="19"/>
                <w:szCs w:val="19"/>
                <w:color w:val="auto"/>
              </w:rPr>
            </w:pPr>
          </w:p>
        </w:tc>
        <w:tc>
          <w:tcPr>
            <w:tcW w:w="8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 *</w:t>
            </w:r>
          </w:p>
        </w:tc>
        <w:tc>
          <w:tcPr>
            <w:tcW w:w="20" w:type="dxa"/>
            <w:vAlign w:val="bottom"/>
          </w:tcPr>
          <w:p>
            <w:pPr>
              <w:spacing w:after="0"/>
              <w:rPr>
                <w:sz w:val="19"/>
                <w:szCs w:val="19"/>
                <w:color w:val="auto"/>
              </w:rPr>
            </w:pPr>
          </w:p>
        </w:tc>
        <w:tc>
          <w:tcPr>
            <w:tcW w:w="8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0" w:type="dxa"/>
            <w:vAlign w:val="bottom"/>
          </w:tcPr>
          <w:p>
            <w:pPr>
              <w:spacing w:after="0"/>
              <w:rPr>
                <w:sz w:val="1"/>
                <w:szCs w:val="1"/>
                <w:color w:val="auto"/>
              </w:rPr>
            </w:pPr>
          </w:p>
        </w:tc>
      </w:tr>
      <w:tr>
        <w:trPr>
          <w:trHeight w:val="234"/>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 *</w:t>
            </w:r>
          </w:p>
        </w:tc>
        <w:tc>
          <w:tcPr>
            <w:tcW w:w="20" w:type="dxa"/>
            <w:vAlign w:val="bottom"/>
          </w:tcPr>
          <w:p>
            <w:pPr>
              <w:spacing w:after="0"/>
              <w:rPr>
                <w:sz w:val="20"/>
                <w:szCs w:val="20"/>
                <w:color w:val="auto"/>
              </w:rPr>
            </w:pPr>
          </w:p>
        </w:tc>
        <w:tc>
          <w:tcPr>
            <w:tcW w:w="8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0" w:type="dxa"/>
            <w:vAlign w:val="bottom"/>
          </w:tcPr>
          <w:p>
            <w:pPr>
              <w:spacing w:after="0"/>
              <w:rPr>
                <w:sz w:val="1"/>
                <w:szCs w:val="1"/>
                <w:color w:val="auto"/>
              </w:rPr>
            </w:pPr>
          </w:p>
        </w:tc>
      </w:tr>
      <w:tr>
        <w:trPr>
          <w:trHeight w:val="25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117" w:lineRule="exact"/>
        <w:rPr>
          <w:sz w:val="20"/>
          <w:szCs w:val="20"/>
          <w:color w:val="auto"/>
        </w:rPr>
      </w:pPr>
    </w:p>
    <w:p>
      <w:pPr>
        <w:ind w:right="60" w:firstLine="8"/>
        <w:spacing w:after="0" w:line="239" w:lineRule="auto"/>
        <w:tabs>
          <w:tab w:leader="none" w:pos="253"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MAGNITE, INC. (Registrant)</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34290</wp:posOffset>
            </wp:positionV>
            <wp:extent cx="3497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David Day</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 and Duly Authorized Officer)</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August 6, 2025</w:t>
      </w:r>
    </w:p>
    <w:p>
      <w:pPr>
        <w:sectPr>
          <w:pgSz w:w="11900" w:h="16838" w:orient="portrait"/>
          <w:cols w:equalWidth="0" w:num="1">
            <w:col w:w="10460"/>
          </w:cols>
          <w:pgMar w:left="320" w:top="121" w:right="1119" w:bottom="1440" w:gutter="0" w:footer="0" w:header="0"/>
        </w:sectPr>
      </w:pPr>
    </w:p>
    <w:bookmarkStart w:id="48" w:name="page49"/>
    <w:bookmarkEnd w:id="48"/>
    <w:p>
      <w:pPr>
        <w:ind w:left="992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Exchange Act Rules 13a-14(a) and 15d-14(a),</w:t>
      </w:r>
    </w:p>
    <w:p>
      <w:pPr>
        <w:spacing w:after="0" w:line="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Barrett, certify that:</w:t>
      </w:r>
    </w:p>
    <w:p>
      <w:pPr>
        <w:spacing w:after="0" w:line="275"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have reviewed this Quarterly Report on Form 10-Q of Magnite, Inc.;</w:t>
      </w:r>
    </w:p>
    <w:p>
      <w:pPr>
        <w:spacing w:after="0" w:line="252" w:lineRule="exact"/>
        <w:rPr>
          <w:rFonts w:ascii="Times New Roman" w:cs="Times New Roman" w:eastAsia="Times New Roman" w:hAnsi="Times New Roman"/>
          <w:sz w:val="18"/>
          <w:szCs w:val="18"/>
          <w:color w:val="auto"/>
        </w:rPr>
      </w:pPr>
    </w:p>
    <w:p>
      <w:pPr>
        <w:ind w:left="1300" w:right="40" w:hanging="644"/>
        <w:spacing w:after="0" w:line="268"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rFonts w:ascii="Times New Roman" w:cs="Times New Roman" w:eastAsia="Times New Roman" w:hAnsi="Times New Roman"/>
          <w:sz w:val="18"/>
          <w:szCs w:val="18"/>
          <w:color w:val="auto"/>
        </w:rPr>
      </w:pPr>
    </w:p>
    <w:p>
      <w:pPr>
        <w:ind w:left="1300" w:right="460" w:hanging="644"/>
        <w:spacing w:after="0" w:line="268"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Times New Roman" w:cs="Times New Roman" w:eastAsia="Times New Roman" w:hAnsi="Times New Roman"/>
          <w:sz w:val="18"/>
          <w:szCs w:val="18"/>
          <w:color w:val="auto"/>
        </w:rPr>
      </w:pPr>
    </w:p>
    <w:p>
      <w:pPr>
        <w:ind w:left="1300" w:right="100" w:hanging="644"/>
        <w:spacing w:after="0" w:line="25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3" w:lineRule="exact"/>
        <w:rPr>
          <w:rFonts w:ascii="Times New Roman" w:cs="Times New Roman" w:eastAsia="Times New Roman" w:hAnsi="Times New Roman"/>
          <w:sz w:val="18"/>
          <w:szCs w:val="18"/>
          <w:color w:val="auto"/>
        </w:rPr>
      </w:pPr>
    </w:p>
    <w:p>
      <w:pPr>
        <w:ind w:left="1800" w:right="320" w:hanging="496"/>
        <w:spacing w:after="0" w:line="281" w:lineRule="auto"/>
        <w:tabs>
          <w:tab w:leader="none" w:pos="1606"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6"/>
          <w:szCs w:val="16"/>
          <w:color w:val="auto"/>
        </w:rPr>
      </w:pPr>
    </w:p>
    <w:p>
      <w:pPr>
        <w:ind w:left="1800" w:right="520" w:hanging="496"/>
        <w:spacing w:after="0" w:line="272" w:lineRule="auto"/>
        <w:tabs>
          <w:tab w:leader="none" w:pos="1615"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4" w:lineRule="exact"/>
        <w:rPr>
          <w:rFonts w:ascii="Times New Roman" w:cs="Times New Roman" w:eastAsia="Times New Roman" w:hAnsi="Times New Roman"/>
          <w:sz w:val="16"/>
          <w:szCs w:val="16"/>
          <w:color w:val="auto"/>
        </w:rPr>
      </w:pPr>
    </w:p>
    <w:p>
      <w:pPr>
        <w:ind w:left="1800" w:hanging="496"/>
        <w:spacing w:after="0" w:line="298" w:lineRule="auto"/>
        <w:tabs>
          <w:tab w:leader="none" w:pos="1606"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1800" w:right="20" w:hanging="496"/>
        <w:spacing w:after="0" w:line="281" w:lineRule="auto"/>
        <w:tabs>
          <w:tab w:leader="none" w:pos="1615"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6"/>
          <w:szCs w:val="16"/>
          <w:color w:val="auto"/>
        </w:rPr>
      </w:pPr>
    </w:p>
    <w:p>
      <w:pPr>
        <w:ind w:left="1300" w:right="220" w:hanging="644"/>
        <w:spacing w:after="0" w:line="268"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1" w:lineRule="exact"/>
        <w:rPr>
          <w:rFonts w:ascii="Times New Roman" w:cs="Times New Roman" w:eastAsia="Times New Roman" w:hAnsi="Times New Roman"/>
          <w:sz w:val="18"/>
          <w:szCs w:val="18"/>
          <w:color w:val="auto"/>
        </w:rPr>
      </w:pPr>
    </w:p>
    <w:p>
      <w:pPr>
        <w:ind w:left="1800" w:right="300" w:hanging="496"/>
        <w:spacing w:after="0" w:line="298" w:lineRule="auto"/>
        <w:tabs>
          <w:tab w:leader="none" w:pos="1647"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4" w:lineRule="exact"/>
        <w:rPr>
          <w:rFonts w:ascii="Times New Roman" w:cs="Times New Roman" w:eastAsia="Times New Roman" w:hAnsi="Times New Roman"/>
          <w:sz w:val="16"/>
          <w:szCs w:val="16"/>
          <w:color w:val="auto"/>
        </w:rPr>
      </w:pPr>
    </w:p>
    <w:p>
      <w:pPr>
        <w:ind w:left="1800" w:right="220" w:hanging="456"/>
        <w:spacing w:after="0" w:line="298" w:lineRule="auto"/>
        <w:tabs>
          <w:tab w:leader="none" w:pos="1696" w:val="left"/>
        </w:tabs>
        <w:numPr>
          <w:ilvl w:val="2"/>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tbl>
      <w:tblPr>
        <w:tblLayout w:type="fixed"/>
        <w:tblInd w:w="1040" w:type="dxa"/>
        <w:tblCellMar>
          <w:top w:w="0" w:type="dxa"/>
          <w:left w:w="0" w:type="dxa"/>
          <w:bottom w:w="0" w:type="dxa"/>
          <w:right w:w="0" w:type="dxa"/>
        </w:tblCellMar>
      </w:tblPr>
      <w:tr>
        <w:trPr>
          <w:trHeight w:val="213"/>
        </w:trPr>
        <w:tc>
          <w:tcPr>
            <w:tcW w:w="566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Signature:</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Michael Barrett</w:t>
            </w:r>
          </w:p>
        </w:tc>
        <w:tc>
          <w:tcPr>
            <w:tcW w:w="0" w:type="dxa"/>
            <w:vAlign w:val="bottom"/>
          </w:tcPr>
          <w:p>
            <w:pPr>
              <w:spacing w:after="0"/>
              <w:rPr>
                <w:sz w:val="1"/>
                <w:szCs w:val="1"/>
                <w:color w:val="auto"/>
              </w:rPr>
            </w:pPr>
          </w:p>
        </w:tc>
      </w:tr>
      <w:tr>
        <w:trPr>
          <w:trHeight w:val="239"/>
        </w:trPr>
        <w:tc>
          <w:tcPr>
            <w:tcW w:w="5660" w:type="dxa"/>
            <w:vAlign w:val="bottom"/>
          </w:tcPr>
          <w:p>
            <w:pPr>
              <w:spacing w:after="0"/>
              <w:rPr>
                <w:sz w:val="20"/>
                <w:szCs w:val="20"/>
                <w:color w:val="auto"/>
              </w:rPr>
            </w:pPr>
          </w:p>
        </w:tc>
        <w:tc>
          <w:tcPr>
            <w:tcW w:w="35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Michael Barrett</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35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Chief Executive Officer</w:t>
            </w:r>
          </w:p>
        </w:tc>
        <w:tc>
          <w:tcPr>
            <w:tcW w:w="0" w:type="dxa"/>
            <w:vAlign w:val="bottom"/>
          </w:tcPr>
          <w:p>
            <w:pPr>
              <w:spacing w:after="0"/>
              <w:rPr>
                <w:sz w:val="1"/>
                <w:szCs w:val="1"/>
                <w:color w:val="auto"/>
              </w:rPr>
            </w:pPr>
          </w:p>
        </w:tc>
      </w:tr>
      <w:tr>
        <w:trPr>
          <w:trHeight w:val="210"/>
        </w:trPr>
        <w:tc>
          <w:tcPr>
            <w:tcW w:w="5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Date August 6, 2025</w:t>
            </w:r>
          </w:p>
        </w:tc>
        <w:tc>
          <w:tcPr>
            <w:tcW w:w="35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0" w:type="dxa"/>
            <w:vAlign w:val="bottom"/>
          </w:tcPr>
          <w:p>
            <w:pPr>
              <w:spacing w:after="0"/>
              <w:rPr>
                <w:sz w:val="1"/>
                <w:szCs w:val="1"/>
                <w:color w:val="auto"/>
              </w:rPr>
            </w:pPr>
          </w:p>
        </w:tc>
      </w:tr>
      <w:tr>
        <w:trPr>
          <w:trHeight w:val="54"/>
        </w:trPr>
        <w:tc>
          <w:tcPr>
            <w:tcW w:w="5660" w:type="dxa"/>
            <w:vAlign w:val="bottom"/>
            <w:vMerge w:val="continue"/>
          </w:tcPr>
          <w:p>
            <w:pPr>
              <w:spacing w:after="0"/>
              <w:rPr>
                <w:sz w:val="4"/>
                <w:szCs w:val="4"/>
                <w:color w:val="auto"/>
              </w:rPr>
            </w:pPr>
          </w:p>
        </w:tc>
        <w:tc>
          <w:tcPr>
            <w:tcW w:w="35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893" w:right="359" w:bottom="1440" w:gutter="0" w:footer="0" w:header="0"/>
        </w:sectPr>
      </w:pPr>
    </w:p>
    <w:bookmarkStart w:id="49" w:name="page50"/>
    <w:bookmarkEnd w:id="49"/>
    <w:p>
      <w:pPr>
        <w:ind w:left="958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spacing w:after="0" w:line="2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Exchange Act Rules 13a-14(a) and 15d-14(a),</w:t>
      </w:r>
    </w:p>
    <w:p>
      <w:pPr>
        <w:spacing w:after="0" w:line="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David Day, certify that:</w:t>
      </w:r>
    </w:p>
    <w:p>
      <w:pPr>
        <w:spacing w:after="0" w:line="275" w:lineRule="exact"/>
        <w:rPr>
          <w:sz w:val="20"/>
          <w:szCs w:val="20"/>
          <w:color w:val="auto"/>
        </w:rPr>
      </w:pPr>
    </w:p>
    <w:p>
      <w:pPr>
        <w:ind w:left="960" w:hanging="482"/>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have reviewed this Quarterly Report on Form 10-Q of Magnite, Inc.;</w:t>
      </w:r>
    </w:p>
    <w:p>
      <w:pPr>
        <w:spacing w:after="0" w:line="252" w:lineRule="exact"/>
        <w:rPr>
          <w:rFonts w:ascii="Times New Roman" w:cs="Times New Roman" w:eastAsia="Times New Roman" w:hAnsi="Times New Roman"/>
          <w:sz w:val="18"/>
          <w:szCs w:val="18"/>
          <w:color w:val="auto"/>
        </w:rPr>
      </w:pPr>
    </w:p>
    <w:p>
      <w:pPr>
        <w:ind w:left="960" w:right="40" w:hanging="482"/>
        <w:spacing w:after="0" w:line="268"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rFonts w:ascii="Times New Roman" w:cs="Times New Roman" w:eastAsia="Times New Roman" w:hAnsi="Times New Roman"/>
          <w:sz w:val="18"/>
          <w:szCs w:val="18"/>
          <w:color w:val="auto"/>
        </w:rPr>
      </w:pPr>
    </w:p>
    <w:p>
      <w:pPr>
        <w:ind w:left="960" w:right="460" w:hanging="482"/>
        <w:spacing w:after="0" w:line="268"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Times New Roman" w:cs="Times New Roman" w:eastAsia="Times New Roman" w:hAnsi="Times New Roman"/>
          <w:sz w:val="18"/>
          <w:szCs w:val="18"/>
          <w:color w:val="auto"/>
        </w:rPr>
      </w:pPr>
    </w:p>
    <w:p>
      <w:pPr>
        <w:ind w:left="960" w:right="100" w:hanging="482"/>
        <w:spacing w:after="0" w:line="256"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Times New Roman" w:cs="Times New Roman" w:eastAsia="Times New Roman" w:hAnsi="Times New Roman"/>
          <w:sz w:val="18"/>
          <w:szCs w:val="18"/>
          <w:color w:val="auto"/>
        </w:rPr>
      </w:pPr>
    </w:p>
    <w:p>
      <w:pPr>
        <w:ind w:left="1620" w:right="80" w:hanging="494"/>
        <w:spacing w:after="0" w:line="272" w:lineRule="auto"/>
        <w:tabs>
          <w:tab w:leader="none" w:pos="161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Times New Roman" w:cs="Times New Roman" w:eastAsia="Times New Roman" w:hAnsi="Times New Roman"/>
          <w:sz w:val="16"/>
          <w:szCs w:val="16"/>
          <w:color w:val="auto"/>
        </w:rPr>
      </w:pPr>
    </w:p>
    <w:p>
      <w:pPr>
        <w:ind w:left="1620" w:right="360" w:hanging="494"/>
        <w:spacing w:after="0" w:line="272" w:lineRule="auto"/>
        <w:tabs>
          <w:tab w:leader="none" w:pos="162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Times New Roman" w:cs="Times New Roman" w:eastAsia="Times New Roman" w:hAnsi="Times New Roman"/>
          <w:sz w:val="16"/>
          <w:szCs w:val="16"/>
          <w:color w:val="auto"/>
        </w:rPr>
      </w:pPr>
    </w:p>
    <w:p>
      <w:pPr>
        <w:jc w:val="both"/>
        <w:ind w:left="1620" w:right="540" w:hanging="494"/>
        <w:spacing w:after="0" w:line="280" w:lineRule="auto"/>
        <w:tabs>
          <w:tab w:leader="none" w:pos="161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1620" w:right="80" w:hanging="494"/>
        <w:spacing w:after="0" w:line="272" w:lineRule="auto"/>
        <w:tabs>
          <w:tab w:leader="none" w:pos="162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4" w:lineRule="exact"/>
        <w:rPr>
          <w:rFonts w:ascii="Times New Roman" w:cs="Times New Roman" w:eastAsia="Times New Roman" w:hAnsi="Times New Roman"/>
          <w:sz w:val="16"/>
          <w:szCs w:val="16"/>
          <w:color w:val="auto"/>
        </w:rPr>
      </w:pPr>
    </w:p>
    <w:p>
      <w:pPr>
        <w:ind w:left="960" w:right="360" w:hanging="482"/>
        <w:spacing w:after="0" w:line="298" w:lineRule="auto"/>
        <w:tabs>
          <w:tab w:leader="none" w:pos="81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6"/>
          <w:szCs w:val="16"/>
          <w:color w:val="auto"/>
        </w:rPr>
      </w:pPr>
    </w:p>
    <w:p>
      <w:pPr>
        <w:ind w:left="1620" w:hanging="494"/>
        <w:spacing w:after="0" w:line="280" w:lineRule="auto"/>
        <w:tabs>
          <w:tab w:leader="none" w:pos="161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1620" w:right="460" w:hanging="494"/>
        <w:spacing w:after="0" w:line="280" w:lineRule="auto"/>
        <w:tabs>
          <w:tab w:leader="none" w:pos="162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9" w:lineRule="exact"/>
        <w:rPr>
          <w:sz w:val="20"/>
          <w:szCs w:val="20"/>
          <w:color w:val="auto"/>
        </w:rPr>
      </w:pPr>
    </w:p>
    <w:tbl>
      <w:tblPr>
        <w:tblLayout w:type="fixed"/>
        <w:tblInd w:w="700" w:type="dxa"/>
        <w:tblCellMar>
          <w:top w:w="0" w:type="dxa"/>
          <w:left w:w="0" w:type="dxa"/>
          <w:bottom w:w="0" w:type="dxa"/>
          <w:right w:w="0" w:type="dxa"/>
        </w:tblCellMar>
      </w:tblPr>
      <w:tr>
        <w:trPr>
          <w:trHeight w:val="213"/>
        </w:trPr>
        <w:tc>
          <w:tcPr>
            <w:tcW w:w="566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Signature:</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David Day</w:t>
            </w:r>
          </w:p>
        </w:tc>
        <w:tc>
          <w:tcPr>
            <w:tcW w:w="0" w:type="dxa"/>
            <w:vAlign w:val="bottom"/>
          </w:tcPr>
          <w:p>
            <w:pPr>
              <w:spacing w:after="0"/>
              <w:rPr>
                <w:sz w:val="1"/>
                <w:szCs w:val="1"/>
                <w:color w:val="auto"/>
              </w:rPr>
            </w:pPr>
          </w:p>
        </w:tc>
      </w:tr>
      <w:tr>
        <w:trPr>
          <w:trHeight w:val="239"/>
        </w:trPr>
        <w:tc>
          <w:tcPr>
            <w:tcW w:w="5660" w:type="dxa"/>
            <w:vAlign w:val="bottom"/>
          </w:tcPr>
          <w:p>
            <w:pPr>
              <w:spacing w:after="0"/>
              <w:rPr>
                <w:sz w:val="20"/>
                <w:szCs w:val="20"/>
                <w:color w:val="auto"/>
              </w:rPr>
            </w:pPr>
          </w:p>
        </w:tc>
        <w:tc>
          <w:tcPr>
            <w:tcW w:w="35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David Day</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35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10"/>
        </w:trPr>
        <w:tc>
          <w:tcPr>
            <w:tcW w:w="5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Date August 6, 2025</w:t>
            </w:r>
          </w:p>
        </w:tc>
        <w:tc>
          <w:tcPr>
            <w:tcW w:w="35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0" w:type="dxa"/>
            <w:vAlign w:val="bottom"/>
          </w:tcPr>
          <w:p>
            <w:pPr>
              <w:spacing w:after="0"/>
              <w:rPr>
                <w:sz w:val="1"/>
                <w:szCs w:val="1"/>
                <w:color w:val="auto"/>
              </w:rPr>
            </w:pPr>
          </w:p>
        </w:tc>
      </w:tr>
      <w:tr>
        <w:trPr>
          <w:trHeight w:val="54"/>
        </w:trPr>
        <w:tc>
          <w:tcPr>
            <w:tcW w:w="5660" w:type="dxa"/>
            <w:vAlign w:val="bottom"/>
            <w:vMerge w:val="continue"/>
          </w:tcPr>
          <w:p>
            <w:pPr>
              <w:spacing w:after="0"/>
              <w:rPr>
                <w:sz w:val="4"/>
                <w:szCs w:val="4"/>
                <w:color w:val="auto"/>
              </w:rPr>
            </w:pPr>
          </w:p>
        </w:tc>
        <w:tc>
          <w:tcPr>
            <w:tcW w:w="35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660" w:top="893" w:right="359" w:bottom="1440" w:gutter="0" w:footer="0" w:header="0"/>
        </w:sectPr>
      </w:pPr>
    </w:p>
    <w:bookmarkStart w:id="50" w:name="page51"/>
    <w:bookmarkEnd w:id="50"/>
    <w:p>
      <w:pPr>
        <w:ind w:left="10040"/>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34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CERTIFICATIONS OF PRINCIPAL EXECUTIVE OFFICER AND PRINCIPAL FINANCIAL OFFICER PURSUANT TO 18 U.S.C.</w:t>
      </w:r>
    </w:p>
    <w:p>
      <w:pPr>
        <w:spacing w:after="0" w:line="10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SECTION 1350,</w:t>
      </w:r>
    </w:p>
    <w:p>
      <w:pPr>
        <w:spacing w:after="0" w:line="10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Section 906 of the Sarbanes-Oxley Act of 2002 (18 U.S.C. 1350), Michael Barrett, Chief Executive Officer (Principal Executive Officer) of Magnite,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and David Day, Chief Financial Officer (Principal Financial Officer) of the Company, each hereby certifies that, to the best of his knowledge:</w:t>
      </w:r>
    </w:p>
    <w:p>
      <w:pPr>
        <w:spacing w:after="0" w:line="370" w:lineRule="exact"/>
        <w:rPr>
          <w:sz w:val="20"/>
          <w:szCs w:val="20"/>
          <w:color w:val="auto"/>
        </w:rPr>
      </w:pPr>
    </w:p>
    <w:p>
      <w:pPr>
        <w:ind w:left="660" w:right="60" w:hanging="328"/>
        <w:spacing w:after="0" w:line="37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Quarterly Report on Form 10-Q for the quarter ended June 30, 2025, to which this certification is attached as Exhibit 32 (the "Report"), fully complies with the requirements of Section 13(a) or 15(d) of the Securities Exchange Act of 1934; and</w:t>
      </w: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August 6, 2025</w:t>
      </w:r>
    </w:p>
    <w:p>
      <w:pPr>
        <w:spacing w:after="0" w:line="32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20320</wp:posOffset>
            </wp:positionV>
            <wp:extent cx="23488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8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color w:val="auto"/>
        </w:rPr>
        <w:t>Michael Barrett</w:t>
      </w:r>
    </w:p>
    <w:p>
      <w:pPr>
        <w:spacing w:after="0" w:line="2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20320</wp:posOffset>
            </wp:positionV>
            <wp:extent cx="23488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6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color w:val="auto"/>
        </w:rPr>
        <w:t>David Day</w:t>
      </w:r>
    </w:p>
    <w:p>
      <w:pPr>
        <w:spacing w:after="0" w:line="2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0"/>
        <w:spacing w:after="0" w:line="404" w:lineRule="auto"/>
        <w:rPr>
          <w:sz w:val="20"/>
          <w:szCs w:val="20"/>
          <w:color w:val="auto"/>
        </w:rPr>
      </w:pPr>
      <w:r>
        <w:rPr>
          <w:rFonts w:ascii="Times New Roman" w:cs="Times New Roman" w:eastAsia="Times New Roman" w:hAnsi="Times New Roman"/>
          <w:sz w:val="16"/>
          <w:szCs w:val="16"/>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0760"/>
      </w:cols>
      <w:pgMar w:left="320" w:top="934"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212"/>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lowerRoman"/>
      <w:start w:val="3"/>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2025-08-06T15:28:46Z</dcterms:created>
  <dcterms:modified xsi:type="dcterms:W3CDTF">2025-08-06T15:28:46Z</dcterms:modified>
</cp:coreProperties>
</file>