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34"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MAGNITE,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w:t>
      </w:r>
    </w:p>
    <w:p>
      <w:pPr>
        <w:spacing w:after="0" w:line="126" w:lineRule="exact"/>
        <w:rPr>
          <w:sz w:val="24"/>
          <w:szCs w:val="24"/>
          <w:color w:val="auto"/>
        </w:rPr>
      </w:pPr>
    </w:p>
    <w:p>
      <w:pPr>
        <w:ind w:left="1860"/>
        <w:spacing w:after="0"/>
        <w:tabs>
          <w:tab w:leader="none" w:pos="85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20-8881738</w:t>
      </w:r>
    </w:p>
    <w:p>
      <w:pPr>
        <w:spacing w:after="0" w:line="11" w:lineRule="exact"/>
        <w:rPr>
          <w:sz w:val="24"/>
          <w:szCs w:val="24"/>
          <w:color w:val="auto"/>
        </w:rPr>
      </w:pPr>
    </w:p>
    <w:p>
      <w:pPr>
        <w:ind w:left="580"/>
        <w:spacing w:after="0"/>
        <w:tabs>
          <w:tab w:leader="none" w:pos="768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ind w:left="1760"/>
        <w:spacing w:after="0"/>
        <w:rPr>
          <w:sz w:val="20"/>
          <w:szCs w:val="20"/>
          <w:color w:val="auto"/>
        </w:rPr>
      </w:pPr>
      <w:r>
        <w:rPr>
          <w:rFonts w:ascii="Arial" w:cs="Arial" w:eastAsia="Arial" w:hAnsi="Arial"/>
          <w:sz w:val="18"/>
          <w:szCs w:val="18"/>
          <w:color w:val="auto"/>
        </w:rPr>
        <w:t>organization)</w:t>
      </w:r>
    </w:p>
    <w:p>
      <w:pPr>
        <w:spacing w:after="0" w:line="97" w:lineRule="exact"/>
        <w:rPr>
          <w:sz w:val="24"/>
          <w:szCs w:val="24"/>
          <w:color w:val="auto"/>
        </w:rPr>
      </w:pPr>
    </w:p>
    <w:p>
      <w:pPr>
        <w:ind w:left="1280"/>
        <w:spacing w:after="0"/>
        <w:tabs>
          <w:tab w:leader="none" w:pos="4520" w:val="left"/>
          <w:tab w:leader="none" w:pos="5840" w:val="left"/>
          <w:tab w:leader="none" w:pos="8860" w:val="left"/>
        </w:tabs>
        <w:rPr>
          <w:sz w:val="20"/>
          <w:szCs w:val="20"/>
          <w:color w:val="auto"/>
        </w:rPr>
      </w:pPr>
      <w:r>
        <w:rPr>
          <w:rFonts w:ascii="Arial" w:cs="Arial" w:eastAsia="Arial" w:hAnsi="Arial"/>
          <w:sz w:val="18"/>
          <w:szCs w:val="18"/>
          <w:b w:val="1"/>
          <w:bCs w:val="1"/>
          <w:color w:val="auto"/>
        </w:rPr>
        <w:t>12181 Bluff Creek Drive,</w:t>
      </w:r>
      <w:r>
        <w:rPr>
          <w:sz w:val="20"/>
          <w:szCs w:val="20"/>
          <w:color w:val="auto"/>
        </w:rPr>
        <w:tab/>
      </w:r>
      <w:r>
        <w:rPr>
          <w:rFonts w:ascii="Arial" w:cs="Arial" w:eastAsia="Arial" w:hAnsi="Arial"/>
          <w:sz w:val="18"/>
          <w:szCs w:val="18"/>
          <w:b w:val="1"/>
          <w:bCs w:val="1"/>
          <w:color w:val="auto"/>
        </w:rPr>
        <w:t>4th Floor</w:t>
      </w:r>
      <w:r>
        <w:rPr>
          <w:sz w:val="20"/>
          <w:szCs w:val="20"/>
          <w:color w:val="auto"/>
        </w:rPr>
        <w:tab/>
      </w:r>
      <w:r>
        <w:rPr>
          <w:rFonts w:ascii="Arial" w:cs="Arial" w:eastAsia="Arial" w:hAnsi="Arial"/>
          <w:sz w:val="18"/>
          <w:szCs w:val="18"/>
          <w:b w:val="1"/>
          <w:bCs w:val="1"/>
          <w:color w:val="auto"/>
        </w:rPr>
        <w:t>Los Angeles,</w:t>
      </w:r>
      <w:r>
        <w:rPr>
          <w:sz w:val="20"/>
          <w:szCs w:val="20"/>
          <w:color w:val="auto"/>
        </w:rPr>
        <w:tab/>
      </w:r>
      <w:r>
        <w:rPr>
          <w:rFonts w:ascii="Arial" w:cs="Arial" w:eastAsia="Arial" w:hAnsi="Arial"/>
          <w:sz w:val="18"/>
          <w:szCs w:val="18"/>
          <w:b w:val="1"/>
          <w:bCs w:val="1"/>
          <w:color w:val="auto"/>
        </w:rPr>
        <w:t>CA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90094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5640" w:hanging="430"/>
        <w:spacing w:after="0"/>
        <w:tabs>
          <w:tab w:leader="none" w:pos="5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207-0272</w:t>
      </w:r>
    </w:p>
    <w:p>
      <w:pPr>
        <w:spacing w:after="0" w:line="98" w:lineRule="exact"/>
        <w:rPr>
          <w:rFonts w:ascii="Arial" w:cs="Arial" w:eastAsia="Arial" w:hAnsi="Arial"/>
          <w:sz w:val="18"/>
          <w:szCs w:val="18"/>
          <w:b w:val="1"/>
          <w:bCs w:val="1"/>
          <w:color w:val="auto"/>
        </w:rPr>
      </w:pPr>
    </w:p>
    <w:p>
      <w:pPr>
        <w:ind w:left="5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p>
      <w:pPr>
        <w:ind w:left="1400"/>
        <w:spacing w:after="0"/>
        <w:tabs>
          <w:tab w:leader="none" w:pos="4420" w:val="left"/>
          <w:tab w:leader="none" w:pos="70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23" w:lineRule="exact"/>
        <w:rPr>
          <w:sz w:val="24"/>
          <w:szCs w:val="24"/>
          <w:color w:val="auto"/>
        </w:rPr>
      </w:pPr>
    </w:p>
    <w:p>
      <w:pPr>
        <w:ind w:left="320"/>
        <w:spacing w:after="0"/>
        <w:tabs>
          <w:tab w:leader="none" w:pos="4840" w:val="left"/>
          <w:tab w:leader="none" w:pos="7540" w:val="left"/>
        </w:tabs>
        <w:rPr>
          <w:sz w:val="20"/>
          <w:szCs w:val="20"/>
          <w:color w:val="auto"/>
        </w:rPr>
      </w:pPr>
      <w:r>
        <w:rPr>
          <w:rFonts w:ascii="Arial" w:cs="Arial" w:eastAsia="Arial" w:hAnsi="Arial"/>
          <w:sz w:val="18"/>
          <w:szCs w:val="18"/>
          <w:b w:val="1"/>
          <w:bCs w:val="1"/>
          <w:color w:val="auto"/>
        </w:rPr>
        <w:t>Common stock, par value $0.00001 per share</w:t>
      </w:r>
      <w:r>
        <w:rPr>
          <w:sz w:val="20"/>
          <w:szCs w:val="20"/>
          <w:color w:val="auto"/>
        </w:rPr>
        <w:tab/>
      </w:r>
      <w:r>
        <w:rPr>
          <w:rFonts w:ascii="Arial" w:cs="Arial" w:eastAsia="Arial" w:hAnsi="Arial"/>
          <w:sz w:val="18"/>
          <w:szCs w:val="18"/>
          <w:b w:val="1"/>
          <w:bCs w:val="1"/>
          <w:color w:val="auto"/>
        </w:rPr>
        <w:t>MGNI</w:t>
      </w:r>
      <w:r>
        <w:rPr>
          <w:sz w:val="20"/>
          <w:szCs w:val="20"/>
          <w:color w:val="auto"/>
        </w:rPr>
        <w:tab/>
      </w:r>
      <w:r>
        <w:rPr>
          <w:rFonts w:ascii="Arial" w:cs="Arial" w:eastAsia="Arial" w:hAnsi="Arial"/>
          <w:sz w:val="16"/>
          <w:szCs w:val="16"/>
          <w:b w:val="1"/>
          <w:bCs w:val="1"/>
          <w:color w:val="auto"/>
        </w:rPr>
        <w:t>Nasdaq Global Select Market</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62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21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registrant's classes of common stock, as of the latest practicable date.</w:t>
      </w:r>
    </w:p>
    <w:p>
      <w:pPr>
        <w:spacing w:after="0" w:line="108" w:lineRule="exact"/>
        <w:rPr>
          <w:sz w:val="24"/>
          <w:szCs w:val="24"/>
          <w:color w:val="auto"/>
        </w:rPr>
      </w:pPr>
    </w:p>
    <w:p>
      <w:pPr>
        <w:ind w:left="3340"/>
        <w:spacing w:after="0"/>
        <w:tabs>
          <w:tab w:leader="none" w:pos="6440" w:val="left"/>
        </w:tabs>
        <w:rPr>
          <w:sz w:val="20"/>
          <w:szCs w:val="20"/>
          <w:color w:val="auto"/>
        </w:rPr>
      </w:pPr>
      <w:r>
        <w:rPr>
          <w:rFonts w:ascii="Arial" w:cs="Arial" w:eastAsia="Arial" w:hAnsi="Arial"/>
          <w:sz w:val="16"/>
          <w:szCs w:val="16"/>
          <w:b w:val="1"/>
          <w:bCs w:val="1"/>
          <w:color w:val="auto"/>
        </w:rPr>
        <w:t>Class</w:t>
      </w:r>
      <w:r>
        <w:rPr>
          <w:sz w:val="20"/>
          <w:szCs w:val="20"/>
          <w:color w:val="auto"/>
        </w:rPr>
        <w:tab/>
      </w:r>
      <w:r>
        <w:rPr>
          <w:rFonts w:ascii="Arial" w:cs="Arial" w:eastAsia="Arial" w:hAnsi="Arial"/>
          <w:sz w:val="16"/>
          <w:szCs w:val="16"/>
          <w:b w:val="1"/>
          <w:bCs w:val="1"/>
          <w:color w:val="auto"/>
        </w:rPr>
        <w:t>Outstanding as of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20320</wp:posOffset>
            </wp:positionV>
            <wp:extent cx="5246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41" w:lineRule="exact"/>
        <w:rPr>
          <w:sz w:val="24"/>
          <w:szCs w:val="24"/>
          <w:color w:val="auto"/>
        </w:rPr>
      </w:pPr>
    </w:p>
    <w:p>
      <w:pPr>
        <w:ind w:left="2160"/>
        <w:spacing w:after="0"/>
        <w:tabs>
          <w:tab w:leader="none" w:pos="7260" w:val="left"/>
        </w:tabs>
        <w:rPr>
          <w:sz w:val="20"/>
          <w:szCs w:val="20"/>
          <w:color w:val="auto"/>
        </w:rPr>
      </w:pPr>
      <w:r>
        <w:rPr>
          <w:rFonts w:ascii="Arial" w:cs="Arial" w:eastAsia="Arial" w:hAnsi="Arial"/>
          <w:sz w:val="18"/>
          <w:szCs w:val="18"/>
          <w:b w:val="1"/>
          <w:bCs w:val="1"/>
          <w:color w:val="auto"/>
        </w:rPr>
        <w:t>Common Stock, $0.00001 par value</w:t>
      </w:r>
      <w:r>
        <w:rPr>
          <w:sz w:val="20"/>
          <w:szCs w:val="20"/>
          <w:color w:val="auto"/>
        </w:rPr>
        <w:tab/>
      </w:r>
      <w:r>
        <w:rPr>
          <w:rFonts w:ascii="Arial" w:cs="Arial" w:eastAsia="Arial" w:hAnsi="Arial"/>
          <w:sz w:val="15"/>
          <w:szCs w:val="15"/>
          <w:b w:val="1"/>
          <w:bCs w:val="1"/>
          <w:color w:val="auto"/>
        </w:rPr>
        <w:t>111,958,965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 No.</w:t>
            </w:r>
          </w:p>
        </w:tc>
      </w:tr>
      <w:tr>
        <w:trPr>
          <w:trHeight w:val="222"/>
        </w:trPr>
        <w:tc>
          <w:tcPr>
            <w:tcW w:w="1120" w:type="dxa"/>
            <w:vAlign w:val="bottom"/>
          </w:tcPr>
          <w:p>
            <w:pPr>
              <w:ind w:left="120"/>
              <w:spacing w:after="0"/>
              <w:rPr>
                <w:sz w:val="20"/>
                <w:szCs w:val="20"/>
                <w:color w:val="auto"/>
              </w:rPr>
            </w:pPr>
            <w:r>
              <w:rPr>
                <w:rFonts w:ascii="Arial" w:cs="Arial" w:eastAsia="Arial" w:hAnsi="Arial"/>
                <w:sz w:val="18"/>
                <w:szCs w:val="18"/>
                <w:color w:val="auto"/>
              </w:rPr>
              <w:t>Part I.</w:t>
            </w:r>
          </w:p>
        </w:tc>
        <w:tc>
          <w:tcPr>
            <w:tcW w:w="9160" w:type="dxa"/>
            <w:vAlign w:val="bottom"/>
            <w:gridSpan w:val="8"/>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86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4</w:t>
              </w:r>
            </w:hyperlink>
          </w:p>
        </w:tc>
        <w:tc>
          <w:tcPr>
            <w:tcW w:w="100" w:type="dxa"/>
            <w:vAlign w:val="bottom"/>
          </w:tcPr>
          <w:p>
            <w:pPr>
              <w:spacing w:after="0"/>
              <w:rPr>
                <w:sz w:val="19"/>
                <w:szCs w:val="19"/>
                <w:color w:val="auto"/>
              </w:rPr>
            </w:pPr>
          </w:p>
        </w:tc>
      </w:tr>
      <w:tr>
        <w:trPr>
          <w:trHeight w:val="230"/>
        </w:trPr>
        <w:tc>
          <w:tcPr>
            <w:tcW w:w="1120" w:type="dxa"/>
            <w:vAlign w:val="bottom"/>
          </w:tcPr>
          <w:p>
            <w:pPr>
              <w:ind w:left="120"/>
              <w:spacing w:after="0"/>
              <w:rPr>
                <w:sz w:val="20"/>
                <w:szCs w:val="20"/>
                <w:color w:val="auto"/>
              </w:rPr>
            </w:pPr>
            <w:r>
              <w:rPr>
                <w:rFonts w:ascii="Arial" w:cs="Arial" w:eastAsia="Arial" w:hAnsi="Arial"/>
                <w:sz w:val="18"/>
                <w:szCs w:val="18"/>
                <w:color w:val="auto"/>
              </w:rPr>
              <w:t>Item 1.</w:t>
            </w:r>
          </w:p>
        </w:tc>
        <w:tc>
          <w:tcPr>
            <w:tcW w:w="9160" w:type="dxa"/>
            <w:vAlign w:val="bottom"/>
            <w:gridSpan w:val="8"/>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100" w:type="dxa"/>
            <w:vAlign w:val="bottom"/>
          </w:tcPr>
          <w:p>
            <w:pPr>
              <w:spacing w:after="0"/>
              <w:rPr>
                <w:sz w:val="19"/>
                <w:szCs w:val="19"/>
                <w:color w:val="auto"/>
              </w:rPr>
            </w:pPr>
          </w:p>
        </w:tc>
      </w:tr>
      <w:tr>
        <w:trPr>
          <w:trHeight w:val="229"/>
        </w:trPr>
        <w:tc>
          <w:tcPr>
            <w:tcW w:w="1120" w:type="dxa"/>
            <w:vAlign w:val="bottom"/>
          </w:tcPr>
          <w:p>
            <w:pPr>
              <w:spacing w:after="0"/>
              <w:rPr>
                <w:sz w:val="19"/>
                <w:szCs w:val="19"/>
                <w:color w:val="auto"/>
              </w:rPr>
            </w:pPr>
          </w:p>
        </w:tc>
        <w:tc>
          <w:tcPr>
            <w:tcW w:w="916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Balance Sheets as of September</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December 31, 2019</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100" w:type="dxa"/>
            <w:vAlign w:val="bottom"/>
          </w:tcPr>
          <w:p>
            <w:pPr>
              <w:spacing w:after="0"/>
              <w:rPr>
                <w:sz w:val="19"/>
                <w:szCs w:val="19"/>
                <w:color w:val="auto"/>
              </w:rPr>
            </w:pPr>
          </w:p>
        </w:tc>
      </w:tr>
      <w:tr>
        <w:trPr>
          <w:trHeight w:val="190"/>
        </w:trPr>
        <w:tc>
          <w:tcPr>
            <w:tcW w:w="1120" w:type="dxa"/>
            <w:vAlign w:val="bottom"/>
          </w:tcPr>
          <w:p>
            <w:pPr>
              <w:spacing w:after="0"/>
              <w:rPr>
                <w:sz w:val="16"/>
                <w:szCs w:val="16"/>
                <w:color w:val="auto"/>
              </w:rPr>
            </w:pPr>
          </w:p>
        </w:tc>
        <w:tc>
          <w:tcPr>
            <w:tcW w:w="9160" w:type="dxa"/>
            <w:vAlign w:val="bottom"/>
            <w:gridSpan w:val="8"/>
          </w:tcPr>
          <w:p>
            <w:pPr>
              <w:spacing w:after="0" w:line="190" w:lineRule="exact"/>
              <w:rPr>
                <w:rFonts w:ascii="Arial" w:cs="Arial" w:eastAsia="Arial" w:hAnsi="Arial"/>
                <w:sz w:val="18"/>
                <w:szCs w:val="18"/>
                <w:color w:val="0000FF"/>
                <w:w w:val="90"/>
              </w:rPr>
            </w:pPr>
            <w:hyperlink w:anchor="page3">
              <w:r>
                <w:rPr>
                  <w:rFonts w:ascii="Arial" w:cs="Arial" w:eastAsia="Arial" w:hAnsi="Arial"/>
                  <w:sz w:val="18"/>
                  <w:szCs w:val="18"/>
                  <w:u w:val="single" w:color="auto"/>
                  <w:color w:val="0000FF"/>
                  <w:w w:val="90"/>
                </w:rPr>
                <w:t>Condensed Consolidated Statements of Operations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 30, 2020 and September</w:t>
              </w:r>
            </w:hyperlink>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5000" w:type="dxa"/>
            <w:vAlign w:val="bottom"/>
          </w:tcPr>
          <w:p>
            <w:pPr>
              <w:spacing w:after="0" w:line="195"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30, 2019</w:t>
              </w:r>
            </w:hyperlink>
          </w:p>
        </w:tc>
        <w:tc>
          <w:tcPr>
            <w:tcW w:w="7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60" w:type="dxa"/>
            <w:vAlign w:val="bottom"/>
          </w:tcPr>
          <w:p>
            <w:pPr>
              <w:jc w:val="center"/>
              <w:spacing w:after="0" w:line="195" w:lineRule="exact"/>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5</w:t>
              </w:r>
            </w:hyperlink>
          </w:p>
        </w:tc>
        <w:tc>
          <w:tcPr>
            <w:tcW w:w="100" w:type="dxa"/>
            <w:vAlign w:val="bottom"/>
          </w:tcPr>
          <w:p>
            <w:pPr>
              <w:spacing w:after="0"/>
              <w:rPr>
                <w:sz w:val="16"/>
                <w:szCs w:val="16"/>
                <w:color w:val="auto"/>
              </w:rPr>
            </w:pPr>
          </w:p>
        </w:tc>
      </w:tr>
      <w:tr>
        <w:trPr>
          <w:trHeight w:val="190"/>
        </w:trPr>
        <w:tc>
          <w:tcPr>
            <w:tcW w:w="1120" w:type="dxa"/>
            <w:vAlign w:val="bottom"/>
          </w:tcPr>
          <w:p>
            <w:pPr>
              <w:spacing w:after="0"/>
              <w:rPr>
                <w:sz w:val="16"/>
                <w:szCs w:val="16"/>
                <w:color w:val="auto"/>
              </w:rPr>
            </w:pPr>
          </w:p>
        </w:tc>
        <w:tc>
          <w:tcPr>
            <w:tcW w:w="9160" w:type="dxa"/>
            <w:vAlign w:val="bottom"/>
            <w:gridSpan w:val="8"/>
          </w:tcPr>
          <w:p>
            <w:pPr>
              <w:spacing w:after="0" w:line="190" w:lineRule="exact"/>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Condensed Consolidated Statements of Comprehensive Loss for the Three and</w:t>
              </w:r>
              <w:r>
                <w:rPr>
                  <w:rFonts w:ascii="Arial" w:cs="Arial" w:eastAsia="Arial" w:hAnsi="Arial"/>
                  <w:sz w:val="18"/>
                  <w:szCs w:val="18"/>
                  <w:color w:val="0000FF"/>
                  <w:w w:val="91"/>
                </w:rPr>
                <w:t xml:space="preserve"> Nine Months Ended </w:t>
              </w:r>
              <w:r>
                <w:rPr>
                  <w:rFonts w:ascii="Arial" w:cs="Arial" w:eastAsia="Arial" w:hAnsi="Arial"/>
                  <w:sz w:val="18"/>
                  <w:szCs w:val="18"/>
                  <w:u w:val="single" w:color="auto"/>
                  <w:color w:val="0000FF"/>
                  <w:w w:val="91"/>
                </w:rPr>
                <w:t>September 30, 2020 and</w:t>
              </w:r>
            </w:hyperlink>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5720" w:type="dxa"/>
            <w:vAlign w:val="bottom"/>
            <w:gridSpan w:val="3"/>
          </w:tcPr>
          <w:p>
            <w:pPr>
              <w:spacing w:after="0" w:line="195"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September 30, 2019</w:t>
              </w:r>
            </w:hyperlink>
          </w:p>
        </w:tc>
        <w:tc>
          <w:tcPr>
            <w:tcW w:w="60" w:type="dxa"/>
            <w:vAlign w:val="bottom"/>
            <w:tcBorders>
              <w:top w:val="single" w:sz="8" w:color="0000FF"/>
            </w:tcBorders>
          </w:tcPr>
          <w:p>
            <w:pPr>
              <w:spacing w:after="0"/>
              <w:rPr>
                <w:sz w:val="16"/>
                <w:szCs w:val="16"/>
                <w:color w:val="auto"/>
              </w:rPr>
            </w:pPr>
          </w:p>
        </w:tc>
        <w:tc>
          <w:tcPr>
            <w:tcW w:w="1440" w:type="dxa"/>
            <w:vAlign w:val="bottom"/>
            <w:tcBorders>
              <w:top w:val="single" w:sz="8" w:color="0000FF"/>
            </w:tcBorders>
            <w:gridSpan w:val="2"/>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60" w:type="dxa"/>
            <w:vAlign w:val="bottom"/>
          </w:tcPr>
          <w:p>
            <w:pPr>
              <w:jc w:val="center"/>
              <w:spacing w:after="0" w:line="195" w:lineRule="exact"/>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6</w:t>
              </w:r>
            </w:hyperlink>
          </w:p>
        </w:tc>
        <w:tc>
          <w:tcPr>
            <w:tcW w:w="100" w:type="dxa"/>
            <w:vAlign w:val="bottom"/>
          </w:tcPr>
          <w:p>
            <w:pPr>
              <w:spacing w:after="0"/>
              <w:rPr>
                <w:sz w:val="16"/>
                <w:szCs w:val="16"/>
                <w:color w:val="auto"/>
              </w:rPr>
            </w:pPr>
          </w:p>
        </w:tc>
      </w:tr>
      <w:tr>
        <w:trPr>
          <w:trHeight w:val="190"/>
        </w:trPr>
        <w:tc>
          <w:tcPr>
            <w:tcW w:w="1120" w:type="dxa"/>
            <w:vAlign w:val="bottom"/>
          </w:tcPr>
          <w:p>
            <w:pPr>
              <w:spacing w:after="0"/>
              <w:rPr>
                <w:sz w:val="16"/>
                <w:szCs w:val="16"/>
                <w:color w:val="auto"/>
              </w:rPr>
            </w:pPr>
          </w:p>
        </w:tc>
        <w:tc>
          <w:tcPr>
            <w:tcW w:w="9160" w:type="dxa"/>
            <w:vAlign w:val="bottom"/>
            <w:gridSpan w:val="8"/>
          </w:tcPr>
          <w:p>
            <w:pPr>
              <w:spacing w:after="0" w:line="190" w:lineRule="exact"/>
              <w:rPr>
                <w:rFonts w:ascii="Arial" w:cs="Arial" w:eastAsia="Arial" w:hAnsi="Arial"/>
                <w:sz w:val="18"/>
                <w:szCs w:val="18"/>
                <w:color w:val="0000FF"/>
                <w:w w:val="91"/>
              </w:rPr>
            </w:pPr>
            <w:hyperlink w:anchor="page5">
              <w:r>
                <w:rPr>
                  <w:rFonts w:ascii="Arial" w:cs="Arial" w:eastAsia="Arial" w:hAnsi="Arial"/>
                  <w:sz w:val="18"/>
                  <w:szCs w:val="18"/>
                  <w:u w:val="single" w:color="auto"/>
                  <w:color w:val="0000FF"/>
                  <w:w w:val="91"/>
                </w:rPr>
                <w:t>Condensed Consolidated Statements of Stockholders' Equity for the Three and</w:t>
              </w:r>
              <w:r>
                <w:rPr>
                  <w:rFonts w:ascii="Arial" w:cs="Arial" w:eastAsia="Arial" w:hAnsi="Arial"/>
                  <w:sz w:val="18"/>
                  <w:szCs w:val="18"/>
                  <w:color w:val="0000FF"/>
                  <w:w w:val="91"/>
                </w:rPr>
                <w:t xml:space="preserve"> Nine Months Ended S</w:t>
              </w:r>
              <w:r>
                <w:rPr>
                  <w:rFonts w:ascii="Arial" w:cs="Arial" w:eastAsia="Arial" w:hAnsi="Arial"/>
                  <w:sz w:val="18"/>
                  <w:szCs w:val="18"/>
                  <w:u w:val="single" w:color="auto"/>
                  <w:color w:val="0000FF"/>
                  <w:w w:val="91"/>
                </w:rPr>
                <w:t>eptember 30, 2020 and</w:t>
              </w:r>
            </w:hyperlink>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5700" w:type="dxa"/>
            <w:vAlign w:val="bottom"/>
            <w:gridSpan w:val="2"/>
          </w:tcPr>
          <w:p>
            <w:pPr>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September 30, 2019</w:t>
              </w:r>
            </w:hyperlink>
          </w:p>
        </w:tc>
        <w:tc>
          <w:tcPr>
            <w:tcW w:w="80" w:type="dxa"/>
            <w:vAlign w:val="bottom"/>
            <w:tcBorders>
              <w:top w:val="single" w:sz="8" w:color="0000FF"/>
            </w:tcBorders>
            <w:gridSpan w:val="2"/>
          </w:tcPr>
          <w:p>
            <w:pPr>
              <w:spacing w:after="0"/>
              <w:rPr>
                <w:sz w:val="16"/>
                <w:szCs w:val="16"/>
                <w:color w:val="auto"/>
              </w:rPr>
            </w:pPr>
          </w:p>
        </w:tc>
        <w:tc>
          <w:tcPr>
            <w:tcW w:w="1520" w:type="dxa"/>
            <w:vAlign w:val="bottom"/>
            <w:tcBorders>
              <w:top w:val="single" w:sz="8" w:color="0000FF"/>
            </w:tcBorders>
            <w:gridSpan w:val="3"/>
          </w:tcPr>
          <w:p>
            <w:pPr>
              <w:spacing w:after="0"/>
              <w:rPr>
                <w:sz w:val="16"/>
                <w:szCs w:val="16"/>
                <w:color w:val="auto"/>
              </w:rPr>
            </w:pPr>
          </w:p>
        </w:tc>
        <w:tc>
          <w:tcPr>
            <w:tcW w:w="1860" w:type="dxa"/>
            <w:vAlign w:val="bottom"/>
          </w:tcPr>
          <w:p>
            <w:pPr>
              <w:spacing w:after="0"/>
              <w:rPr>
                <w:sz w:val="16"/>
                <w:szCs w:val="16"/>
                <w:color w:val="auto"/>
              </w:rPr>
            </w:pPr>
          </w:p>
        </w:tc>
        <w:tc>
          <w:tcPr>
            <w:tcW w:w="860" w:type="dxa"/>
            <w:vAlign w:val="bottom"/>
          </w:tcPr>
          <w:p>
            <w:pPr>
              <w:jc w:val="center"/>
              <w:spacing w:after="0" w:line="195"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7</w:t>
              </w:r>
            </w:hyperlink>
          </w:p>
        </w:tc>
        <w:tc>
          <w:tcPr>
            <w:tcW w:w="100" w:type="dxa"/>
            <w:vAlign w:val="bottom"/>
          </w:tcPr>
          <w:p>
            <w:pPr>
              <w:spacing w:after="0"/>
              <w:rPr>
                <w:sz w:val="16"/>
                <w:szCs w:val="16"/>
                <w:color w:val="auto"/>
              </w:rPr>
            </w:pPr>
          </w:p>
        </w:tc>
      </w:tr>
      <w:tr>
        <w:trPr>
          <w:trHeight w:val="190"/>
        </w:trPr>
        <w:tc>
          <w:tcPr>
            <w:tcW w:w="1120" w:type="dxa"/>
            <w:vAlign w:val="bottom"/>
          </w:tcPr>
          <w:p>
            <w:pPr>
              <w:spacing w:after="0"/>
              <w:rPr>
                <w:sz w:val="16"/>
                <w:szCs w:val="16"/>
                <w:color w:val="auto"/>
              </w:rPr>
            </w:pPr>
          </w:p>
        </w:tc>
        <w:tc>
          <w:tcPr>
            <w:tcW w:w="9160" w:type="dxa"/>
            <w:vAlign w:val="bottom"/>
            <w:gridSpan w:val="8"/>
          </w:tcPr>
          <w:p>
            <w:pPr>
              <w:spacing w:after="0" w:line="190" w:lineRule="exact"/>
              <w:rPr>
                <w:rFonts w:ascii="Arial" w:cs="Arial" w:eastAsia="Arial" w:hAnsi="Arial"/>
                <w:sz w:val="18"/>
                <w:szCs w:val="18"/>
                <w:color w:val="0000FF"/>
                <w:w w:val="90"/>
              </w:rPr>
            </w:pPr>
            <w:hyperlink w:anchor="page7">
              <w:r>
                <w:rPr>
                  <w:rFonts w:ascii="Arial" w:cs="Arial" w:eastAsia="Arial" w:hAnsi="Arial"/>
                  <w:sz w:val="18"/>
                  <w:szCs w:val="18"/>
                  <w:color w:val="0000FF"/>
                  <w:w w:val="90"/>
                </w:rPr>
                <w:t xml:space="preserve">Condensed Consolidated Statements of Cash Flows for the Nine Months Ended </w:t>
              </w:r>
              <w:r>
                <w:rPr>
                  <w:rFonts w:ascii="Arial" w:cs="Arial" w:eastAsia="Arial" w:hAnsi="Arial"/>
                  <w:sz w:val="18"/>
                  <w:szCs w:val="18"/>
                  <w:u w:val="single" w:color="auto"/>
                  <w:color w:val="0000FF"/>
                  <w:w w:val="90"/>
                </w:rPr>
                <w:t>September 30, 2020 and September 30, 2019</w:t>
              </w:r>
            </w:hyperlink>
          </w:p>
        </w:tc>
        <w:tc>
          <w:tcPr>
            <w:tcW w:w="860" w:type="dxa"/>
            <w:vAlign w:val="bottom"/>
          </w:tcPr>
          <w:p>
            <w:pPr>
              <w:jc w:val="center"/>
              <w:spacing w:after="0" w:line="190" w:lineRule="exact"/>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9</w:t>
              </w:r>
            </w:hyperlink>
          </w:p>
        </w:tc>
        <w:tc>
          <w:tcPr>
            <w:tcW w:w="100" w:type="dxa"/>
            <w:vAlign w:val="bottom"/>
          </w:tcPr>
          <w:p>
            <w:pPr>
              <w:spacing w:after="0"/>
              <w:rPr>
                <w:sz w:val="16"/>
                <w:szCs w:val="16"/>
                <w:color w:val="auto"/>
              </w:rPr>
            </w:pPr>
          </w:p>
        </w:tc>
      </w:tr>
      <w:tr>
        <w:trPr>
          <w:trHeight w:val="249"/>
        </w:trPr>
        <w:tc>
          <w:tcPr>
            <w:tcW w:w="1120" w:type="dxa"/>
            <w:vAlign w:val="bottom"/>
          </w:tcPr>
          <w:p>
            <w:pPr>
              <w:spacing w:after="0"/>
              <w:rPr>
                <w:sz w:val="21"/>
                <w:szCs w:val="21"/>
                <w:color w:val="auto"/>
              </w:rPr>
            </w:pPr>
          </w:p>
        </w:tc>
        <w:tc>
          <w:tcPr>
            <w:tcW w:w="578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3380" w:type="dxa"/>
            <w:vAlign w:val="bottom"/>
            <w:gridSpan w:val="4"/>
          </w:tcPr>
          <w:p>
            <w:pPr>
              <w:spacing w:after="0"/>
              <w:rPr>
                <w:sz w:val="21"/>
                <w:szCs w:val="21"/>
                <w:color w:val="auto"/>
              </w:rPr>
            </w:pPr>
          </w:p>
        </w:tc>
        <w:tc>
          <w:tcPr>
            <w:tcW w:w="860" w:type="dxa"/>
            <w:vAlign w:val="bottom"/>
          </w:tcPr>
          <w:p>
            <w:pPr>
              <w:jc w:val="center"/>
              <w:spacing w:after="0"/>
              <w:rPr>
                <w:rFonts w:ascii="Arial" w:cs="Arial" w:eastAsia="Arial" w:hAnsi="Arial"/>
                <w:sz w:val="18"/>
                <w:szCs w:val="18"/>
                <w:u w:val="single" w:color="auto"/>
                <w:color w:val="0000FF"/>
                <w:w w:val="89"/>
              </w:rPr>
            </w:pPr>
            <w:hyperlink w:anchor="page8">
              <w:r>
                <w:rPr>
                  <w:rFonts w:ascii="Arial" w:cs="Arial" w:eastAsia="Arial" w:hAnsi="Arial"/>
                  <w:sz w:val="18"/>
                  <w:szCs w:val="18"/>
                  <w:u w:val="single" w:color="auto"/>
                  <w:color w:val="0000FF"/>
                  <w:w w:val="89"/>
                </w:rPr>
                <w:t>10</w:t>
              </w:r>
            </w:hyperlink>
          </w:p>
        </w:tc>
        <w:tc>
          <w:tcPr>
            <w:tcW w:w="100" w:type="dxa"/>
            <w:vAlign w:val="bottom"/>
          </w:tcPr>
          <w:p>
            <w:pPr>
              <w:spacing w:after="0"/>
              <w:rPr>
                <w:sz w:val="21"/>
                <w:szCs w:val="21"/>
                <w:color w:val="auto"/>
              </w:rPr>
            </w:pPr>
          </w:p>
        </w:tc>
      </w:tr>
      <w:tr>
        <w:trPr>
          <w:trHeight w:val="229"/>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9160" w:type="dxa"/>
            <w:vAlign w:val="bottom"/>
            <w:gridSpan w:val="8"/>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25</w:t>
              </w:r>
            </w:hyperlink>
          </w:p>
        </w:tc>
        <w:tc>
          <w:tcPr>
            <w:tcW w:w="100" w:type="dxa"/>
            <w:vAlign w:val="bottom"/>
          </w:tcPr>
          <w:p>
            <w:pPr>
              <w:spacing w:after="0"/>
              <w:rPr>
                <w:sz w:val="19"/>
                <w:szCs w:val="19"/>
                <w:color w:val="auto"/>
              </w:rPr>
            </w:pPr>
          </w:p>
        </w:tc>
      </w:tr>
      <w:tr>
        <w:trPr>
          <w:trHeight w:val="229"/>
        </w:trPr>
        <w:tc>
          <w:tcPr>
            <w:tcW w:w="1120" w:type="dxa"/>
            <w:vAlign w:val="bottom"/>
          </w:tcPr>
          <w:p>
            <w:pPr>
              <w:ind w:left="120"/>
              <w:spacing w:after="0"/>
              <w:rPr>
                <w:sz w:val="20"/>
                <w:szCs w:val="20"/>
                <w:color w:val="auto"/>
              </w:rPr>
            </w:pPr>
            <w:r>
              <w:rPr>
                <w:rFonts w:ascii="Arial" w:cs="Arial" w:eastAsia="Arial" w:hAnsi="Arial"/>
                <w:sz w:val="18"/>
                <w:szCs w:val="18"/>
                <w:color w:val="auto"/>
              </w:rPr>
              <w:t>Item 3.</w:t>
            </w:r>
          </w:p>
        </w:tc>
        <w:tc>
          <w:tcPr>
            <w:tcW w:w="9160" w:type="dxa"/>
            <w:vAlign w:val="bottom"/>
            <w:gridSpan w:val="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42</w:t>
              </w:r>
            </w:hyperlink>
          </w:p>
        </w:tc>
        <w:tc>
          <w:tcPr>
            <w:tcW w:w="100" w:type="dxa"/>
            <w:vAlign w:val="bottom"/>
          </w:tcPr>
          <w:p>
            <w:pPr>
              <w:spacing w:after="0"/>
              <w:rPr>
                <w:sz w:val="19"/>
                <w:szCs w:val="19"/>
                <w:color w:val="auto"/>
              </w:rPr>
            </w:pPr>
          </w:p>
        </w:tc>
      </w:tr>
      <w:tr>
        <w:trPr>
          <w:trHeight w:val="230"/>
        </w:trPr>
        <w:tc>
          <w:tcPr>
            <w:tcW w:w="1120" w:type="dxa"/>
            <w:vAlign w:val="bottom"/>
          </w:tcPr>
          <w:p>
            <w:pPr>
              <w:ind w:left="120"/>
              <w:spacing w:after="0"/>
              <w:rPr>
                <w:sz w:val="20"/>
                <w:szCs w:val="20"/>
                <w:color w:val="auto"/>
              </w:rPr>
            </w:pPr>
            <w:r>
              <w:rPr>
                <w:rFonts w:ascii="Arial" w:cs="Arial" w:eastAsia="Arial" w:hAnsi="Arial"/>
                <w:sz w:val="18"/>
                <w:szCs w:val="18"/>
                <w:color w:val="auto"/>
              </w:rPr>
              <w:t>Item 4.</w:t>
            </w:r>
          </w:p>
        </w:tc>
        <w:tc>
          <w:tcPr>
            <w:tcW w:w="9160" w:type="dxa"/>
            <w:vAlign w:val="bottom"/>
            <w:gridSpan w:val="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100" w:type="dxa"/>
            <w:vAlign w:val="bottom"/>
          </w:tcPr>
          <w:p>
            <w:pPr>
              <w:spacing w:after="0"/>
              <w:rPr>
                <w:sz w:val="19"/>
                <w:szCs w:val="19"/>
                <w:color w:val="auto"/>
              </w:rPr>
            </w:pPr>
          </w:p>
        </w:tc>
      </w:tr>
      <w:tr>
        <w:trPr>
          <w:trHeight w:val="229"/>
        </w:trPr>
        <w:tc>
          <w:tcPr>
            <w:tcW w:w="1120" w:type="dxa"/>
            <w:vAlign w:val="bottom"/>
          </w:tcPr>
          <w:p>
            <w:pPr>
              <w:ind w:left="120"/>
              <w:spacing w:after="0"/>
              <w:rPr>
                <w:sz w:val="20"/>
                <w:szCs w:val="20"/>
                <w:color w:val="auto"/>
              </w:rPr>
            </w:pPr>
            <w:r>
              <w:rPr>
                <w:rFonts w:ascii="Arial" w:cs="Arial" w:eastAsia="Arial" w:hAnsi="Arial"/>
                <w:sz w:val="18"/>
                <w:szCs w:val="18"/>
                <w:color w:val="auto"/>
              </w:rPr>
              <w:t>Part II.</w:t>
            </w:r>
          </w:p>
        </w:tc>
        <w:tc>
          <w:tcPr>
            <w:tcW w:w="9160" w:type="dxa"/>
            <w:vAlign w:val="bottom"/>
            <w:gridSpan w:val="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OTHER INFORMATION</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100" w:type="dxa"/>
            <w:vAlign w:val="bottom"/>
          </w:tcPr>
          <w:p>
            <w:pPr>
              <w:spacing w:after="0"/>
              <w:rPr>
                <w:sz w:val="19"/>
                <w:szCs w:val="19"/>
                <w:color w:val="auto"/>
              </w:rPr>
            </w:pPr>
          </w:p>
        </w:tc>
      </w:tr>
      <w:tr>
        <w:trPr>
          <w:trHeight w:val="230"/>
        </w:trPr>
        <w:tc>
          <w:tcPr>
            <w:tcW w:w="1120" w:type="dxa"/>
            <w:vAlign w:val="bottom"/>
          </w:tcPr>
          <w:p>
            <w:pPr>
              <w:ind w:left="120"/>
              <w:spacing w:after="0"/>
              <w:rPr>
                <w:sz w:val="20"/>
                <w:szCs w:val="20"/>
                <w:color w:val="auto"/>
              </w:rPr>
            </w:pPr>
            <w:r>
              <w:rPr>
                <w:rFonts w:ascii="Arial" w:cs="Arial" w:eastAsia="Arial" w:hAnsi="Arial"/>
                <w:sz w:val="18"/>
                <w:szCs w:val="18"/>
                <w:color w:val="auto"/>
              </w:rPr>
              <w:t>Item 1.</w:t>
            </w:r>
          </w:p>
        </w:tc>
        <w:tc>
          <w:tcPr>
            <w:tcW w:w="9160" w:type="dxa"/>
            <w:vAlign w:val="bottom"/>
            <w:gridSpan w:val="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43</w:t>
              </w:r>
            </w:hyperlink>
          </w:p>
        </w:tc>
        <w:tc>
          <w:tcPr>
            <w:tcW w:w="100" w:type="dxa"/>
            <w:vAlign w:val="bottom"/>
          </w:tcPr>
          <w:p>
            <w:pPr>
              <w:spacing w:after="0"/>
              <w:rPr>
                <w:sz w:val="19"/>
                <w:szCs w:val="19"/>
                <w:color w:val="auto"/>
              </w:rPr>
            </w:pPr>
          </w:p>
        </w:tc>
      </w:tr>
      <w:tr>
        <w:trPr>
          <w:trHeight w:val="229"/>
        </w:trPr>
        <w:tc>
          <w:tcPr>
            <w:tcW w:w="1120" w:type="dxa"/>
            <w:vAlign w:val="bottom"/>
          </w:tcPr>
          <w:p>
            <w:pPr>
              <w:ind w:left="120"/>
              <w:spacing w:after="0"/>
              <w:rPr>
                <w:sz w:val="20"/>
                <w:szCs w:val="20"/>
                <w:color w:val="auto"/>
              </w:rPr>
            </w:pPr>
            <w:r>
              <w:rPr>
                <w:rFonts w:ascii="Arial" w:cs="Arial" w:eastAsia="Arial" w:hAnsi="Arial"/>
                <w:sz w:val="18"/>
                <w:szCs w:val="18"/>
                <w:color w:val="auto"/>
              </w:rPr>
              <w:t>Item 1A.</w:t>
            </w:r>
          </w:p>
        </w:tc>
        <w:tc>
          <w:tcPr>
            <w:tcW w:w="9160" w:type="dxa"/>
            <w:vAlign w:val="bottom"/>
            <w:gridSpan w:val="8"/>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c>
          <w:tcPr>
            <w:tcW w:w="100" w:type="dxa"/>
            <w:vAlign w:val="bottom"/>
          </w:tcPr>
          <w:p>
            <w:pPr>
              <w:spacing w:after="0"/>
              <w:rPr>
                <w:sz w:val="19"/>
                <w:szCs w:val="19"/>
                <w:color w:val="auto"/>
              </w:rPr>
            </w:pPr>
          </w:p>
        </w:tc>
      </w:tr>
      <w:tr>
        <w:trPr>
          <w:trHeight w:val="229"/>
        </w:trPr>
        <w:tc>
          <w:tcPr>
            <w:tcW w:w="1120" w:type="dxa"/>
            <w:vAlign w:val="bottom"/>
          </w:tcPr>
          <w:p>
            <w:pPr>
              <w:ind w:left="120"/>
              <w:spacing w:after="0"/>
              <w:rPr>
                <w:sz w:val="20"/>
                <w:szCs w:val="20"/>
                <w:color w:val="auto"/>
              </w:rPr>
            </w:pPr>
            <w:r>
              <w:rPr>
                <w:rFonts w:ascii="Arial" w:cs="Arial" w:eastAsia="Arial" w:hAnsi="Arial"/>
                <w:sz w:val="18"/>
                <w:szCs w:val="18"/>
                <w:color w:val="auto"/>
              </w:rPr>
              <w:t>Item 2.</w:t>
            </w:r>
          </w:p>
        </w:tc>
        <w:tc>
          <w:tcPr>
            <w:tcW w:w="9160" w:type="dxa"/>
            <w:vAlign w:val="bottom"/>
            <w:gridSpan w:val="8"/>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Unregistered Sales of Equity Securities and Use of Proceeds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48</w:t>
              </w:r>
            </w:hyperlink>
          </w:p>
        </w:tc>
        <w:tc>
          <w:tcPr>
            <w:tcW w:w="100" w:type="dxa"/>
            <w:vAlign w:val="bottom"/>
          </w:tcPr>
          <w:p>
            <w:pPr>
              <w:spacing w:after="0"/>
              <w:rPr>
                <w:sz w:val="19"/>
                <w:szCs w:val="19"/>
                <w:color w:val="auto"/>
              </w:rPr>
            </w:pPr>
          </w:p>
        </w:tc>
      </w:tr>
      <w:tr>
        <w:trPr>
          <w:trHeight w:val="230"/>
        </w:trPr>
        <w:tc>
          <w:tcPr>
            <w:tcW w:w="1120" w:type="dxa"/>
            <w:vAlign w:val="bottom"/>
          </w:tcPr>
          <w:p>
            <w:pPr>
              <w:ind w:left="120"/>
              <w:spacing w:after="0"/>
              <w:rPr>
                <w:sz w:val="20"/>
                <w:szCs w:val="20"/>
                <w:color w:val="auto"/>
              </w:rPr>
            </w:pPr>
            <w:r>
              <w:rPr>
                <w:rFonts w:ascii="Arial" w:cs="Arial" w:eastAsia="Arial" w:hAnsi="Arial"/>
                <w:sz w:val="18"/>
                <w:szCs w:val="18"/>
                <w:color w:val="auto"/>
              </w:rPr>
              <w:t>Item 6.</w:t>
            </w:r>
          </w:p>
        </w:tc>
        <w:tc>
          <w:tcPr>
            <w:tcW w:w="9160" w:type="dxa"/>
            <w:vAlign w:val="bottom"/>
            <w:gridSpan w:val="8"/>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49</w:t>
              </w:r>
            </w:hyperlink>
          </w:p>
        </w:tc>
        <w:tc>
          <w:tcPr>
            <w:tcW w:w="100" w:type="dxa"/>
            <w:vAlign w:val="bottom"/>
          </w:tcPr>
          <w:p>
            <w:pPr>
              <w:spacing w:after="0"/>
              <w:rPr>
                <w:sz w:val="19"/>
                <w:szCs w:val="19"/>
                <w:color w:val="auto"/>
              </w:rPr>
            </w:pPr>
          </w:p>
        </w:tc>
      </w:tr>
      <w:tr>
        <w:trPr>
          <w:trHeight w:val="230"/>
        </w:trPr>
        <w:tc>
          <w:tcPr>
            <w:tcW w:w="1120" w:type="dxa"/>
            <w:vAlign w:val="bottom"/>
          </w:tcPr>
          <w:p>
            <w:pPr>
              <w:ind w:left="120"/>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5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50</w:t>
              </w:r>
            </w:hyperlink>
          </w:p>
        </w:tc>
        <w:tc>
          <w:tcPr>
            <w:tcW w:w="100" w:type="dxa"/>
            <w:vAlign w:val="bottom"/>
          </w:tcPr>
          <w:p>
            <w:pPr>
              <w:spacing w:after="0"/>
              <w:rPr>
                <w:sz w:val="20"/>
                <w:szCs w:val="20"/>
                <w:color w:val="auto"/>
              </w:rPr>
            </w:pPr>
          </w:p>
        </w:tc>
      </w:tr>
      <w:tr>
        <w:trPr>
          <w:trHeight w:val="850"/>
        </w:trPr>
        <w:tc>
          <w:tcPr>
            <w:tcW w:w="1120" w:type="dxa"/>
            <w:vAlign w:val="bottom"/>
          </w:tcPr>
          <w:p>
            <w:pPr>
              <w:spacing w:after="0"/>
              <w:rPr>
                <w:sz w:val="24"/>
                <w:szCs w:val="24"/>
                <w:color w:val="auto"/>
              </w:rPr>
            </w:pPr>
          </w:p>
        </w:tc>
        <w:tc>
          <w:tcPr>
            <w:tcW w:w="5000" w:type="dxa"/>
            <w:vAlign w:val="bottom"/>
          </w:tcPr>
          <w:p>
            <w:pPr>
              <w:ind w:left="446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p>
      <w:pPr>
        <w:jc w:val="right"/>
        <w:ind w:right="260"/>
        <w:spacing w:after="0"/>
        <w:tabs>
          <w:tab w:leader="none" w:pos="11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3"/>
          <w:szCs w:val="13"/>
          <w:b w:val="1"/>
          <w:bCs w:val="1"/>
          <w:color w:val="auto"/>
        </w:rPr>
        <w:t>December 31, 2019</w:t>
      </w:r>
    </w:p>
    <w:p>
      <w:pPr>
        <w:sectPr>
          <w:pgSz w:w="11900" w:h="16838" w:orient="portrait"/>
          <w:cols w:equalWidth="0" w:num="1">
            <w:col w:w="11240"/>
          </w:cols>
          <w:pgMar w:left="320" w:top="125"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21"/>
                <w:szCs w:val="21"/>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23"/>
                <w:szCs w:val="23"/>
                <w:color w:val="auto"/>
              </w:rPr>
            </w:pPr>
          </w:p>
        </w:tc>
      </w:tr>
      <w:tr>
        <w:trPr>
          <w:trHeight w:val="270"/>
        </w:trPr>
        <w:tc>
          <w:tcPr>
            <w:tcW w:w="58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Right-of-use lease asset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Pr>
          <w:p>
            <w:pPr>
              <w:spacing w:after="0"/>
              <w:rPr>
                <w:sz w:val="22"/>
                <w:szCs w:val="22"/>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tcPr>
          <w:p>
            <w:pPr>
              <w:spacing w:after="0"/>
              <w:rPr>
                <w:sz w:val="20"/>
                <w:szCs w:val="20"/>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Lease liabilities, current</w:t>
            </w:r>
          </w:p>
        </w:tc>
        <w:tc>
          <w:tcPr>
            <w:tcW w:w="2000" w:type="dxa"/>
            <w:vAlign w:val="bottom"/>
          </w:tcPr>
          <w:p>
            <w:pPr>
              <w:spacing w:after="0"/>
              <w:rPr>
                <w:sz w:val="21"/>
                <w:szCs w:val="21"/>
                <w:color w:val="auto"/>
              </w:rPr>
            </w:pPr>
          </w:p>
        </w:tc>
      </w:tr>
      <w:tr>
        <w:trPr>
          <w:trHeight w:val="270"/>
        </w:trPr>
        <w:tc>
          <w:tcPr>
            <w:tcW w:w="58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000" w:type="dxa"/>
            <w:vAlign w:val="bottom"/>
          </w:tcPr>
          <w:p>
            <w:pPr>
              <w:spacing w:after="0"/>
              <w:rPr>
                <w:sz w:val="23"/>
                <w:szCs w:val="23"/>
                <w:color w:val="auto"/>
              </w:rPr>
            </w:pPr>
          </w:p>
        </w:tc>
      </w:tr>
      <w:tr>
        <w:trPr>
          <w:trHeight w:val="270"/>
        </w:trPr>
        <w:tc>
          <w:tcPr>
            <w:tcW w:w="58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Lease liabilities, non-current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Other liabilities, non-current</w:t>
            </w:r>
          </w:p>
        </w:tc>
        <w:tc>
          <w:tcPr>
            <w:tcW w:w="200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11)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5" w:lineRule="exact"/>
        <w:rPr>
          <w:sz w:val="20"/>
          <w:szCs w:val="20"/>
          <w:color w:val="auto"/>
        </w:rPr>
      </w:pPr>
    </w:p>
    <w:p>
      <w:pPr>
        <w:ind w:left="220" w:right="340" w:hanging="161"/>
        <w:spacing w:after="0" w:line="316" w:lineRule="auto"/>
        <w:rPr>
          <w:sz w:val="20"/>
          <w:szCs w:val="20"/>
          <w:color w:val="auto"/>
        </w:rPr>
      </w:pPr>
      <w:r>
        <w:rPr>
          <w:rFonts w:ascii="Arial" w:cs="Arial" w:eastAsia="Arial" w:hAnsi="Arial"/>
          <w:sz w:val="16"/>
          <w:szCs w:val="16"/>
          <w:color w:val="auto"/>
        </w:rPr>
        <w:t>Preferred stock, $0.00001 par value, 10,000 shares authorized at September 30, 2020 and December 31, 2019; 0 shares issued and outstanding at September 30, 2020 and December 31, 2019</w:t>
      </w:r>
    </w:p>
    <w:p>
      <w:pPr>
        <w:spacing w:after="0" w:line="2" w:lineRule="exact"/>
        <w:rPr>
          <w:sz w:val="20"/>
          <w:szCs w:val="20"/>
          <w:color w:val="auto"/>
        </w:rPr>
      </w:pPr>
    </w:p>
    <w:p>
      <w:pPr>
        <w:ind w:left="220" w:right="240" w:hanging="161"/>
        <w:spacing w:after="0" w:line="263" w:lineRule="auto"/>
        <w:rPr>
          <w:sz w:val="20"/>
          <w:szCs w:val="20"/>
          <w:color w:val="auto"/>
        </w:rPr>
      </w:pPr>
      <w:r>
        <w:rPr>
          <w:rFonts w:ascii="Arial" w:cs="Arial" w:eastAsia="Arial" w:hAnsi="Arial"/>
          <w:sz w:val="18"/>
          <w:szCs w:val="18"/>
          <w:color w:val="auto"/>
        </w:rPr>
        <w:t>Common stock, $0.00001 par value; 500,000 shares authorized at September 30, 2020 and December 31, 2019; 110,712 and 53,888 shares issued and outstanding at September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103,797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88,888</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412,435</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217,571</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13,367</w:t>
            </w: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6,591</w:t>
            </w:r>
          </w:p>
        </w:tc>
      </w:tr>
      <w:tr>
        <w:trPr>
          <w:trHeight w:val="25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529,599</w:t>
            </w:r>
          </w:p>
        </w:tc>
        <w:tc>
          <w:tcPr>
            <w:tcW w:w="5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313,050</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18,876</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23,667</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42,736</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21,491</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17,386</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16,053</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97,131</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11,386</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2,942</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2,103</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157,804</w:t>
            </w: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7,370</w:t>
            </w:r>
          </w:p>
        </w:tc>
      </w:tr>
      <w:tr>
        <w:trPr>
          <w:trHeight w:val="223"/>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866,474</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395,120</w:t>
            </w:r>
          </w:p>
        </w:tc>
      </w:tr>
      <w:tr>
        <w:trPr>
          <w:trHeight w:val="20"/>
        </w:trPr>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96"/>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457,428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259,439</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11,176</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7,282</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5,019</w:t>
            </w: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r>
      <w:tr>
        <w:trPr>
          <w:trHeight w:val="25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473,623</w:t>
            </w:r>
          </w:p>
        </w:tc>
        <w:tc>
          <w:tcPr>
            <w:tcW w:w="5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267,499</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34,242</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15,231</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2,478</w:t>
            </w: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w:t>
            </w:r>
          </w:p>
        </w:tc>
      </w:tr>
      <w:tr>
        <w:trPr>
          <w:trHeight w:val="25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510,343</w:t>
            </w: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283,184</w:t>
            </w:r>
          </w:p>
        </w:tc>
      </w:tr>
      <w:tr>
        <w:trPr>
          <w:trHeight w:val="965"/>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702"/>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69"/>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759,116</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453,064</w:t>
            </w:r>
          </w:p>
        </w:tc>
      </w:tr>
      <w:tr>
        <w:trPr>
          <w:trHeight w:val="230"/>
        </w:trPr>
        <w:tc>
          <w:tcPr>
            <w:tcW w:w="940" w:type="dxa"/>
            <w:vAlign w:val="bottom"/>
          </w:tcPr>
          <w:p>
            <w:pPr>
              <w:jc w:val="right"/>
              <w:ind w:right="150"/>
              <w:spacing w:after="0"/>
              <w:rPr>
                <w:sz w:val="20"/>
                <w:szCs w:val="20"/>
                <w:color w:val="auto"/>
              </w:rPr>
            </w:pPr>
            <w:r>
              <w:rPr>
                <w:rFonts w:ascii="Arial" w:cs="Arial" w:eastAsia="Arial" w:hAnsi="Arial"/>
                <w:sz w:val="18"/>
                <w:szCs w:val="18"/>
                <w:color w:val="auto"/>
              </w:rPr>
              <w:t>(2,585)</w:t>
            </w:r>
          </w:p>
        </w:tc>
        <w:tc>
          <w:tcPr>
            <w:tcW w:w="5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0"/>
        </w:trPr>
        <w:tc>
          <w:tcPr>
            <w:tcW w:w="940" w:type="dxa"/>
            <w:vAlign w:val="bottom"/>
          </w:tcPr>
          <w:p>
            <w:pPr>
              <w:jc w:val="right"/>
              <w:ind w:right="150"/>
              <w:spacing w:after="0"/>
              <w:rPr>
                <w:sz w:val="20"/>
                <w:szCs w:val="20"/>
                <w:color w:val="auto"/>
              </w:rPr>
            </w:pPr>
            <w:r>
              <w:rPr>
                <w:rFonts w:ascii="Arial" w:cs="Arial" w:eastAsia="Arial" w:hAnsi="Arial"/>
                <w:sz w:val="18"/>
                <w:szCs w:val="18"/>
                <w:color w:val="auto"/>
                <w:w w:val="88"/>
              </w:rPr>
              <w:t>(400,402)</w:t>
            </w:r>
          </w:p>
        </w:tc>
        <w:tc>
          <w:tcPr>
            <w:tcW w:w="5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(341,084)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-1731010</wp:posOffset>
            </wp:positionV>
            <wp:extent cx="10801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-3042920</wp:posOffset>
            </wp:positionV>
            <wp:extent cx="10801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-4422775</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356,131</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111,936</w:t>
            </w: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866,474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395,120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5"/>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30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4"/>
              </w:rPr>
              <w:t>September 30, 2019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33,151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 and development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and restructuring costs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201,854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136,497</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 average shares used to compute net loss per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26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September 30, 2019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September 30, 2019</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gain on investments</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(27,327)</w:t>
            </w:r>
          </w:p>
        </w:tc>
      </w:tr>
      <w:tr>
        <w:trPr>
          <w:trHeight w:val="21"/>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10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1"/>
                <w:szCs w:val="11"/>
                <w:color w:val="auto"/>
              </w:rPr>
            </w:pPr>
          </w:p>
        </w:tc>
        <w:tc>
          <w:tcPr>
            <w:tcW w:w="2100" w:type="dxa"/>
            <w:vAlign w:val="bottom"/>
            <w:tcBorders>
              <w:bottom w:val="single" w:sz="8" w:color="auto"/>
            </w:tcBorders>
            <w:gridSpan w:val="4"/>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10"/>
                <w:szCs w:val="10"/>
                <w:color w:val="auto"/>
              </w:rPr>
            </w:pPr>
          </w:p>
        </w:tc>
        <w:tc>
          <w:tcPr>
            <w:tcW w:w="11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100" w:type="dxa"/>
            <w:vAlign w:val="bottom"/>
            <w:gridSpan w:val="2"/>
          </w:tcPr>
          <w:p>
            <w:pPr>
              <w:jc w:val="center"/>
              <w:ind w:right="360"/>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30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6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100" w:type="dxa"/>
            <w:vAlign w:val="bottom"/>
          </w:tcPr>
          <w:p>
            <w:pPr>
              <w:jc w:val="center"/>
              <w:ind w:right="80"/>
              <w:spacing w:after="0" w:line="11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96"/>
              </w:rPr>
              <w:t>(259)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118,013</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stock awards, net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620" w:type="dxa"/>
            <w:vAlign w:val="bottom"/>
          </w:tcPr>
          <w:p>
            <w:pPr>
              <w:ind w:left="120"/>
              <w:spacing w:after="0" w:line="166" w:lineRule="exact"/>
              <w:rPr>
                <w:sz w:val="20"/>
                <w:szCs w:val="20"/>
                <w:color w:val="auto"/>
              </w:rPr>
            </w:pPr>
            <w:r>
              <w:rPr>
                <w:rFonts w:ascii="Arial" w:cs="Arial" w:eastAsia="Arial" w:hAnsi="Arial"/>
                <w:sz w:val="16"/>
                <w:szCs w:val="16"/>
                <w:color w:val="auto"/>
                <w:w w:val="92"/>
              </w:rPr>
              <w:t>Issuance of common stock related to employee stock</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30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Issuance of common stock related to RSU vesting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960" w:type="dxa"/>
            <w:vAlign w:val="bottom"/>
          </w:tcPr>
          <w:p>
            <w:pPr>
              <w:jc w:val="right"/>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0" w:type="dxa"/>
            <w:vAlign w:val="bottom"/>
          </w:tcPr>
          <w:p>
            <w:pPr>
              <w:spacing w:after="0"/>
              <w:rPr>
                <w:sz w:val="1"/>
                <w:szCs w:val="1"/>
                <w:color w:val="auto"/>
              </w:rPr>
            </w:pPr>
          </w:p>
        </w:tc>
      </w:tr>
      <w:tr>
        <w:trPr>
          <w:trHeight w:val="237"/>
        </w:trPr>
        <w:tc>
          <w:tcPr>
            <w:tcW w:w="3620" w:type="dxa"/>
            <w:vAlign w:val="bottom"/>
          </w:tcPr>
          <w:p>
            <w:pPr>
              <w:ind w:left="220"/>
              <w:spacing w:after="0"/>
              <w:rPr>
                <w:sz w:val="20"/>
                <w:szCs w:val="20"/>
                <w:color w:val="auto"/>
              </w:rPr>
            </w:pPr>
            <w:r>
              <w:rPr>
                <w:rFonts w:ascii="Arial" w:cs="Arial" w:eastAsia="Arial" w:hAnsi="Arial"/>
                <w:sz w:val="16"/>
                <w:szCs w:val="16"/>
                <w:color w:val="auto"/>
              </w:rPr>
              <w:t>Balance at March 31, 2019</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51,765</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436,807</w:t>
            </w: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w w:val="96"/>
              </w:rPr>
              <w:t>(165)</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(328,152)</w:t>
            </w: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108,491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common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Restricted stock awards, net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2"/>
              </w:rPr>
              <w:t>Issuance of common stock related to employee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plan</w:t>
            </w: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w w:val="98"/>
              </w:rPr>
              <w:t>Issuance of common stock related to RSU vesting</w:t>
            </w:r>
          </w:p>
        </w:tc>
        <w:tc>
          <w:tcPr>
            <w:tcW w:w="960" w:type="dxa"/>
            <w:vAlign w:val="bottom"/>
          </w:tcPr>
          <w:p>
            <w:pPr>
              <w:jc w:val="right"/>
              <w:spacing w:after="0"/>
              <w:rPr>
                <w:sz w:val="20"/>
                <w:szCs w:val="20"/>
                <w:color w:val="auto"/>
              </w:rPr>
            </w:pPr>
            <w:r>
              <w:rPr>
                <w:rFonts w:ascii="Arial" w:cs="Arial" w:eastAsia="Arial" w:hAnsi="Arial"/>
                <w:sz w:val="16"/>
                <w:szCs w:val="16"/>
                <w:color w:val="auto"/>
              </w:rPr>
              <w:t>1,022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6"/>
              </w:rPr>
              <w:t>(128)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(8,281)</w:t>
            </w:r>
          </w:p>
        </w:tc>
        <w:tc>
          <w:tcPr>
            <w:tcW w:w="0" w:type="dxa"/>
            <w:vAlign w:val="bottom"/>
          </w:tcPr>
          <w:p>
            <w:pPr>
              <w:spacing w:after="0"/>
              <w:rPr>
                <w:sz w:val="1"/>
                <w:szCs w:val="1"/>
                <w:color w:val="auto"/>
              </w:rPr>
            </w:pPr>
          </w:p>
        </w:tc>
      </w:tr>
      <w:tr>
        <w:trPr>
          <w:trHeight w:val="240"/>
        </w:trPr>
        <w:tc>
          <w:tcPr>
            <w:tcW w:w="3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Balance at June 30, 2019</w:t>
            </w:r>
          </w:p>
        </w:tc>
        <w:tc>
          <w:tcPr>
            <w:tcW w:w="9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52,984</w:t>
            </w: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442,353</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96"/>
              </w:rPr>
              <w:t>(293)</w:t>
            </w: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(336,433)</w:t>
            </w: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105,628</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Issuance of common stock related to RSU vesting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6"/>
              </w:rPr>
              <w:t>(292)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(6,174)</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Balance at September 30, 2019</w:t>
            </w:r>
          </w:p>
        </w:tc>
        <w:tc>
          <w:tcPr>
            <w:tcW w:w="9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53,073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447,314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96"/>
              </w:rPr>
              <w:t>(585)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(342,607)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104,123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8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4"/>
                <w:szCs w:val="4"/>
                <w:color w:val="auto"/>
              </w:rPr>
            </w:pPr>
          </w:p>
        </w:tc>
        <w:tc>
          <w:tcPr>
            <w:tcW w:w="1120" w:type="dxa"/>
            <w:vAlign w:val="bottom"/>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12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53,888</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stock awards, net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120"/>
              <w:spacing w:after="0" w:line="166" w:lineRule="exact"/>
              <w:rPr>
                <w:sz w:val="20"/>
                <w:szCs w:val="20"/>
                <w:color w:val="auto"/>
              </w:rPr>
            </w:pPr>
            <w:r>
              <w:rPr>
                <w:rFonts w:ascii="Arial" w:cs="Arial" w:eastAsia="Arial" w:hAnsi="Arial"/>
                <w:sz w:val="16"/>
                <w:szCs w:val="16"/>
                <w:color w:val="auto"/>
                <w:w w:val="97"/>
              </w:rPr>
              <w:t>Issuance of common stock related to employee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07"/>
        </w:trPr>
        <w:tc>
          <w:tcPr>
            <w:tcW w:w="3800" w:type="dxa"/>
            <w:vAlign w:val="bottom"/>
          </w:tcPr>
          <w:p>
            <w:pPr>
              <w:ind w:left="220"/>
              <w:spacing w:after="0"/>
              <w:rPr>
                <w:sz w:val="20"/>
                <w:szCs w:val="20"/>
                <w:color w:val="auto"/>
              </w:rPr>
            </w:pPr>
            <w:r>
              <w:rPr>
                <w:rFonts w:ascii="Arial" w:cs="Arial" w:eastAsia="Arial" w:hAnsi="Arial"/>
                <w:sz w:val="16"/>
                <w:szCs w:val="16"/>
                <w:color w:val="auto"/>
              </w:rPr>
              <w:t>Balance at March 31,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55,060</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ind w:right="641"/>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449,820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(350,759)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166"/>
        </w:trPr>
        <w:tc>
          <w:tcPr>
            <w:tcW w:w="3800" w:type="dxa"/>
            <w:vAlign w:val="bottom"/>
          </w:tcPr>
          <w:p>
            <w:pPr>
              <w:ind w:left="120"/>
              <w:spacing w:after="0" w:line="166" w:lineRule="exact"/>
              <w:rPr>
                <w:sz w:val="20"/>
                <w:szCs w:val="20"/>
                <w:color w:val="auto"/>
              </w:rPr>
            </w:pPr>
            <w:r>
              <w:rPr>
                <w:rFonts w:ascii="Arial" w:cs="Arial" w:eastAsia="Arial" w:hAnsi="Arial"/>
                <w:sz w:val="16"/>
                <w:szCs w:val="16"/>
                <w:color w:val="auto"/>
                <w:w w:val="97"/>
              </w:rPr>
              <w:t>Issuance of common stock related to employee stock</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9"/>
        </w:trPr>
        <w:tc>
          <w:tcPr>
            <w:tcW w:w="380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Issuance of common stock associated with the Merger</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275,773</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w w:val="95"/>
              </w:rPr>
              <w:t>Exchange of stock options and RSU related to Merger</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11,646</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0" w:type="dxa"/>
            <w:vAlign w:val="bottom"/>
          </w:tcPr>
          <w:p>
            <w:pPr>
              <w:spacing w:after="0"/>
              <w:rPr>
                <w:sz w:val="1"/>
                <w:szCs w:val="1"/>
                <w:color w:val="auto"/>
              </w:rPr>
            </w:pPr>
          </w:p>
        </w:tc>
      </w:tr>
      <w:tr>
        <w:trPr>
          <w:trHeight w:val="206"/>
        </w:trPr>
        <w:tc>
          <w:tcPr>
            <w:tcW w:w="3800" w:type="dxa"/>
            <w:vAlign w:val="bottom"/>
          </w:tcPr>
          <w:p>
            <w:pPr>
              <w:ind w:left="220"/>
              <w:spacing w:after="0"/>
              <w:rPr>
                <w:sz w:val="20"/>
                <w:szCs w:val="20"/>
                <w:color w:val="auto"/>
              </w:rPr>
            </w:pPr>
            <w:r>
              <w:rPr>
                <w:rFonts w:ascii="Arial" w:cs="Arial" w:eastAsia="Arial" w:hAnsi="Arial"/>
                <w:sz w:val="16"/>
                <w:szCs w:val="16"/>
                <w:color w:val="auto"/>
              </w:rPr>
              <w:t>Balance at Balance at June 30,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109,861</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ind w:right="641"/>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749,959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(389,887)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357,471</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withheld related to net share settlement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(10,515)</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Balance at September 30,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356,131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10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4"/>
              </w:rPr>
              <w:t>September 30, 2020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(27,001)</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36,157</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24,841</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21,298</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13,877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Arial" w:cs="Arial" w:eastAsia="Arial" w:hAnsi="Arial"/>
                <w:sz w:val="16"/>
                <w:szCs w:val="16"/>
                <w:color w:val="auto"/>
              </w:rPr>
              <w:t>Provision for doubtful accounts</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Accretion of available-for-sale securities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(601)</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foreign currency gains, net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837</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(46,145)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32,149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23,464</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(34,018)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5,260</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provided by operating activities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(24,038)</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9,808</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(4,211)</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internal use software development costs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Cash, cash equivalents and restricted cash acquired in Merger</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54,595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available-for-sale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43,490</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(4,105)</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3,868</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Taxes paid related to net share settlement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(7,841)</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16,213</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88,888</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80,452</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105,101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85,122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616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Change in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1,304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and options issued for Merger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287,418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9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Magnite, Inc. ("Magnite" or the "Company"), formerly known as The Rubicon Project, Inc., was formed and began operations in April 2007. On April 1, 2020, Magnite completed a stock-for-stock merger ("Merger") with Telaria, Inc., ("Telaria"), a leading provider of connected television ("CTV") technology. The Company operates a sell side advertising platform that offers buyers and sellers of digital advertising a single partner for transacting globally across all channels, formats, and auction types.</w:t>
      </w:r>
    </w:p>
    <w:p>
      <w:pPr>
        <w:spacing w:after="0" w:line="6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June 8, 2020, the Company voluntarily delisted its common stock from the New York Stock Exchange ("NYSE") and commenced listing on The Nasdaq Global Select Market of The Nasdaq Stock Market LLC ("Nasdaq"). On June 30, 2020, the Company changed its name from "The Rubicon Project, Inc." to "Magnite, Inc." In connection with the name change, the Company also changed its ticker symbol from "RUBI" to "MGNI." Magnite has its principal offices in Los Angeles, New York City, London, and Sydney, and additional offices in Europe, Asia, North America, and South America.</w:t>
      </w:r>
    </w:p>
    <w:p>
      <w:pPr>
        <w:spacing w:after="0" w:line="3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publishers of websites, CTV channels, mobile applications, and buyers of digital advertising inventory.</w:t>
      </w:r>
    </w:p>
    <w:p>
      <w:pPr>
        <w:spacing w:after="0" w:line="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Publishers monetize their inventory through the Company’s platform by seamlessly connecting to a global market of integrated buyers that transact through real-time bidding, which includes direct sale of premium inventory to a buyer, referred to as private marketplace ("PMP"), and open auction bidding, where buyers bid against each other in a real-time auction for the right to purchase a publisher’s inventory, referred to as open marketplace ("OMP").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nine months ended September 30, 2020 are not necessarily indicative of the results that may be expected for any future interim period, the year ending December 31, 2020, or for any future year.</w:t>
      </w:r>
    </w:p>
    <w:p>
      <w:pPr>
        <w:spacing w:after="0" w:line="4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condensed consolidated balance sheet at December 31, 2019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2019 included in its 2019 Annual Report on Form 10-K.</w:t>
      </w:r>
    </w:p>
    <w:p>
      <w:pPr>
        <w:spacing w:after="0" w:line="6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There have been no significant changes in the Company's accounting policies from those disclosed in its audited consolidated financial statements and notes thereto for the year ended December 31, 2019 included in its Annual Report on Form 10-K.</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this includes amounts reclassified for the three months ended March 31, 2020 to conform to the current presentation for the three and nine months ended September 30, 2020 in the condensed consolidated statements of operations related to merger and restructuring costs.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w:t>
      </w:r>
      <w:r>
        <w:rPr>
          <w:rFonts w:ascii="Arial" w:cs="Arial" w:eastAsia="Arial" w:hAnsi="Arial"/>
          <w:sz w:val="18"/>
          <w:szCs w:val="18"/>
          <w:color w:val="212529"/>
        </w:rPr>
        <w:t>The extent of the impact of</w:t>
      </w:r>
      <w:r>
        <w:rPr>
          <w:rFonts w:ascii="Arial" w:cs="Arial" w:eastAsia="Arial" w:hAnsi="Arial"/>
          <w:sz w:val="18"/>
          <w:szCs w:val="18"/>
          <w:color w:val="auto"/>
        </w:rPr>
        <w:t xml:space="preserve"> COVID-19 </w:t>
      </w:r>
      <w:r>
        <w:rPr>
          <w:rFonts w:ascii="Arial" w:cs="Arial" w:eastAsia="Arial" w:hAnsi="Arial"/>
          <w:sz w:val="18"/>
          <w:szCs w:val="18"/>
          <w:color w:val="212529"/>
        </w:rPr>
        <w:t>pandemic on the Company's operational and financial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212529"/>
        </w:rPr>
        <w:t>performance will depend on future developments, which are highly uncertain and cannot be predicted, including but not limited to, the duration and spread of the outbreak, its severity, including any resurgence, the actions to contain the virus or treat its impact, and how quickly and to what extent normal economic and operating conditions can resume. During the nine months ended September 30, 2020, this uncertainty resulted in a higher level of judgment related to its estimates and assumptions. As of the date of issuance of the condensed consolidated financial statements for the three and nine months ended September 30, 2020,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June 2016, the Financial Accounting Standards Board ("FASB") issued Accounting Standards Update ("ASU") 2016-13—</w:t>
      </w:r>
      <w:r>
        <w:rPr>
          <w:rFonts w:ascii="Arial" w:cs="Arial" w:eastAsia="Arial" w:hAnsi="Arial"/>
          <w:sz w:val="17"/>
          <w:szCs w:val="17"/>
          <w:i w:val="1"/>
          <w:iCs w:val="1"/>
          <w:color w:val="auto"/>
        </w:rPr>
        <w:t>Financial</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Instruments - Credit Losses (Topic 326): Measurement of Credit Losses on Financial Instruments ("</w:t>
      </w:r>
      <w:r>
        <w:rPr>
          <w:rFonts w:ascii="Arial" w:cs="Arial" w:eastAsia="Arial" w:hAnsi="Arial"/>
          <w:sz w:val="17"/>
          <w:szCs w:val="17"/>
          <w:color w:val="auto"/>
        </w:rPr>
        <w:t>ASU 2016-13"). This guidance requires entities to use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methodology to measure impairments of certain financial assets and to recognize an allowance for its estimate of lifetime expected credit losses. The main objective of this update is to provide financial statement users with more decision-useful information about the expected credit losses on financial instruments and other commitments to extend credit held by a reporting entity at each reporting date. The guidance was effective for fiscal years beginning after December 15, 2019, including interim periods within those fiscal years. The Company adopted ASU 2016-13 as of January 1, 2020. The standard had no material impact on its consolidated financial statements.</w:t>
      </w:r>
    </w:p>
    <w:p>
      <w:pPr>
        <w:spacing w:after="0" w:line="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to streamline the disclosure requirements of ASC Topic 820—Fair Value Measurement.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 removes certain disclosure requirements, including the valuation process for Level 3 fair value measurements, and adds certain quantitative disclosures around Level 3 fair value measurements. This ASU is effective for annual reporting periods beginning after December 15, 2019, including interim periods within that reporting period, with early adoption permitted. The provisions of ASU 2018-13 are required to be adopted retrospectively, with the exception of disclosure of the range and weighted average of significant unobservable inputs used to develop Level 3 measurements, which can be adopted prospectively. The Company adopted ASU 2018-13 as of January 1, 2020. The standard had no material impact on its consolidated financial statements and related disclosures.</w:t>
      </w:r>
    </w:p>
    <w:p>
      <w:pPr>
        <w:spacing w:after="0" w:line="15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August 2018, the FASB issued ASU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ASU 2018-15 was issued</w:t>
      </w:r>
    </w:p>
    <w:p>
      <w:pPr>
        <w:ind w:right="140"/>
        <w:spacing w:after="0" w:line="268" w:lineRule="auto"/>
        <w:rPr>
          <w:sz w:val="20"/>
          <w:szCs w:val="20"/>
          <w:color w:val="auto"/>
        </w:rPr>
      </w:pPr>
      <w:r>
        <w:rPr>
          <w:rFonts w:ascii="Arial" w:cs="Arial" w:eastAsia="Arial" w:hAnsi="Arial"/>
          <w:sz w:val="17"/>
          <w:szCs w:val="17"/>
          <w:color w:val="auto"/>
        </w:rPr>
        <w:t>to clarify the requirements of ASC 350-40—</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("ASC 350-40"). The ASU clarifies that implementation, setup and other upfront costs related to cloud computing agreements ("CCA") should be accounted for under ASC 350-40. ASC 2018-15 will require companies to capitalize certain costs incurred when purchasing a CCA that is a service. Under the new guidance, companies will apply the same criteria for capitalizing implementation costs in a CCA service as they would for internal-use software. The capitalized implementation costs will generally be expensed over the term of the service arrangement and the related assets will be assessed for impairment using the same model applied to long-lived assets. This ASU is effective for annual reporting periods beginning after December 15, 2019, including interim periods within that reporting period, with early adoption permitted. ASU 2018-15 can be applied either retrospectively or prospectively to all implementation costs incurred after the date of adoption. The Company adopted ASU 2018-15 as of January 1, 2020 on a prospective basis. The standard had no material impact on its consolidated financial statements and related disclosures.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In December 2019, the FASB issued ASU 2019-12—</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ASU 2019-12 simplifies the accounting for income taxes by removing certain exceptions to general principles in Topic 740 and clarifies and amends existing guidance for clarity and consistent application. This guidance is effective for fiscal years and interim periods within those fiscal years, beginning after December 15, 2020 including interim reporting periods within those fiscal years. Early adoption is permitted. The Company is evaluating the impact of adopting this new accounting guidance on its consolidated financial statements and related disclosures, but does not anticipate it will have a material impact.</w:t>
      </w:r>
    </w:p>
    <w:p>
      <w:pPr>
        <w:spacing w:after="0" w:line="52"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EPS:</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(59,318)</w:t>
            </w:r>
          </w:p>
        </w:tc>
        <w:tc>
          <w:tcPr>
            <w:tcW w:w="10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Weighted-average unvested restricted stock</w:t>
            </w:r>
          </w:p>
        </w:tc>
        <w:tc>
          <w:tcPr>
            <w:tcW w:w="4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Weighted-average common shares outstanding used to compute net loss</w:t>
            </w:r>
          </w:p>
        </w:tc>
        <w:tc>
          <w:tcPr>
            <w:tcW w:w="4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110,416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53,023</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91,371</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per share</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400" w:type="dxa"/>
            <w:vAlign w:val="bottom"/>
            <w:tcBorders>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496"/>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loss per share attributable to common stockholders for each period presented because they are anti-dilutive:</w:t>
      </w:r>
    </w:p>
    <w:p>
      <w:pPr>
        <w:spacing w:after="0" w:line="90" w:lineRule="exact"/>
        <w:rPr>
          <w:sz w:val="20"/>
          <w:szCs w:val="20"/>
          <w:color w:val="auto"/>
        </w:rPr>
      </w:pPr>
    </w:p>
    <w:p>
      <w:pPr>
        <w:ind w:left="6080"/>
        <w:spacing w:after="0"/>
        <w:tabs>
          <w:tab w:leader="none" w:pos="908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20320</wp:posOffset>
            </wp:positionV>
            <wp:extent cx="372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7" w:lineRule="exact"/>
        <w:rPr>
          <w:sz w:val="20"/>
          <w:szCs w:val="20"/>
          <w:color w:val="auto"/>
        </w:rPr>
      </w:pPr>
    </w:p>
    <w:p>
      <w:pPr>
        <w:jc w:val="center"/>
        <w:ind w:left="5460"/>
        <w:spacing w:after="0"/>
        <w:tabs>
          <w:tab w:leader="none" w:pos="2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23495</wp:posOffset>
            </wp:positionV>
            <wp:extent cx="1817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00"/>
        <w:spacing w:after="0" w:line="304" w:lineRule="auto"/>
        <w:rPr>
          <w:sz w:val="20"/>
          <w:szCs w:val="20"/>
          <w:color w:val="auto"/>
        </w:rPr>
      </w:pPr>
      <w:r>
        <w:rPr>
          <w:rFonts w:ascii="Arial" w:cs="Arial" w:eastAsia="Arial" w:hAnsi="Arial"/>
          <w:sz w:val="14"/>
          <w:szCs w:val="14"/>
          <w:b w:val="1"/>
          <w:bCs w:val="1"/>
          <w:color w:val="auto"/>
        </w:rPr>
        <w:t>September 30, 2020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-132715</wp:posOffset>
            </wp:positionV>
            <wp:extent cx="1834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60" w:space="280"/>
            <w:col w:w="2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Unvested restricted stock awards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Unvested performance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shares excluded from net loss per share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The Company generates revenue from transactions where it provides a platform for the purchase and sale of digital advertising inventory. The Company also generates revenue from the fee it charges clients for use of its Demand Manager product, which generally is a percentage of the client's advertising spending on any advertising marketplace.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an underlying agreement existing with the client and a fixed or determinable transaction price. Performance obligations for all transactions are satisfied, and the corresponding revenue is recognized, at a distinct point in time when an ad renders. The Company does not have arrangements with multiple performance obligations.</w:t>
      </w:r>
    </w:p>
    <w:p>
      <w:pPr>
        <w:spacing w:after="0" w:line="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spacing w:after="0" w:line="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substantially all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However, for certain transactions related to revenue streams acquired in connection with the Merger with Telaria, the Company reports revenue on a gross basis, based primarily on 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determination that the Company acts as the primary obligor in the delivery of advertising campaigns for buyers with respect to such transactions. For the three months ended September 30, 2020, revenue reported on a gross basis was less than 2% of total revenue.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by channel for the three and nine months ended September 30,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187"/>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 2019</w:t>
            </w:r>
          </w:p>
        </w:tc>
      </w:tr>
      <w:tr>
        <w:trPr>
          <w:trHeight w:val="183"/>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7"/>
          </w:tcPr>
          <w:p>
            <w:pPr>
              <w:ind w:left="80"/>
              <w:spacing w:after="0"/>
              <w:rPr>
                <w:sz w:val="20"/>
                <w:szCs w:val="20"/>
                <w:color w:val="auto"/>
              </w:rPr>
            </w:pPr>
            <w:r>
              <w:rPr>
                <w:rFonts w:ascii="Arial" w:cs="Arial" w:eastAsia="Arial" w:hAnsi="Arial"/>
                <w:sz w:val="14"/>
                <w:szCs w:val="14"/>
                <w:b w:val="1"/>
                <w:bCs w:val="1"/>
                <w:color w:val="auto"/>
                <w:w w:val="96"/>
              </w:rPr>
              <w:t>(in thousands, except percentages)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220" w:type="dxa"/>
            <w:vAlign w:val="bottom"/>
          </w:tcPr>
          <w:p>
            <w:pPr>
              <w:ind w:left="340"/>
              <w:spacing w:after="0"/>
              <w:rPr>
                <w:sz w:val="20"/>
                <w:szCs w:val="20"/>
                <w:color w:val="auto"/>
              </w:rPr>
            </w:pPr>
            <w:r>
              <w:rPr>
                <w:rFonts w:ascii="Arial" w:cs="Arial" w:eastAsia="Arial" w:hAnsi="Arial"/>
                <w:sz w:val="18"/>
                <w:szCs w:val="18"/>
                <w:color w:val="auto"/>
              </w:rPr>
              <w:t>CTV</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Desktop</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r>
      <w:tr>
        <w:trPr>
          <w:trHeight w:val="229"/>
        </w:trPr>
        <w:tc>
          <w:tcPr>
            <w:tcW w:w="3220" w:type="dxa"/>
            <w:vAlign w:val="bottom"/>
          </w:tcPr>
          <w:p>
            <w:pPr>
              <w:ind w:left="340"/>
              <w:spacing w:after="0"/>
              <w:rPr>
                <w:sz w:val="20"/>
                <w:szCs w:val="20"/>
                <w:color w:val="auto"/>
              </w:rPr>
            </w:pPr>
            <w:r>
              <w:rPr>
                <w:rFonts w:ascii="Arial" w:cs="Arial" w:eastAsia="Arial" w:hAnsi="Arial"/>
                <w:sz w:val="18"/>
                <w:szCs w:val="18"/>
                <w:color w:val="auto"/>
              </w:rPr>
              <w:t>Mobile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29,022</w:t>
            </w:r>
          </w:p>
        </w:tc>
        <w:tc>
          <w:tcPr>
            <w:tcW w:w="10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21,706</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60,183</w:t>
            </w:r>
          </w:p>
        </w:tc>
        <w:tc>
          <w:tcPr>
            <w:tcW w:w="1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56</w:t>
            </w:r>
          </w:p>
        </w:tc>
      </w:tr>
      <w:tr>
        <w:trPr>
          <w:trHeight w:val="24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our revenue disaggregated by geographic location, based on the location of the Company's sellers: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6"/>
                <w:szCs w:val="16"/>
                <w:color w:val="auto"/>
              </w:rPr>
            </w:pPr>
          </w:p>
        </w:tc>
      </w:tr>
      <w:tr>
        <w:trPr>
          <w:trHeight w:val="187"/>
        </w:trPr>
        <w:tc>
          <w:tcPr>
            <w:tcW w:w="5380" w:type="dxa"/>
            <w:vAlign w:val="bottom"/>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30, 2019</w:t>
            </w:r>
          </w:p>
        </w:tc>
      </w:tr>
      <w:tr>
        <w:trPr>
          <w:trHeight w:val="183"/>
        </w:trPr>
        <w:tc>
          <w:tcPr>
            <w:tcW w:w="5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r>
      <w:tr>
        <w:trPr>
          <w:trHeight w:val="231"/>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34,274</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107,928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4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September 30, 2020, two buyers accounted for 37% and 9%, respectively, of consolidated accounts receivable. At December 31, 2019, two buyers accounted for 23% and 17%, respectively, of consolidated accounts receivable.</w:t>
      </w:r>
    </w:p>
    <w:p>
      <w:pPr>
        <w:spacing w:after="0" w:line="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$4.5 million at September 30, 2020, and $3.4 million at December 31, 2019. Accounts receivable are written off against the allowance for doubtful accounts when the Company determines amounts are no longer collectible.</w:t>
      </w:r>
    </w:p>
    <w:p>
      <w:pPr>
        <w:spacing w:after="0" w:line="73"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$1.9 million and $0.9 million as of September 30, 2020 and December 31, 2019, respectively.</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activity in the allowance for doubtful accounts for the three and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0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60" w:type="dxa"/>
            <w:vAlign w:val="bottom"/>
          </w:tcPr>
          <w:p>
            <w:pPr>
              <w:jc w:val="right"/>
              <w:ind w:right="75"/>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95"/>
              <w:spacing w:after="0" w:line="147" w:lineRule="exact"/>
              <w:rPr>
                <w:sz w:val="20"/>
                <w:szCs w:val="20"/>
                <w:color w:val="auto"/>
              </w:rPr>
            </w:pPr>
            <w:r>
              <w:rPr>
                <w:rFonts w:ascii="Arial" w:cs="Arial" w:eastAsia="Arial" w:hAnsi="Arial"/>
                <w:sz w:val="14"/>
                <w:szCs w:val="14"/>
                <w:b w:val="1"/>
                <w:bCs w:val="1"/>
                <w:color w:val="auto"/>
                <w:w w:val="91"/>
              </w:rPr>
              <w:t>September 30,</w:t>
            </w:r>
          </w:p>
        </w:tc>
      </w:tr>
      <w:tr>
        <w:trPr>
          <w:trHeight w:val="188"/>
        </w:trPr>
        <w:tc>
          <w:tcPr>
            <w:tcW w:w="6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183"/>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40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Allowance for doubtful accounts, Merger-assumed</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Increase (decrease) in provision for expected credit losses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previous write-offs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Allowance for doubtful accounts, September 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During the three months ended September 30, 2020 and September 30, 2019, the provision for expected credit losses associated with accounts receivable and the offset by increases of contra seller payables related to recoveries of uncollected buyer receivables were insignificant, resulting in insignificant amount of bad debt. During the nine months ended September 30, 2020, the provision for expected credit losses associated with accounts receivable of $1.9 million was offset by increases of contra seller payables related to recoveries of uncollected buyer receivables of $1.8 million, which resulted in an insignificant amount of bad debt expense. During the nine months ended September 30, 2019, the provision for expected credit losses associated with accounts receivable of $3.6 million was offset by increases of contra seller payables related to recoveries of uncollected buyer receivables of $2.7 million, which resulted in bad debt expense of $0.9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7" w:lineRule="exact"/>
        <w:rPr>
          <w:sz w:val="20"/>
          <w:szCs w:val="20"/>
          <w:color w:val="auto"/>
        </w:rPr>
      </w:pPr>
    </w:p>
    <w:p>
      <w:pPr>
        <w:ind w:left="1140" w:right="36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48"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 or liability, either directly or indirectly.</w:t>
      </w:r>
    </w:p>
    <w:p>
      <w:pPr>
        <w:spacing w:after="0" w:line="113"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Quoted Prices in</w:t>
            </w:r>
          </w:p>
        </w:tc>
        <w:tc>
          <w:tcPr>
            <w:tcW w:w="1700" w:type="dxa"/>
            <w:vAlign w:val="bottom"/>
            <w:vMerge w:val="restart"/>
          </w:tcPr>
          <w:p>
            <w:pPr>
              <w:jc w:val="center"/>
              <w:ind w:left="304"/>
              <w:spacing w:after="0"/>
              <w:rPr>
                <w:sz w:val="20"/>
                <w:szCs w:val="20"/>
                <w:color w:val="auto"/>
              </w:rPr>
            </w:pPr>
            <w:r>
              <w:rPr>
                <w:rFonts w:ascii="Arial" w:cs="Arial" w:eastAsia="Arial" w:hAnsi="Arial"/>
                <w:sz w:val="14"/>
                <w:szCs w:val="14"/>
                <w:b w:val="1"/>
                <w:bCs w:val="1"/>
                <w:color w:val="auto"/>
                <w:w w:val="95"/>
              </w:rPr>
              <w:t>Significant Other</w:t>
            </w:r>
          </w:p>
        </w:tc>
        <w:tc>
          <w:tcPr>
            <w:tcW w:w="660" w:type="dxa"/>
            <w:vAlign w:val="bottom"/>
          </w:tcPr>
          <w:p>
            <w:pPr>
              <w:spacing w:after="0"/>
              <w:rPr>
                <w:sz w:val="14"/>
                <w:szCs w:val="14"/>
                <w:color w:val="auto"/>
              </w:rPr>
            </w:pP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44"/>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7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700" w:type="dxa"/>
            <w:vAlign w:val="bottom"/>
          </w:tcPr>
          <w:p>
            <w:pPr>
              <w:jc w:val="center"/>
              <w:ind w:left="28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660" w:type="dxa"/>
            <w:vAlign w:val="bottom"/>
          </w:tcPr>
          <w:p>
            <w:pPr>
              <w:spacing w:after="0"/>
              <w:rPr>
                <w:sz w:val="11"/>
                <w:szCs w:val="11"/>
                <w:color w:val="auto"/>
              </w:rPr>
            </w:pPr>
          </w:p>
        </w:tc>
        <w:tc>
          <w:tcPr>
            <w:tcW w:w="1740" w:type="dxa"/>
            <w:vAlign w:val="bottom"/>
          </w:tcPr>
          <w:p>
            <w:pPr>
              <w:jc w:val="center"/>
              <w:ind w:right="184"/>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94"/>
              </w:rPr>
              <w:t>(Level 2)</w:t>
            </w: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00" w:type="dxa"/>
            <w:vAlign w:val="bottom"/>
          </w:tcPr>
          <w:p>
            <w:pPr>
              <w:jc w:val="right"/>
              <w:ind w:right="604"/>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7,868</w:t>
            </w:r>
          </w:p>
        </w:tc>
        <w:tc>
          <w:tcPr>
            <w:tcW w:w="1700" w:type="dxa"/>
            <w:vAlign w:val="bottom"/>
            <w:shd w:val="clear" w:color="auto" w:fill="CCEEFF"/>
          </w:tcPr>
          <w:p>
            <w:pPr>
              <w:jc w:val="right"/>
              <w:ind w:right="144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2019:</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center"/>
              <w:ind w:right="224"/>
              <w:spacing w:after="0"/>
              <w:rPr>
                <w:sz w:val="20"/>
                <w:szCs w:val="20"/>
                <w:color w:val="auto"/>
              </w:rPr>
            </w:pPr>
            <w:r>
              <w:rPr>
                <w:rFonts w:ascii="Arial" w:cs="Arial" w:eastAsia="Arial" w:hAnsi="Arial"/>
                <w:sz w:val="14"/>
                <w:szCs w:val="14"/>
                <w:b w:val="1"/>
                <w:bCs w:val="1"/>
                <w:color w:val="auto"/>
                <w:w w:val="93"/>
              </w:rPr>
              <w:t>Quoted Prices in</w:t>
            </w:r>
          </w:p>
        </w:tc>
        <w:tc>
          <w:tcPr>
            <w:tcW w:w="1700" w:type="dxa"/>
            <w:vAlign w:val="bottom"/>
            <w:vMerge w:val="restart"/>
          </w:tcPr>
          <w:p>
            <w:pPr>
              <w:jc w:val="center"/>
              <w:ind w:left="324"/>
              <w:spacing w:after="0"/>
              <w:rPr>
                <w:sz w:val="20"/>
                <w:szCs w:val="20"/>
                <w:color w:val="auto"/>
              </w:rPr>
            </w:pPr>
            <w:r>
              <w:rPr>
                <w:rFonts w:ascii="Arial" w:cs="Arial" w:eastAsia="Arial" w:hAnsi="Arial"/>
                <w:sz w:val="14"/>
                <w:szCs w:val="14"/>
                <w:b w:val="1"/>
                <w:bCs w:val="1"/>
                <w:color w:val="auto"/>
                <w:w w:val="93"/>
              </w:rPr>
              <w:t>Significant Other</w:t>
            </w:r>
          </w:p>
        </w:tc>
        <w:tc>
          <w:tcPr>
            <w:tcW w:w="660" w:type="dxa"/>
            <w:vAlign w:val="bottom"/>
          </w:tcPr>
          <w:p>
            <w:pPr>
              <w:spacing w:after="0"/>
              <w:rPr>
                <w:sz w:val="14"/>
                <w:szCs w:val="14"/>
                <w:color w:val="auto"/>
              </w:rPr>
            </w:pPr>
          </w:p>
        </w:tc>
        <w:tc>
          <w:tcPr>
            <w:tcW w:w="17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7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4"/>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700" w:type="dxa"/>
            <w:vAlign w:val="bottom"/>
          </w:tcPr>
          <w:p>
            <w:pPr>
              <w:jc w:val="center"/>
              <w:ind w:left="324"/>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660" w:type="dxa"/>
            <w:vAlign w:val="bottom"/>
          </w:tcPr>
          <w:p>
            <w:pPr>
              <w:spacing w:after="0"/>
              <w:rPr>
                <w:sz w:val="11"/>
                <w:szCs w:val="11"/>
                <w:color w:val="auto"/>
              </w:rPr>
            </w:pPr>
          </w:p>
        </w:tc>
        <w:tc>
          <w:tcPr>
            <w:tcW w:w="174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4"/>
              </w:rPr>
              <w:t>(Level 1)</w:t>
            </w:r>
          </w:p>
        </w:tc>
        <w:tc>
          <w:tcPr>
            <w:tcW w:w="170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w w:val="94"/>
              </w:rPr>
              <w:t>(Level 2)</w:t>
            </w: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00" w:type="dxa"/>
            <w:vAlign w:val="bottom"/>
          </w:tcPr>
          <w:p>
            <w:pPr>
              <w:jc w:val="right"/>
              <w:ind w:right="584"/>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13,501</w:t>
            </w:r>
          </w:p>
        </w:tc>
        <w:tc>
          <w:tcPr>
            <w:tcW w:w="1700" w:type="dxa"/>
            <w:vAlign w:val="bottom"/>
            <w:shd w:val="clear" w:color="auto" w:fill="CCEEFF"/>
          </w:tcPr>
          <w:p>
            <w:pPr>
              <w:jc w:val="right"/>
              <w:ind w:right="142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At September 30, 2020 and December 31, 2019, cash equivalents of $7.9 million and $13.5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5—Other Balance Sheet Amounts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2019</w:t>
            </w:r>
          </w:p>
        </w:tc>
      </w:tr>
      <w:tr>
        <w:trPr>
          <w:trHeight w:val="187"/>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payable—seller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247,891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payable—trade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payables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259,439</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Restricted cash was $1.3 million at September 30, 2020, which is included in the ending balance of cash, cash equivalents and cash in the condensed consolidated statement of cash flows for the nine months ended September 30, 2020. Restricted cash of $0.6 million was included within prepaid and other current assets and $0.7 million was included within other assets, non-current. There was no restricted cash at December 31,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goodwill balance as of September 30, 2020 and December 31, 2019 was $157.8 million and $7.4 million, respectively. The increase during the nine months ended September 30, 2020 was a result of the Merger with Telaria (see Note 7).</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September 30, 2020 and December 31, 2019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December 31, 2019</w:t>
            </w:r>
          </w:p>
        </w:tc>
      </w:tr>
      <w:tr>
        <w:trPr>
          <w:trHeight w:val="187"/>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123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772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19,658</w:t>
            </w:r>
          </w:p>
        </w:tc>
      </w:tr>
      <w:tr>
        <w:trPr>
          <w:trHeight w:val="230"/>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identifiable intangible assets, gross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21,398</w:t>
            </w: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amortization—intangible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(9,823)</w:t>
            </w:r>
          </w:p>
        </w:tc>
      </w:tr>
      <w:tr>
        <w:trPr>
          <w:trHeight w:val="229"/>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Backlog</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accumulated amortization—intangible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300" w:firstLine="607"/>
        <w:spacing w:after="0" w:line="277" w:lineRule="auto"/>
        <w:rPr>
          <w:sz w:val="20"/>
          <w:szCs w:val="20"/>
          <w:color w:val="auto"/>
        </w:rPr>
      </w:pPr>
      <w:r>
        <w:rPr>
          <w:rFonts w:ascii="Arial" w:cs="Arial" w:eastAsia="Arial" w:hAnsi="Arial"/>
          <w:sz w:val="18"/>
          <w:szCs w:val="18"/>
          <w:color w:val="auto"/>
        </w:rPr>
        <w:t>Amortization of intangible assets for the three months ended September 30, 2020 and 2019 was $7.8 million and $0.7 million, respectively, and $16.9 million and $2.3 million for the nine months ended September 30, 2020 and 2019, respectively.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remaining amortization expense associated with the Company's intangible assets was as follows as of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87"/>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30,772</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13,881</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Due to the economic impact associated with the COVID-19 pandemic, the Company performed a qualitative assessment of its long-lived assets and goodwill and concluded based on the Company's assessment of current market capitalization, adequate cash position, and expected future results, that there were no impairment indicators as of September 30, 2020 that would indicate impairment of its long-lived assets, including fixed assets, intangibles, and internal use capitalized software costs, and goodwill.</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Combinations</w:t>
      </w:r>
    </w:p>
    <w:p>
      <w:pPr>
        <w:spacing w:after="0" w:line="10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April 1, 2020, (the "Acquisition Date"), the Company completed the Merger with Telaria. Upon completion of the Merger, each share of Telaria common stock issued and outstanding was converted into 1.082 shares of Magnite common stock. As a result, the Company issued 52,098,945 shares of Magnite common stock. In connection with the Merger, Magnite also assumed Telaria’s 2013 Equity Incentive Plan, as amended; 2008 Stock Plan, as amended; and the ScanScout, Inc. 2009 Equity Incentive Plan, as amended.</w:t>
      </w:r>
    </w:p>
    <w:p>
      <w:pPr>
        <w:spacing w:after="0" w:line="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the Acquisition Date, former holders of Telaria common stock owned approximately 48% and pre-merger holders of Magnite common stock owned approximately 52% of the common stock of the combined company on a fully diluted basis.</w:t>
      </w:r>
    </w:p>
    <w:p>
      <w:pPr>
        <w:spacing w:after="0" w:line="3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 xml:space="preserve">The Merger was accounted for using the acquisition method of accounting in accordance with Accounting Standards Codification, referred to as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Magnite management determined that Magnite was the acquiror for financial accounting purposes. In identifying Magnite as the accounting acquiror, management considered the structure of the transaction and other actions contemplated by the merger agreement, relative outstanding share ownership and market values, the composition of the combined company’s board of directors, the relative size of Magnite and Telaria, and the designation of certain senior management positions of the combined company.</w:t>
      </w:r>
    </w:p>
    <w:p>
      <w:pPr>
        <w:spacing w:after="0" w:line="5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4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For purposes of measuring the estimated fair value, where applicable, of the assets acquired and the liabilities assumed as reflected in the unaudited condensed combined financial information,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restructuring charges are not included as components of consideration transferred but are accounted for as expenses in the period in which the costs are incurred.</w:t>
      </w:r>
    </w:p>
    <w:p>
      <w:pPr>
        <w:spacing w:after="0" w:line="3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Merger attributable to pre-acquisition services was recorded as purchase consideration. The fair value of the restricted stock units and stock options exchanged on the date of the Merger attributable to post-acquisition services will be recorded as additional stock-based compensation expense in the Company's consolidated statements of operations over their remaining requisite service (vesting) periods.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total purchase consideration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Magnite common stock</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274,604</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Fair value of stock-based awards exchanged</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11,646</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Acceleration of single trigger equity awards, converted</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8760" w:type="dxa"/>
            <w:vAlign w:val="bottom"/>
          </w:tcPr>
          <w:p>
            <w:pPr>
              <w:ind w:left="220"/>
              <w:spacing w:after="0"/>
              <w:rPr>
                <w:sz w:val="20"/>
                <w:szCs w:val="20"/>
                <w:color w:val="auto"/>
              </w:rPr>
            </w:pPr>
            <w:r>
              <w:rPr>
                <w:rFonts w:ascii="Arial" w:cs="Arial" w:eastAsia="Arial" w:hAnsi="Arial"/>
                <w:sz w:val="18"/>
                <w:szCs w:val="18"/>
                <w:color w:val="auto"/>
              </w:rPr>
              <w:t>Total purchase consideration</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287,418</w:t>
            </w:r>
          </w:p>
        </w:tc>
      </w:tr>
      <w:tr>
        <w:trPr>
          <w:trHeight w:val="20"/>
        </w:trPr>
        <w:tc>
          <w:tcPr>
            <w:tcW w:w="8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purchase consideration for the acquisition included 52,008,316 shares of the Company's common stock with a fair value of approximately $274.6 million, based on the Company's stock price as reported on the NYSE on the Acquisition Date. The fair value of stock options and restricted stock units exchanged on the Acquisition Date attributable to pre-acquisition services of approximately $10.4 million and $1.2 million, respectively, have been recorded as purchase consideration. In addition, the Company recorded additional purchase consideration associated with acceleration of 90,629 shares of common stock issued associated with single-trigger equity awards in the amount of $1.2 million.</w:t>
      </w:r>
    </w:p>
    <w:p>
      <w:pPr>
        <w:spacing w:after="0" w:line="5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fair value of stock options and restricted stock units exchanged on the Acquisition Date attributable to post-acquisition services of $4.7 million and $12.2 million, respectively, will be recorded as additional stock-based compensation expense on the Company's consolidated statement of operations over their remaining requisite service (vesting) periods.</w:t>
      </w:r>
    </w:p>
    <w:p>
      <w:pPr>
        <w:spacing w:after="0" w:line="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purchase price was allocated to the identifiable assets acquired and liabilities assumed based upon their estimated fair values as of the date of the acquisition as set forth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51,848</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150,924</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 asset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26,627</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102,650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non-current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490,706</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173,643</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 current portion</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Lease liabilities - non-current portion</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23,323</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203,288</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287,418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believes the amount of goodwill resulting from the purchase price allocation is primarily attributable to expected synergies from assembled workforce, an increase in development capabilities, increased offerings to customers, and enhanced opportunities for growth and innovation. Goodwill will not be amortized but instead will be tested for impairment at least</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annually or more frequently if certain indicators of impairment are present. In the event that goodwill has become impaired, the Company will record an expense for the amount impaired during the quarter in which the determination is made. The goodwill generated in the Merger is not tax deductible.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the intangible assets and estimated useful lives (dollars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8,230</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4.7 years*</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Backlog</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0.75 years</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0.25 years</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102,650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0</wp:posOffset>
            </wp:positionV>
            <wp:extent cx="1062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0" w:lineRule="exact"/>
        <w:rPr>
          <w:sz w:val="20"/>
          <w:szCs w:val="20"/>
          <w:color w:val="auto"/>
        </w:rPr>
      </w:pPr>
    </w:p>
    <w:p>
      <w:pPr>
        <w:ind w:left="20" w:right="740" w:firstLine="6"/>
        <w:spacing w:after="0"/>
        <w:tabs>
          <w:tab w:leader="none" w:pos="14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In-process research and development consists of two projects with a weighted-average useful life of 4.7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-226695</wp:posOffset>
            </wp:positionV>
            <wp:extent cx="1062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580" w:firstLine="648"/>
        <w:spacing w:after="0" w:line="275" w:lineRule="auto"/>
        <w:rPr>
          <w:sz w:val="20"/>
          <w:szCs w:val="20"/>
          <w:color w:val="auto"/>
        </w:rPr>
      </w:pPr>
      <w:r>
        <w:rPr>
          <w:rFonts w:ascii="Arial" w:cs="Arial" w:eastAsia="Arial" w:hAnsi="Arial"/>
          <w:sz w:val="17"/>
          <w:szCs w:val="17"/>
          <w:color w:val="auto"/>
        </w:rPr>
        <w:t>The 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and trademarks is included in sales and marketing expenses in the condensed consolidated statement of operations. Once the projects associated with acquired in-process research and development are completed, amortization will be included in cost of revenues in the consolidated statement of operations. The intangible assets generated in the Merger are not tax deductible.</w:t>
      </w:r>
    </w:p>
    <w:p>
      <w:pPr>
        <w:spacing w:after="0" w:line="5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such, as part of the Merger, deferred tax liabilities of $23.9 million were established related to the acquired intangible assets, which were fully offset by the estimated income tax effect of the partial release of Telaria's valuation allowance. The deferred tax liability was calculated based on an estimated combined tax rate of 23.3%.</w:t>
      </w:r>
    </w:p>
    <w:p>
      <w:pPr>
        <w:spacing w:after="0" w:line="62"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The Company recognized approximately $2.3 million and $16.7 million of acquisition related costs during the three and nine months ended September 30, 2020, respectively (see Note 8). In addition, as part of the Merger, the Company acquired Telaria's U.S. federal NOLs of approximately $126.2 million and state NOLs of approximately $128.0 million. Pursuant to Section 382 of the Internal Revenue Code, Telaria, Inc. underwent an ownership change for tax purposes. As a result, the use of the NOLs will be subject to annual Section 382 use limitations. The Company believes the ownership change will not impact the Company's ability to utilize substantially all of the NOLs to the extent it generates taxable income that can be offset by such losses.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0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Merger occurred on January 1, 2019.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3880" w:type="dxa"/>
            <w:vAlign w:val="bottom"/>
            <w:gridSpan w:val="3"/>
          </w:tcPr>
          <w:p>
            <w:pPr>
              <w:ind w:left="1200"/>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0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2019</w:t>
            </w:r>
          </w:p>
        </w:tc>
      </w:tr>
      <w:tr>
        <w:trPr>
          <w:trHeight w:val="184"/>
        </w:trPr>
        <w:tc>
          <w:tcPr>
            <w:tcW w:w="5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 Forma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54,206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ind w:left="1060"/>
              <w:spacing w:after="0"/>
              <w:rPr>
                <w:sz w:val="20"/>
                <w:szCs w:val="20"/>
                <w:color w:val="auto"/>
              </w:rPr>
            </w:pPr>
            <w:r>
              <w:rPr>
                <w:rFonts w:ascii="Arial" w:cs="Arial" w:eastAsia="Arial" w:hAnsi="Arial"/>
                <w:sz w:val="18"/>
                <w:szCs w:val="18"/>
                <w:color w:val="auto"/>
              </w:rPr>
              <w:t>154,663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ind w:left="1060"/>
              <w:spacing w:after="0"/>
              <w:rPr>
                <w:sz w:val="20"/>
                <w:szCs w:val="20"/>
                <w:color w:val="auto"/>
              </w:rPr>
            </w:pPr>
            <w:r>
              <w:rPr>
                <w:rFonts w:ascii="Arial" w:cs="Arial" w:eastAsia="Arial" w:hAnsi="Arial"/>
                <w:sz w:val="18"/>
                <w:szCs w:val="18"/>
                <w:color w:val="auto"/>
                <w:w w:val="98"/>
              </w:rPr>
              <w:t>156,330</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(69,706)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2"/>
              </w:rPr>
              <w:t>(73,358)</w:t>
            </w:r>
          </w:p>
        </w:tc>
      </w:tr>
    </w:tbl>
    <w:p>
      <w:pPr>
        <w:spacing w:after="0" w:line="200" w:lineRule="exact"/>
        <w:rPr>
          <w:sz w:val="20"/>
          <w:szCs w:val="20"/>
          <w:color w:val="auto"/>
        </w:rPr>
      </w:pPr>
    </w:p>
    <w:p>
      <w:pPr>
        <w:spacing w:after="0" w:line="23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During the three and nine months ended September 30, 2020, post-Merger revenue on a stand-alone basis for Telaria was $19.7 million and $32.8 million, respectively. During the three and nine months ended September 30, 2020, due to the process of integrating the operations of Telaria into the operations of the Company, the determination of Telaria's post-Merger operating results on a standalone basis were impracticable.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8—Merger and Restructuring Costs</w:t>
      </w:r>
    </w:p>
    <w:p>
      <w:pPr>
        <w:spacing w:after="0" w:line="9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Merger and restructuring costs consist primarily of professional services fees and employee termination costs, including stock-based compensation charges, associated with the Merger and resulting restructuring activities.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Merger and restructuring cost activity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Nine Months Ended</w:t>
            </w:r>
          </w:p>
        </w:tc>
      </w:tr>
      <w:tr>
        <w:trPr>
          <w:trHeight w:val="213"/>
        </w:trPr>
        <w:tc>
          <w:tcPr>
            <w:tcW w:w="8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Borders>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September 30, 2020</w:t>
            </w:r>
          </w:p>
        </w:tc>
      </w:tr>
      <w:tr>
        <w:trPr>
          <w:trHeight w:val="183"/>
        </w:trPr>
        <w:tc>
          <w:tcPr>
            <w:tcW w:w="8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gridSpan w:val="4"/>
          </w:tcPr>
          <w:p>
            <w:pPr>
              <w:jc w:val="right"/>
              <w:ind w:right="1074"/>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color w:val="auto"/>
              </w:rPr>
              <w:t>Professional Service (investment banking advisory, legal and other professional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9,533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related (severance and one-time termination benefit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 (double-trigger acceleration and severance)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merger and restructuring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Accrued restructuring costs related to the Merger were $5.1 million at September 30, 2020. Accrued restructuring costs are included within other liabilities on the Company's condensed consolidated balance sheets.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40" w:type="dxa"/>
            <w:vAlign w:val="bottom"/>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40" w:type="dxa"/>
            <w:vAlign w:val="bottom"/>
          </w:tcPr>
          <w:p>
            <w:pPr>
              <w:ind w:left="20"/>
              <w:spacing w:after="0"/>
              <w:rPr>
                <w:sz w:val="20"/>
                <w:szCs w:val="20"/>
                <w:color w:val="auto"/>
              </w:rPr>
            </w:pPr>
            <w:r>
              <w:rPr>
                <w:rFonts w:ascii="Arial" w:cs="Arial" w:eastAsia="Arial" w:hAnsi="Arial"/>
                <w:sz w:val="18"/>
                <w:szCs w:val="18"/>
                <w:color w:val="auto"/>
              </w:rPr>
              <w:t>Accrued Merger and restructuring costs at December 31,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r>
      <w:tr>
        <w:trPr>
          <w:trHeight w:val="230"/>
        </w:trPr>
        <w:tc>
          <w:tcPr>
            <w:tcW w:w="9340" w:type="dxa"/>
            <w:vAlign w:val="bottom"/>
          </w:tcPr>
          <w:p>
            <w:pPr>
              <w:ind w:left="120"/>
              <w:spacing w:after="0"/>
              <w:rPr>
                <w:sz w:val="20"/>
                <w:szCs w:val="20"/>
                <w:color w:val="auto"/>
              </w:rPr>
            </w:pPr>
            <w:r>
              <w:rPr>
                <w:rFonts w:ascii="Arial" w:cs="Arial" w:eastAsia="Arial" w:hAnsi="Arial"/>
                <w:sz w:val="18"/>
                <w:szCs w:val="18"/>
                <w:color w:val="auto"/>
              </w:rPr>
              <w:t>Restructuring costs, Merger assumed loss contracts</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29"/>
        </w:trPr>
        <w:tc>
          <w:tcPr>
            <w:tcW w:w="9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restructuring costs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30"/>
        </w:trPr>
        <w:tc>
          <w:tcPr>
            <w:tcW w:w="9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Merger and restructuring costs at September 30, 2020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08" w:lineRule="exact"/>
        <w:rPr>
          <w:sz w:val="20"/>
          <w:szCs w:val="20"/>
          <w:color w:val="auto"/>
        </w:rPr>
      </w:pPr>
    </w:p>
    <w:p>
      <w:pPr>
        <w:ind w:right="20" w:firstLine="607"/>
        <w:spacing w:after="0" w:line="270"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Outstanding options vest based upon continued service at varying rates, but generally over four years from issuance with 25% vesting after one year of service and the remainder vesting monthly thereafter. RSAs and RSUs vest at varying rates, typically with approximately 25% vesting after approximately one year of service and the remainder vesting semi-annually thereafter, but with certain retention grants vesting 50% on each of the first and second anniversaries of the grant date. Restricted stock units granted in 2020 have approximately 25% of the award vesting after approximately one year of service and the remainder vesting quarterly thereafter. Options, RSAs, and RSUs granted under the plans accelerate under certain circumstances for certain participants upon a change in control, as defined in the governing plan or award agreement. An aggregate of 9,509,867 shares remained available for future grants at September 30, 2020 under the plans.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2020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Average 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4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1,145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assumed in Merger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(1,336)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5.54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20,257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2020</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87"/>
              </w:rPr>
              <w:t>4.05 years</w:t>
            </w:r>
          </w:p>
        </w:tc>
        <w:tc>
          <w:tcPr>
            <w:tcW w:w="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line="20" w:lineRule="exact"/>
              <w:rPr>
                <w:sz w:val="1"/>
                <w:szCs w:val="1"/>
                <w:color w:val="auto"/>
              </w:rPr>
            </w:pPr>
          </w:p>
        </w:tc>
      </w:tr>
      <w:tr>
        <w:trPr>
          <w:trHeight w:val="204"/>
        </w:trPr>
        <w:tc>
          <w:tcPr>
            <w:tcW w:w="4920" w:type="dxa"/>
            <w:vAlign w:val="bottom"/>
            <w:vMerge w:val="continue"/>
          </w:tcPr>
          <w:p>
            <w:pPr>
              <w:spacing w:after="0"/>
              <w:rPr>
                <w:sz w:val="17"/>
                <w:szCs w:val="17"/>
                <w:color w:val="auto"/>
              </w:rPr>
            </w:pPr>
          </w:p>
        </w:tc>
        <w:tc>
          <w:tcPr>
            <w:tcW w:w="1480" w:type="dxa"/>
            <w:vAlign w:val="bottom"/>
          </w:tcPr>
          <w:p>
            <w:pPr>
              <w:jc w:val="right"/>
              <w:spacing w:after="0" w:line="204" w:lineRule="exact"/>
              <w:rPr>
                <w:sz w:val="20"/>
                <w:szCs w:val="20"/>
                <w:color w:val="auto"/>
              </w:rPr>
            </w:pPr>
            <w:r>
              <w:rPr>
                <w:rFonts w:ascii="Arial" w:cs="Arial" w:eastAsia="Arial" w:hAnsi="Arial"/>
                <w:sz w:val="18"/>
                <w:szCs w:val="18"/>
                <w:color w:val="auto"/>
              </w:rPr>
              <w:t>5,732</w:t>
            </w:r>
          </w:p>
        </w:tc>
        <w:tc>
          <w:tcPr>
            <w:tcW w:w="3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total intrinsic values of options exercised during the nine months ended September 30, 2020 was $5.9 million. At September 30, 2020, the Company had unrecognized employee stock-based compensation expense relating to unvested stock options of approximately $8.3 million, which is expected to be recognized over a weighted-average period of 2.6 years. Total fair value of options vested during the nine months ended September 30, 2020 was $3.7 million.</w:t>
      </w: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grant date fair value of options granted and assumed during the nine months ended September 30, 2020 was $3.17 per share. The grant date fair value of options granted during the nine months ended September 30, 2020, was $3.22 per share and the fair value of options assumed in the Merger was $3.16 per share.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input assumptions used by the Company were as follows for options granted during the respective periods: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34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240" w:type="dxa"/>
            <w:vAlign w:val="bottom"/>
            <w:gridSpan w:val="5"/>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166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September 30, 2019</w:t>
            </w:r>
          </w:p>
        </w:tc>
        <w:tc>
          <w:tcPr>
            <w:tcW w:w="100" w:type="dxa"/>
            <w:vAlign w:val="bottom"/>
          </w:tcPr>
          <w:p>
            <w:pPr>
              <w:spacing w:after="0"/>
              <w:rPr>
                <w:sz w:val="15"/>
                <w:szCs w:val="15"/>
                <w:color w:val="auto"/>
              </w:rPr>
            </w:pPr>
          </w:p>
        </w:tc>
        <w:tc>
          <w:tcPr>
            <w:tcW w:w="15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8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jc w:val="right"/>
              <w:spacing w:after="0"/>
              <w:rPr>
                <w:sz w:val="20"/>
                <w:szCs w:val="20"/>
                <w:color w:val="auto"/>
              </w:rPr>
            </w:pPr>
            <w:r>
              <w:rPr>
                <w:rFonts w:ascii="Arial" w:cs="Arial" w:eastAsia="Arial" w:hAnsi="Arial"/>
                <w:sz w:val="18"/>
                <w:szCs w:val="18"/>
                <w:color w:val="auto"/>
              </w:rPr>
              <w:t>0.33 %</w:t>
            </w:r>
          </w:p>
        </w:tc>
        <w:tc>
          <w:tcPr>
            <w:tcW w:w="120" w:type="dxa"/>
            <w:vAlign w:val="bottom"/>
          </w:tcPr>
          <w:p>
            <w:pPr>
              <w:spacing w:after="0"/>
              <w:rPr>
                <w:sz w:val="19"/>
                <w:szCs w:val="19"/>
                <w:color w:val="auto"/>
              </w:rPr>
            </w:pPr>
          </w:p>
        </w:tc>
        <w:tc>
          <w:tcPr>
            <w:tcW w:w="1520" w:type="dxa"/>
            <w:vAlign w:val="bottom"/>
            <w:gridSpan w:val="3"/>
          </w:tcPr>
          <w:p>
            <w:pPr>
              <w:ind w:left="1080"/>
              <w:spacing w:after="0"/>
              <w:rPr>
                <w:sz w:val="20"/>
                <w:szCs w:val="20"/>
                <w:color w:val="auto"/>
              </w:rPr>
            </w:pPr>
            <w:r>
              <w:rPr>
                <w:rFonts w:ascii="Arial" w:cs="Arial" w:eastAsia="Arial" w:hAnsi="Arial"/>
                <w:sz w:val="18"/>
                <w:szCs w:val="18"/>
                <w:color w:val="auto"/>
              </w:rPr>
              <w:t>N/A</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0.45 %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ind w:left="1080"/>
              <w:spacing w:after="0"/>
              <w:rPr>
                <w:sz w:val="20"/>
                <w:szCs w:val="20"/>
                <w:color w:val="auto"/>
              </w:rPr>
            </w:pPr>
            <w:r>
              <w:rPr>
                <w:rFonts w:ascii="Arial" w:cs="Arial" w:eastAsia="Arial" w:hAnsi="Arial"/>
                <w:sz w:val="18"/>
                <w:szCs w:val="18"/>
                <w:color w:val="auto"/>
              </w:rPr>
              <w:t>N/A</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31"/>
        </w:trPr>
        <w:tc>
          <w:tcPr>
            <w:tcW w:w="566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Restricted Stock Awards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gridSpan w:val="7"/>
          </w:tcPr>
          <w:p>
            <w:pPr>
              <w:ind w:left="660"/>
              <w:spacing w:after="0"/>
              <w:rPr>
                <w:sz w:val="20"/>
                <w:szCs w:val="20"/>
                <w:color w:val="auto"/>
              </w:rPr>
            </w:pPr>
            <w:r>
              <w:rPr>
                <w:rFonts w:ascii="Arial" w:cs="Arial" w:eastAsia="Arial" w:hAnsi="Arial"/>
                <w:sz w:val="18"/>
                <w:szCs w:val="18"/>
                <w:color w:val="auto"/>
              </w:rPr>
              <w:t>A summary of RSA activity for the nine months ended September 30, 2020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2"/>
              </w:rPr>
              <w:t>Number of Shares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Weighted-Average Grant</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Unvested shares of restricted stock awards outstanding at December 31, 2019</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Vested</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Unvested shares of restricted stock awards outstanding at September 30, 2020</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unrecognized stock-based compensation expense for RSAs at September 30, 2020 as they were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for the nine months ended September 30, 2020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3"/>
        </w:trPr>
        <w:tc>
          <w:tcPr>
            <w:tcW w:w="7940" w:type="dxa"/>
            <w:vAlign w:val="bottom"/>
          </w:tcPr>
          <w:p>
            <w:pPr>
              <w:spacing w:after="0"/>
              <w:rPr>
                <w:sz w:val="15"/>
                <w:szCs w:val="15"/>
                <w:color w:val="auto"/>
              </w:rPr>
            </w:pPr>
          </w:p>
        </w:tc>
        <w:tc>
          <w:tcPr>
            <w:tcW w:w="160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outstanding at December 31, 2019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4,816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assumed in Merger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(773)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Unvested restricted stock units outstanding at September 30, 2020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weighted-average grant date fair value per share of RSUs granted during the nine months ended September 30, 2020 was $5.41. The aggregate fair value of RSUs that vested during the nine months ended September 30, 2020 was $32.1 million. At September 30, 2020, the intrinsic value of unvested RSUs was $72.8 million. At September 30, 2020, the Company had unrecognized stock-based compensation expense relating to unvested RSUs of approximately $42.8 million, which is expected to be recognized over a weighted-average period of 2.5 years.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0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April 2020, the Company granted the Company's CEO 146,341 restricted stock units that vest based on certain stock price performance metrics with a fair value of $0.9 million. The grant date fair value per share of restricted stock was $6.15, which was estimated using a Monte-Carlo lattice model. During the three and nine months ended September 30, 2020, the Company recognized $0.1 million of stock-based compensation related to these performance stock units based on a performance measurement of 44.8%. At September 30, 2020, the Company had unrecognized employee stock-based compensation expense of approximately $0.8 million, which is expected to be recognized over the remaining 2.5 years. Between 0% and 150% of the performance stock units will vest on the third anniversary of its grant date. The compensation expense will not be reversed if the performance metrics are not met.</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5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30, 2020, the Company has reserved 2,271,459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condensed consolidated statements of operations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r>
      <w:tr>
        <w:trPr>
          <w:trHeight w:val="187"/>
        </w:trPr>
        <w:tc>
          <w:tcPr>
            <w:tcW w:w="5380" w:type="dxa"/>
            <w:vAlign w:val="bottom"/>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30, 2019</w:t>
            </w:r>
          </w:p>
        </w:tc>
      </w:tr>
      <w:tr>
        <w:trPr>
          <w:trHeight w:val="183"/>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r>
      <w:tr>
        <w:trPr>
          <w:trHeight w:val="231"/>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exit costs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13,877</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04"/>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54"/>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9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6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recorded income tax expense of $0.4 million and $0.1 million for the three months ended September 30, 2020 and 2019, respectively, and an income tax expense of $0.5 million and benefit of $0.6 million for the nine months ended September 30, 2020 and 2019, respectively. The tax expense for the three and nine months ended September 30, 2020 is primarily the result of the domestic valuation allowance and the tax liability associated with the foreign subsidiaries.</w:t>
      </w:r>
    </w:p>
    <w:p>
      <w:pPr>
        <w:spacing w:after="0" w:line="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To date the Company has not taken advantage of any relief under the Cares Act.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4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uncertainty as to the realization of benefits from the Company's domestic and certain international deferred tax assets, including net operating loss carryforwards and research and development tax credits, the Company has a full valuation allowance reserved against such assets. The Company intends to continue to maintain a full valuation allowance on the deferred tax assets until there is sufficient evidence to support the reversal of all or some portion of these allowances.</w:t>
      </w:r>
    </w:p>
    <w:p>
      <w:pPr>
        <w:spacing w:after="0" w:line="6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is under examination by the IRS. The audit is in a preliminary phase and there have been no issues identified through the period ending September 30, 2020. For Canada, the Netherlands, and the United Kingdom, all tax years remain open for examination by the local country tax authorities, for France only 2018 forward are open for examination, for Singapore 2017 and forward are open for examination, for Brazil, New Zealand, and Malaysia 2016 and forward are open for examination, for Australia and Germany 2015 and forward are open for examination, and for Japan 2014 and forward remain open for examination.</w:t>
      </w:r>
    </w:p>
    <w:p>
      <w:pPr>
        <w:spacing w:after="0" w:line="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As a result, the use of our total domestic NOL carryforwards and tax credits generated prior to the ownership change will be subject to annual Section 382 use limitations. We believe that the ownership change will not impact our ability to utilize substantially all of our NOLs and carryforward credits to the extent we generate taxable income that can be offset by such losses.</w:t>
      </w:r>
    </w:p>
    <w:p>
      <w:pPr>
        <w:spacing w:after="0" w:line="5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material changes to the Company's unrecognized tax benefits in the nine months ended September 30, 2020, and the Company does not expect to have any significant changes to unrecognized tax benefits through the end of the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September 30, 2020 and December 31, 2019, the Company had $4.3 million and $2.5 million, respectively, of letters of credit associated with office leases available for borrowing, on which there were no outstanding borrowings as of either date. The Company also has operating lease agreements, discussed in more detail in Note 12. In addition, during the three months ended September 30, 2020, the Company entered into an agreement for third-party cloud-managed services. As part of the agreement, the Company has a minimum commitment to pay $20.0 million over the course of five years, with no annual minimum commitment.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04" w:lineRule="exact"/>
        <w:rPr>
          <w:sz w:val="20"/>
          <w:szCs w:val="20"/>
          <w:color w:val="auto"/>
        </w:rPr>
      </w:pPr>
    </w:p>
    <w:p>
      <w:pPr>
        <w:ind w:right="120" w:firstLine="177"/>
        <w:spacing w:after="0" w:line="291" w:lineRule="auto"/>
        <w:rPr>
          <w:sz w:val="20"/>
          <w:szCs w:val="20"/>
          <w:color w:val="auto"/>
        </w:rPr>
      </w:pPr>
      <w:r>
        <w:rPr>
          <w:rFonts w:ascii="Arial" w:cs="Arial" w:eastAsia="Arial" w:hAnsi="Arial"/>
          <w:sz w:val="16"/>
          <w:szCs w:val="16"/>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2020. However, based on management’s knowledge as of September 30, 2020,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12—Lease Obligations</w:t>
      </w:r>
    </w:p>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the three months ended September 30, 2020 and 2019, the Company recognized $3.7 million and $2.0 million, respectively, and $9.7 million and $5.7 million during the nine months ended September 30, 2020 and 2019, respectively, of lease expense under ASC 842, which included operating lease expenses associated with leases included in the lease liability and ROU asset on the condensed consolidated balance sheet. In addition, for the three months ended September 30, 2020 and 2019, the Company recognized $0.4 million and $0.1 million, respectively, and $0.8 million and $0.5 million during the nine months ended September 30, 2020 and 2019, respectively, of lease expense related to short-term leases, and $5.6 million and $2.0 million during the three months ended September 30, 2020 and 2019, respectively, and $14.0 million and $8.4 million during the nine months ended September 30, 2020 and 2019, respectively, of variable and cloud-based services related to data centers that are not included in the ROU asset or lease liability balances.</w:t>
      </w:r>
    </w:p>
    <w:p>
      <w:pPr>
        <w:spacing w:after="0" w:line="8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also received rental income of $1.2 million and $48.4 thousand for real estate leases for which it subleases the property to third parties during the three months ended September 30, 2020 and 2019, respectively, and $2.5 million and $0.2 million for the nine months ended September 30, 2020 and 2019, respectively.</w:t>
      </w:r>
    </w:p>
    <w:p>
      <w:pPr>
        <w:spacing w:after="0" w:line="116"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As of September 30, 2020, a weighted average discount rate of 5.01%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6.22 years as of September 30, 2020.</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the Company's lease liabilities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b w:val="1"/>
                <w:bCs w:val="1"/>
                <w:color w:val="auto"/>
              </w:rPr>
              <w:t>Fiscal Year</w:t>
            </w:r>
          </w:p>
        </w:tc>
        <w:tc>
          <w:tcPr>
            <w:tcW w:w="5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5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2021</w:t>
            </w:r>
          </w:p>
        </w:tc>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2023</w:t>
            </w:r>
          </w:p>
        </w:tc>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 (undiscounted)</w:t>
            </w:r>
          </w:p>
        </w:tc>
        <w:tc>
          <w:tcPr>
            <w:tcW w:w="5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liabilities—total (discounted)</w:t>
            </w:r>
          </w:p>
        </w:tc>
        <w:tc>
          <w:tcPr>
            <w:tcW w:w="5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jc w:val="right"/>
              <w:ind w:right="3670"/>
              <w:spacing w:after="0"/>
              <w:rPr>
                <w:sz w:val="20"/>
                <w:szCs w:val="20"/>
                <w:color w:val="auto"/>
              </w:rPr>
            </w:pPr>
            <w:r>
              <w:rPr>
                <w:rFonts w:ascii="Arial" w:cs="Arial" w:eastAsia="Arial" w:hAnsi="Arial"/>
                <w:sz w:val="18"/>
                <w:szCs w:val="18"/>
                <w:color w:val="auto"/>
              </w:rPr>
              <w:t>22</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 up to $10.0 million, of which $4.3 million was utilized for letters of credit related to leases as of September 30, 2020 (see Note 11). As of September 30, 2020, the amount available for borrowing was $55.7 million. The Company incurred $0.1 million of debt issuance fees that were capitalized and are being amortized over the term of the Loan Agreement.</w:t>
      </w:r>
    </w:p>
    <w:p>
      <w:pPr>
        <w:spacing w:after="0" w:line="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2.25%, with LIBOR having a floor of 3.5%. If the Company elects prime, advances bear interest at a rate of prime plus 0.25%, with prime having a floor of 3.5%.</w:t>
      </w:r>
    </w:p>
    <w:p>
      <w:pPr>
        <w:spacing w:after="0" w:line="5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Loan Agreement is collateralized by security interests in substantially all of the Company's assets. Subject to certain exceptions, the Loan Agreement restricts the Company's ability to, among other things,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The Company is required to maintain a lockbox arrangement where clients payments received in the lockbox will be deposited daily into the Company's operating bank accounts.</w:t>
      </w:r>
    </w:p>
    <w:p>
      <w:pPr>
        <w:spacing w:after="0" w:line="5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Loan Agreement requires the Company to comply with financial covenants, measured quarterly, with respect to a minimum liquidity ratio and maximum quarterly cash burn. The Company is required to maintain a minimum liquidity ratio of at least 1.25 on the last day of each quarter and not exceed, on an absolute basis, a maximum quarterly cash burn for specific periods, as defined in the Loan Agreement. The Liquidity Ratio is defined as Cash and Cash Equivalents, plus Accounts Receivable, less Accounts Payable - Seller, divided by all obligations the Company has to pay to SVB, including all debt balances, interest, service fees, and unused credit line fees, net of outstanding letters of credit as of the balance sheet date. Cash Burn is defined as Adjusted EBITDA less Capital Expenditures during the trailing periods as outlined in the Loan Agreement. The Loan Agreement defines Capital Expenditures as the current period unfinanced cash expenditures that are capitalized and amortized, including but not limited to property and equipment and capitalized labor costs as they relate to internal use software development costs. As of September 30, 2020, the Company was in compliance with its financial covenants.</w:t>
      </w:r>
    </w:p>
    <w:p>
      <w:pPr>
        <w:spacing w:after="0" w:line="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Loan Agreement also includes customary representations and warranties, affirmative covenants, and events of default, including events of default upon a change of control and material adverse change (as defined in the Loan Agreement). Following an event of default, SVB would be entitled to, among other things, accelerate payment of amounts due under the credit facility and exercise all rights of a secured creditor.</w:t>
      </w:r>
    </w:p>
    <w:p>
      <w:pPr>
        <w:spacing w:after="0" w:line="4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As of September 30, 2020, there were no amounts outstanding under the Loan Agreement (other than with respect to letters of credit). Future availability under the credit facility is dependent on several factors including the available borrowing base and compliance with future covenant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potential impacts of the COVID-19 pandemic on our business operations, financial condition, and results of operations and on the world economy; our anticipated financial performance; anticipated benefits or effects related to the consummation of the Merger with Telaria, including estimated synergies and cost savings resulting from the Merger; strategic objectives, including our focus on connected television ("CTV"), mobile, video, header bidding, Demand Manager, identity solutions, and private marketplace opportunities; investments in our business; development of our technology;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and expansion of our CTV,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52" w:lineRule="exact"/>
        <w:rPr>
          <w:sz w:val="20"/>
          <w:szCs w:val="20"/>
          <w:color w:val="auto"/>
        </w:rPr>
      </w:pPr>
    </w:p>
    <w:p>
      <w:pPr>
        <w:ind w:left="660" w:right="80" w:hanging="328"/>
        <w:spacing w:after="0" w:line="334"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the Telaria business and realize the anticipated benefits of the merger;</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our growth effectively;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of digital advertising inventory, or publishers, and increase our business with them;</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23" w:lineRule="exact"/>
        <w:rPr>
          <w:rFonts w:ascii="Arial" w:cs="Arial" w:eastAsia="Arial" w:hAnsi="Arial"/>
          <w:sz w:val="18"/>
          <w:szCs w:val="18"/>
          <w:i w:val="1"/>
          <w:iCs w:val="1"/>
          <w:color w:val="auto"/>
        </w:rPr>
      </w:pPr>
    </w:p>
    <w:p>
      <w:pPr>
        <w:jc w:val="both"/>
        <w:ind w:left="660" w:right="60" w:hanging="328"/>
        <w:spacing w:after="0" w:line="236"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18"/>
          <w:szCs w:val="18"/>
          <w:i w:val="1"/>
          <w:iCs w:val="1"/>
          <w:color w:val="auto"/>
        </w:rPr>
        <w:t>our reliance on large sources of advertising demand, including demand side platforms ("DSPs") that may have or develop high-risk credit profiles or fail to pay invoices when due, including as a result of general liquidity constraints experienced by buyers from the COVID-19 pandemic, which has caused certain buyers to delay payments or seek revised payment terms;</w:t>
      </w:r>
    </w:p>
    <w:p>
      <w:pPr>
        <w:spacing w:after="0" w:line="6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 and to fill the increased inventory;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 or uncertainty;</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buyers and sellers to establish direct relationships and integrations;</w:t>
      </w:r>
    </w:p>
    <w:p>
      <w:pPr>
        <w:spacing w:after="0" w:line="90" w:lineRule="exact"/>
        <w:rPr>
          <w:rFonts w:ascii="Arial" w:cs="Arial" w:eastAsia="Arial" w:hAnsi="Arial"/>
          <w:sz w:val="18"/>
          <w:szCs w:val="18"/>
          <w:i w:val="1"/>
          <w:iCs w:val="1"/>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cause buyers and sellers to use our solution to purchase and sell higher value advertising and to expand the use of our solution by buyers and sellers utilizing evolving digital media platforms, including CTV;</w:t>
      </w:r>
    </w:p>
    <w:p>
      <w:pPr>
        <w:spacing w:after="0" w:line="48" w:lineRule="exact"/>
        <w:rPr>
          <w:rFonts w:ascii="Arial" w:cs="Arial" w:eastAsia="Arial" w:hAnsi="Arial"/>
          <w:sz w:val="18"/>
          <w:szCs w:val="18"/>
          <w:i w:val="1"/>
          <w:iCs w:val="1"/>
          <w:color w:val="auto"/>
        </w:rPr>
      </w:pPr>
    </w:p>
    <w:p>
      <w:pPr>
        <w:ind w:left="660" w:right="32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large aggregators of advertising inventory, and the concentration of CTV among a small number of large publishers that enjoy significant negotiating leverage;</w:t>
      </w:r>
    </w:p>
    <w:p>
      <w:pPr>
        <w:spacing w:after="0" w:line="48" w:lineRule="exact"/>
        <w:rPr>
          <w:rFonts w:ascii="Arial" w:cs="Arial" w:eastAsia="Arial" w:hAnsi="Arial"/>
          <w:sz w:val="18"/>
          <w:szCs w:val="18"/>
          <w:i w:val="1"/>
          <w:iCs w:val="1"/>
          <w:color w:val="auto"/>
        </w:rPr>
      </w:pPr>
    </w:p>
    <w:p>
      <w:pPr>
        <w:ind w:left="660" w:right="36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and otherwise adapt in response to client demands and industry trends, including shifts in linear TV to CTV, digital advertising growth from desktop to mobile channels and other platforms and from display to video formats and the introduction and market acceptance of Demand Manager;</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w:t>
      </w:r>
    </w:p>
    <w:p>
      <w:pPr>
        <w:spacing w:after="0" w:line="103"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lower take rates and the need to grow through increasing the volume and/or value of transactions on our platform and increasing our fill rate;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20" w:hanging="328"/>
        <w:spacing w:after="0" w:line="334"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our vulnerability to the depletion of our cash resources as a result of the adverse impacts of the COVID-19 pandemic, or as we incur additional investments in technology required to support the increased volume of transactions on our exchange and to develop new offerings;</w:t>
      </w:r>
    </w:p>
    <w:p>
      <w:pPr>
        <w:ind w:left="660" w:hanging="328"/>
        <w:spacing w:after="0"/>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support our growth objectives in light of reduced resources resulting from the cost reduction initiatives that we implemented;</w:t>
      </w:r>
    </w:p>
    <w:p>
      <w:pPr>
        <w:spacing w:after="0" w:line="115" w:lineRule="exact"/>
        <w:rPr>
          <w:rFonts w:ascii="Arial" w:cs="Arial" w:eastAsia="Arial" w:hAnsi="Arial"/>
          <w:sz w:val="17"/>
          <w:szCs w:val="17"/>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 and grow our market share in existing markets;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ad-blocking or cookie-blocking technologies and the slow adoption of common identifiers;</w:t>
      </w:r>
    </w:p>
    <w:p>
      <w:pPr>
        <w:spacing w:after="0" w:line="90" w:lineRule="exact"/>
        <w:rPr>
          <w:rFonts w:ascii="Arial" w:cs="Arial" w:eastAsia="Arial" w:hAnsi="Arial"/>
          <w:sz w:val="18"/>
          <w:szCs w:val="18"/>
          <w:i w:val="1"/>
          <w:iCs w:val="1"/>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development and use of proprietary identity solutions as a replacement for third party cookies and other identifiers currently used in our platform;</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desktop display advertising;</w:t>
      </w:r>
    </w:p>
    <w:p>
      <w:pPr>
        <w:spacing w:after="0" w:line="103" w:lineRule="exact"/>
        <w:rPr>
          <w:rFonts w:ascii="Arial" w:cs="Arial" w:eastAsia="Arial" w:hAnsi="Arial"/>
          <w:sz w:val="18"/>
          <w:szCs w:val="18"/>
          <w:i w:val="1"/>
          <w:iCs w:val="1"/>
          <w:color w:val="auto"/>
        </w:rPr>
      </w:pPr>
    </w:p>
    <w:p>
      <w:pPr>
        <w:ind w:left="660" w:right="64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growing percentage of online and mobile advertising spending captured by owned and operated sites (such as Facebook, Google, and Amazon);</w:t>
      </w:r>
    </w:p>
    <w:p>
      <w:pPr>
        <w:spacing w:after="0" w:line="35" w:lineRule="exact"/>
        <w:rPr>
          <w:rFonts w:ascii="Arial" w:cs="Arial" w:eastAsia="Arial" w:hAnsi="Arial"/>
          <w:sz w:val="18"/>
          <w:szCs w:val="18"/>
          <w:i w:val="1"/>
          <w:iCs w:val="1"/>
          <w:color w:val="auto"/>
        </w:rPr>
      </w:pPr>
    </w:p>
    <w:p>
      <w:pPr>
        <w:ind w:left="660" w:right="18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industry growth rates for ad-supported CTV and the shift in video consumption from linear TV to digital mediums such as CTV and over-the-top ("OTT");</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adoption of programmatic advertising by CTV publishers;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 a small number of very large competitors;</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consolidation in the ad tech industry;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to combat commodification and disintermediation;</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buyer transparency initiatives we may undertake;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for discounts, fee concessions or revisions, rebates, refunds, favorable payment terms;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ensure a high level of brand safety for our clients and to detect “bot” traffic and other fraudulent or malicious activity;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103"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uncertainty and the ability of the company to attract political advertising spend;</w:t>
      </w:r>
    </w:p>
    <w:p>
      <w:pPr>
        <w:spacing w:after="0" w:line="103" w:lineRule="exact"/>
        <w:rPr>
          <w:rFonts w:ascii="Arial" w:cs="Arial" w:eastAsia="Arial" w:hAnsi="Arial"/>
          <w:sz w:val="18"/>
          <w:szCs w:val="18"/>
          <w:i w:val="1"/>
          <w:iCs w:val="1"/>
          <w:color w:val="auto"/>
        </w:rPr>
      </w:pPr>
    </w:p>
    <w:p>
      <w:pPr>
        <w:ind w:left="660" w:right="5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48"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2019 and subsequent Quarterly Reports on Form 10-Q for 2020.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5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Magnite, Inc., formerly known as The Rubicon Project, Inc. ("we," or "us"), provides technology solutions to automate the purchase and sale of digital advertising inventory. On April 1, 2020, we completed a stock-for-stock merger (“Merger”) with Telaria, Inc., (“Telaria”), a leading provider of connected television (“CTV”) technology, creating what we believe is the world’s largest independent sell-side advertising platform, offering a single partner for transacting globally across all channels, formats, and auction types.</w:t>
      </w:r>
    </w:p>
    <w:p>
      <w:pPr>
        <w:spacing w:after="0" w:line="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publishers and buyers of digital advertising inventory. We believe our platform reaches approximately one billion users creating a global, scaled, independent alternative to walled gardens, who both own and sell inventory and maintain control on the demand side.</w:t>
      </w:r>
    </w:p>
    <w:p>
      <w:pPr>
        <w:spacing w:after="0" w:line="4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Digital advertising inventory, or advertising units, can be monetized across multiple channels, including CTV, mobile, desktop and digital out-of-home, and takes various formats, including video, display, and audio. Publishers monetize their inventory through our platform by seamlessly connecting to a global market of integrated buyers that transact through real-time bidding, which includes direct sale of premium inventory to a buyer, which we refer to as private marketplace ("PMP"), and open auction bidding, where buyers bid against each other in a real-time auction for the right to purchase a publisher’s inventory, which we refer to as open marketplace ("OMP"). Real-time bidding, or programmatic, transactions automate the publishers' sales process and improve workflow capabilities to increase productivity, while increasing revenue opportunities by enabling buyers and publishers to directly communicate and share data to deliver more valuable targeted advertising.</w:t>
      </w:r>
    </w:p>
    <w:p>
      <w:pPr>
        <w:spacing w:after="0" w:line="5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provide a full suite of tools for publishers to control their advertising business and protect the consumer viewing experience. These controls are particularly important to CTV publishers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4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the same time, buyers leverage our platform to manage their advertising spending and reach their target audiences, simplify order management and campaign tracking, obtain actionable insights into audiences for their advertising, and access impression-level purchasing from thousands of sellers. Following the Merger, we believe that we are positioned as an essential omni-channel partner for buyers, offering the ability to reach target audiences at scale on brand-safe premium inventory, while providing industry-leading transparency and robust support for identity solutions.</w:t>
      </w:r>
    </w:p>
    <w:p>
      <w:pPr>
        <w:spacing w:after="0" w:line="3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generate revenue from the use of our platform for the purchase and sale of digital advertising inventory.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volume of paid impressions measured as a percentage of ad requests is referred to as fill rate. The price that buyers pay for each thousand paid impressions purchased is measured in units referred to as CPM, or cost per thousand.</w:t>
      </w:r>
    </w:p>
    <w:p>
      <w:pPr>
        <w:spacing w:after="0" w:line="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between us and the seller and the clearing price of the winning bid. We also refer to revenue divided by advertising spend as our take rate.</w:t>
      </w:r>
    </w:p>
    <w:p>
      <w:pPr>
        <w:spacing w:after="0" w:line="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Australia, and Europe and a developing presence in Asia and South America. Substantially all of our assets are U.S. assets. Our non-U.S. subsidiaries and operations perform primarily sales, marketing, and service functions.</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closing of the Merger, on April 1, 2020, we issued 52,098,945 shares of common stock to the former stockholders of Telaria. On June 8, 2020, we voluntarily delisted our common stock from the New York Stock Exchange ("NYSE") and commenced listing on the Nasdaq Global Select Market of The Nasdaq Stock Market LLC. On June 30, 2020, we changed our name from "The Rubicon Project, Inc." to "Magnite, Inc." In connection with the name change, we also changed our ticker symbol from "RUBI" to "MGNI."</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Macroeconomic Factors - COVID-19 Pandemic Impact on the Economy and the Business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COVID-19 pandemic and resulting global disruptions have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As a result, during the end of the first quarter and through the second quarter we experienced significant decreases to revenue, with revenue trends improving and stabilizing as the second quarter progressed. Although our growth remained below pre-COVID expectations, these recovery trends accelerated during the third quarter, and our business returned to positive growth, with revenue increasing 12% year-over-year on a pro-forma basis (see Note 7).</w:t>
      </w:r>
    </w:p>
    <w:p>
      <w:pPr>
        <w:spacing w:after="0" w:line="5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to the United States, we have personnel and operations in England, Canada, France, Australia, New Zealand, Germany, Italy, Japan, Singapore, and Brazil, and each of these countries has been affected by the outbreak and taken measures to try to contain it. Our global workforce maintained a work from home policy for the entirety of the second and third quarters of 2020 and is expected to continue in the foreseeable future for the majority of our employees. We intend to approach returning to our offices with caution and to prioritize the safety and health of our employees, while following the guidance set by local authorities and our landlords. In connection with returning to work, we expect to institute a number of protective measures and policies. These measures may increase our expenses as we modify our office spaces to accommodate social distancing, provision personal protective equipment, and roll out enhanced communication software to provide messaging to our employees. We believe that our employees have been able to work productively during the time period in which our global offices have been shut down. However, to the extent we have continued extended work from home requirements, or that work patterns are permanently altered, it is unclear how productivity may be impacted in the long-term, and we may have reduced workforce productivity, which could increase our costs.</w:t>
      </w:r>
    </w:p>
    <w:p>
      <w:pPr>
        <w:spacing w:after="0" w:line="5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economic health of our current and prospective buyers also impacts the collectability of our accounts receivable. Although our liquidity has not been significantly affected by the effects of COVID-19 to date, any downturn in economic conditions in the future may severely impact our liquidity as we may need additional time to collect from buyers, which will impact our ability to pay sellers.</w:t>
      </w:r>
    </w:p>
    <w:p>
      <w:pPr>
        <w:spacing w:after="0" w:line="6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Due to the substantial uncertainties associated with the COVID-19 pandemic, the extent to which the pandemic (and actions taken in response to it by governments, businesses, and individuals) will ultimately impact our business is currently unknown. There can be no assurance that any decrease in sales resulting from the COVID-19 pandemic will be offset by increased sales in subsequent periods, or that our recently observed partial revenue recovery will continue or will be sustainable over the longer term. The full magnitude of the impact of the COVID-19 pandemic on our business and depends on various factors, many of which are outside of our control. Refer to Part II, Item 1A: "Risk Factors" for additional information related to this risk.</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CTV, Mobile, and Desktop Trends</w:t>
      </w:r>
    </w:p>
    <w:p>
      <w:pPr>
        <w:spacing w:after="0" w:line="9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Publishers use our technology to monetize their content across all digital channels, including CTV, mobile and desktop. Each of these channels has its own industry growth rate, with CTV and mobile projected to continue to grow steadily, while desktop growth flattens. Prior to the COVID-19 pandemic, MAGNA's October 2020 Programmatic Market forecast has estimated compound annual growth rates from 2020 to 2024 for mobile and desktop at 18% and down 1%, respectively, and over the same period, eMarketer projected CTV to grow at a 23% compound annual growth rate.</w:t>
      </w:r>
    </w:p>
    <w:p>
      <w:pPr>
        <w:spacing w:after="0" w:line="3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the Merger, we expect CTV to be a significant driver of our revenue growth. CTV refers to the viewing of digital content on internet connected televisions, including through stand-alone streaming devices, gaming consoles and smart TV operating systems.</w:t>
      </w:r>
    </w:p>
    <w:p>
      <w:pPr>
        <w:spacing w:after="0" w:line="4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CTV viewership is growing rapidly. A June 2020 study from Leichtman Research Group found that 80 percent of TV-owning households in the U.S. have at least one internet-connected TV device. The adoption of CTV has disrupted the traditional linear TV distribution model, as eMarketer estimates that approximately 50 million people in the U.S. have "cut-the-cord" (i.e., canceled a pay TV service and continue without it) as of the end of 2019, with approximately 34% of U.S. households not reachable through traditional TV. This disruption has created new options for consumers and new economic opportunities for content publishers to compete with traditional linear TV.</w:t>
      </w:r>
    </w:p>
    <w:p>
      <w:pPr>
        <w:spacing w:after="0" w:line="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Despite the growth in CTV viewership, the CTV advertising market, in particular programmatic advertising, is still in its early stages. Historically, the largest streaming applications have been subscription-based. Moreover, CTV publishers with ad-supported models have been slower to adopt programmatic solutions compared to desktop and mobile publishers due to a variety of technical and business reasons. CTV inventory tends to be concentrated among larger publishers who often have their own direct sales forces and manage a number of media properties. Many of these publishers have backgrounds in cable or broadcast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television and have limited experience with online advertising. For these publishers, it is extremely important to protect the quality of the viewer experience, to maintain brand goodwill and ensure that online advertising efforts do not create sales channel conflicts with their other media properties or otherwise detract from their direct sales efforts. In this regard, programmatic advertising presents a number of potential challenges, including the ability to ensure that ads are brand safe, comply with business rules around competitive separation, are not overly repetitive, are played at the appropriate volume, do not cause delays in load-time of content and can accommodate spikes in video consumption around landmark live events.</w:t>
      </w:r>
    </w:p>
    <w:p>
      <w:pPr>
        <w:spacing w:after="0" w:line="2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platform was built to solve these challenges with features such as ad-podding, frequency capping, dynamic live insertion, audio normalization and creative review. In addition, we have invested significant time and resources cultivating relationships with CTV publishers. The sales cycle for these publishers tends to be longer and often involves a competitive process, as these publishers tend to work with fewer partners than digital and mobile publishers. In order to deepen our relationships with CTV partners, our sales engineers often serve a consultative role within a client’s sales organization to help establish best practices and evangelize the benefits of programmatic CTV, and for certain larger CTV publishers, we may build custom features or functionality to help drive deeper adoption. For the foregoing reasons, we believe we compete favorably for CTV inventory and believe that we will be able to grow CTV revenue faster than industry growth rates.</w:t>
      </w:r>
    </w:p>
    <w:p>
      <w:pPr>
        <w:spacing w:after="0" w:line="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the number of CTV channels continues to proliferate, we believe that ad-supported models or hybrid models that rely on a combination of subscription fees and advertising revenue will continue to gain traction. Furthermore, as the CTV market continues to mature, we believe that a greater percentage of CTV advertising inventory will be sold programmatically, similar to trends that occurred in desktop and mobile. Although we expect the COVID-19 pandemic to cause temporary headwinds relating to demand challenges, we believe that the pandemic and resulting shelter-in-place orders have the potential to accelerate these long-term CTV trends. With people spending more time at home, we have seen a large increase in viewership on CTV. This increase in viewership has the potential to create long-term changes in viewing habits. At the same time, macroeconomic challenges are driving consumers away from pay subscriptions towards ad supported models. Prolonged macroeconomic challenges may also lead CTV advertisers and publishers to more readily embrace programmatic advertising as they look to create economic efficiencies and reduce costs.</w:t>
      </w:r>
    </w:p>
    <w:p>
      <w:pPr>
        <w:spacing w:after="0" w:line="5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as streaming continues to become mainstream and ad supported models become more prevalent, brand advertisers looking to engage with streaming viewers will continue to shift their budgets from linear to CTV. This inventory is highly sought after, as it combines a traditional TV-like viewing experience with the significant advantage of digital advertising, including the ability to target audiences and measure performance in real-time.</w:t>
      </w:r>
    </w:p>
    <w:p>
      <w:pPr>
        <w:spacing w:after="0" w:line="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Due primarily to the impact of the COVID-19 pandemic, revenue from our mobile and desktop channels initially decreased during the three months ended June 30, 2020 year-over-year; however, these revenues increased during the three months ended September 30, 2020 year-over-year. In future periods, we expect our mobile business will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and prior to the coronavirus pandemic showed growth rates in excess of industry projections. Lower industry growth rates in desktop will make growth of desktop revenue more challenging; however, in future periods we believe we will be able to grow our desktop business in excess of industry projections by capturing market share through Supply Path Optimization ("SPO") and expansion of publisher relationships.</w:t>
      </w:r>
    </w:p>
    <w:p>
      <w:pPr>
        <w:spacing w:after="0" w:line="5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For the three months ended September 30, 2020, mobile, desktop and CTV represented 48%, 34%, and 18% of our revenue, respectively. Due to the higher growth rates for CTV and mobile, we expect our desktop business to decline as an overall percentage of our revenue. However, we expect our traditional desktop display business to continue to represent a significant part of our revenue in the near term. Therefore, the mix of our desktop display business will continue to have a significant effect on our growth rate until our advertising spend mix has shifted more fully to growth areas.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Path Optimization</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SPO refers to efforts by buyers to consolidate the number of vendors they work with to find the most effective and cost-efficient paths to procure media. SPO is important to buyers because it can increase the proportion of their advertising ultimately spent on working media, with the goal of increasing return on their advertising spending, and can help them gain efficiencies by reducing the number of vendors they work with in a complex ecosystem. There are a number of criteria that buyers use to evaluate supply partners, including transparency, cost, quality and breadth of inventory, access to unique inventory and to CTV inventory, privacy standards, brand safety standards, including compliance with ads.txt and similar industry standards, and fraudulent traffic prevention policies. We believe we are well positioned to benefit from supply path optimization in the long run as a result of our transparency, our pricing tools, which reduce the overall cost of working with us, our broad inventory supply across all channels and formats, buyer tools such as traffic shaping, and our brand safety measures. Our SPO positioning was further enhanced by the Merger with Telaria, which operates a leading sell-side video monetization platform built specifically for CTV. Following the combination, we offer buyers a single omni-channel partner to reach target audiences globally across all channels, including CTV, mobile, desktop, and digital out-of-home, and formats, including video, display, and audio. We believe the COVID-19 pandemic,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the resulting economic downturn, has the potential to accelerate SPO as buyers and publishers seek to work with established, trusted partners who have a strong balance sheet during times of uncertainty.</w:t>
      </w:r>
    </w:p>
    <w:p>
      <w:pPr>
        <w:spacing w:after="0" w:line="3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believe that benefits from successful outcomes in the SPO process could drive meaningful increases of ad spend across our platform. In order to achieve increased ad spend, we may negotiate discounts to our seller fees with agencies and advertisers, and we have increasingly been receiving requests from buyers for discounts, rebates, or similar incentives in order to move more advertising spending to our platform. We believe that because our business has many fixed costs, increases in ad spend volume create opportunity to disproportionately improve net income, even with increased seller fee discounts. However, our results could be negatively impacted if our advertising spend increases and cost leverage is not adequate to compensate for discounted fees.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Header Bidding</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Header bidding is a programmatic technique where publishers offer inventory to multiple ad exchanges, such as Magnite, at the same time. Header bidding has been rapidly adopted in recent years in the desktop and mobile channels, and while the rise and rapid adoption of header bidding increased revenue for sellers, it also created new challenges. Managing multiple exchanges on the page is technically complex, and in the early days of header bidding this complexity was exacerbated by the lack of independent technology standards. In 2017, we began to address these issues through our support of Prebid.org, a free and open source suite of software products designed by advertising community developers to enable publishers to implement header bidding on their websites and from within their apps. Despite Prebid’s adoption by a number of the world’s largest sellers, deploying and customizing it still requires dedicated technical resources. In 2019, we launched a new product called Demand Manager. Demand Manager helps sellers effectively monetize their advertising inventory through configuration tools and analytics to make it easier to deploy, configure, and optimize Prebid-based header bidding solutions. In late 2019, we also acquired RTK.io, a provider of header bidding solutions, to complement and further bolster our Demand Manager technology. We believe that adoption of these tools will further strengthen our relationship with sellers and contribute to our future revenue growth. We charge sellers a fee for Demand Manager that is based on all of the sellers’ advertising spending managed through Demand Manager, whether the actual inventory monetization runs through our exchange or otherwise.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Regulation and Identification Solutions</w:t>
      </w:r>
    </w:p>
    <w:p>
      <w:pPr>
        <w:spacing w:after="0" w:line="9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6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use of and transfer of personal data in EEA member states and the UK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EEA and UK. While data protection authorities have started to clarify certain requirements under GDPR, significant uncertainty remains as to how the regulation will be applied and enforced.</w:t>
      </w:r>
    </w:p>
    <w:p>
      <w:pPr>
        <w:spacing w:after="0" w:line="22"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6"/>
          <w:szCs w:val="16"/>
          <w:color w:val="auto"/>
        </w:rPr>
        <w:t>In addition to the GDPR, a number of new privacy regulations will or have already come into effect in 2020.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4"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color w:val="auto"/>
        </w:rPr>
        <w:t>Until prevailing compliance practices standardize, the impact of worldwide privacy regulations on our business and, consequently, our revenue could be negatively impacted.</w:t>
      </w:r>
    </w:p>
    <w:p>
      <w:pPr>
        <w:spacing w:after="0" w:line="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to privacy regulations restricting the collection of data through identifiers (such as cookies), other industry participants in the advertising technology ecosystem have taken or may take action to eliminate or restrict the use of cookies and other identifiers. For instance, Google has announced plans to fully eliminate the use of third-party cookies, while Apple has further restricted the use of mobile identifiers on its devices. It is possible that these companies may rely on proprietary algorithms or statistical methods to track web users without cookies, or may utilize log-in credentials entered by users into other web properties owned by these companies, such as their digital email services, to track web usage, including usage across multiple devices, without cookies. Alternatively, such companies may build different and potentially proprietary user tracking methods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into their widely-used web browsers and mobile operating systems. While these new identification solutions will likely provide some level of consistency and compatibility with our platform, they are unreleased and unproven, and will require substantial development and commercial changes for us to support. There is also further risk that the changes will disproportionately benefit the owners of these platforms or the large walled gardens that have access to large amounts of first party data.</w:t>
      </w:r>
    </w:p>
    <w:p>
      <w:pPr>
        <w:spacing w:after="0" w:line="5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Despite these risks, we believe that the elimination of third party cookies has the potential to shift the programmatic ecosystem from an identity model powered by buyers that are able to aggregate and target audiences through cookies to one enabled by publishers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publishers to create segments with their first-party data. In addition to actively working with publishers to develop solutions that could leverage their first party data, we are also leading efforts through Prebid.org, with industry support, to create standardized open identity solutions that ensure a smooth transition to a cookieless environment, and offer an alternative to proprietary solutions. Prebid.org is an independent organization that we co-founded, which is dedicated to promoting fair, transparent open source solutions for the programmatic ecosystem.</w:t>
      </w:r>
    </w:p>
    <w:p>
      <w:pPr>
        <w:spacing w:after="0" w:line="4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which will ultimately be positive for the advertising ecosystem in the long term. In the short term, however, these changes could create some variability in our revenue across certain buyers or sellers, depending on the timing of changes and developed solutions. As the largest independent supply side platform, we believe we are well positioned to take a leadership position in driving open identity solutions that will benefit buyers and sellers on our platform.</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Costs Synergies and Expense Reduction Initiatives</w:t>
      </w:r>
    </w:p>
    <w:p>
      <w:pPr>
        <w:spacing w:after="0" w:line="10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In connection with the Merger, which closed on April 1, 2020, we previously announced expected annual run rate cost synergies to exceed $20 million, with expected areas of synergy to include duplicative public company costs, vendor rationalization, overlapping general and administrative costs, and other operational streamlining. As a result of these efforts, we reduced our headcount by approximately 8% of our combined workforce during the second quarter of 2020. Our costs cutting efforts have largely been completed as of the end of the third quarter of 2020.</w:t>
      </w:r>
    </w:p>
    <w:p>
      <w:pPr>
        <w:spacing w:after="0" w:line="36"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In addition, given the significant impact resulting from the COVID-19 pandemic, we instituted certain additional short-term actions during the second quarter, including compensation reductions, a hiring freeze, and deferment of certain capital expenditures. Given the recovery in revenue we experienced in the third quarter, we reinstated compensation and removed certain of these temporary cost-cutting initiatives during the fourth quarter.</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generate revenue from the purchase and sale of digital advertising inventory through our platform. We also generate revenue from the fee we charge clients for use of our Demand Manager product, which generally is a percentage of the client's advertising spending on any advertising marketplace. We recognize revenue upon the fulfillment of our contractual obligations in connection with a completed transaction, subject to satisfying all other revenue recognition criteria. For substantially all transactions executed through our platform, we act as an agent on behalf of the publisher that is monetizing its inventory, and revenue is recognized net of any advertising inventory costs that we remit to publishers. With respect to certain revenue streams acquired in connection with the Merger with Telaria, we report revenue on a gross basis, based primarily on our determination that the Company acts as the primary obligor in the delivery of advertising campaigns for our buyer clients with respect to such transactions. The revenue that we recognized on a gross basis was less than 2% of total revenue during the three and nine months ended September 30, 2020. Our revenue recognition policies are discussed in more detail in Note 3 of the accompanying Notes to the Condensed Consolidated Financial Statements.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1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Our cost of revenue consists primarily of data center costs, bandwidth costs, ad protection costs, depreciation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73"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consist primarily of personnel costs, including salaries, bonuses, and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Our technology and development expenses consist primarily of personnel costs, including salaries,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as well as professional services associated with the ongoing development and maintenance of our solution, and to a lesser extent, facilities-related costs and depreciation and amortization.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4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5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Merger and Restructuring Costs. </w:t>
      </w:r>
      <w:r>
        <w:rPr>
          <w:rFonts w:ascii="Arial" w:cs="Arial" w:eastAsia="Arial" w:hAnsi="Arial"/>
          <w:sz w:val="17"/>
          <w:szCs w:val="17"/>
          <w:color w:val="auto"/>
        </w:rPr>
        <w:t>Our merger and restructuring costs consist primarily of professional services fees associated with the Merger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termination costs, including stock-based compensation charges, associated with the Merger and restructuring activities.</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consists of interest earned on our cash equivalents and marketable securities. Interest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related to our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consists primarily of rental income from commercial office space we hold under lease and have sublet to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tenants.</w:t>
      </w:r>
    </w:p>
    <w:p>
      <w:pPr>
        <w:spacing w:after="0" w:line="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primarily of gains and losses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 We have foreign currency exposure related to our accounts receivable and accounts payable that are denominated in currencies other than the U.S. Dollar, principally the British Pound, Australian Dollar, and the Euro.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our condensed consolidated results of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3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September 30, 2019</w:t>
            </w:r>
          </w:p>
        </w:tc>
        <w:tc>
          <w:tcPr>
            <w:tcW w:w="120" w:type="dxa"/>
            <w:vAlign w:val="bottom"/>
          </w:tcPr>
          <w:p>
            <w:pPr>
              <w:spacing w:after="0"/>
              <w:rPr>
                <w:sz w:val="14"/>
                <w:szCs w:val="14"/>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Change %</w:t>
            </w: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26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(1)(2)</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21,761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11,040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33,151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3"/>
        </w:trPr>
        <w:tc>
          <w:tcPr>
            <w:tcW w:w="286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9,121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29,428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Merger and restructuring costs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expenses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71,922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44,323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136,497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711 %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195" w:lineRule="exact"/>
        <w:rPr>
          <w:sz w:val="20"/>
          <w:szCs w:val="20"/>
          <w:color w:val="auto"/>
        </w:rPr>
      </w:pPr>
    </w:p>
    <w:p>
      <w:pPr>
        <w:ind w:left="5900"/>
        <w:spacing w:after="0"/>
        <w:tabs>
          <w:tab w:leader="none" w:pos="90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23495</wp:posOffset>
            </wp:positionV>
            <wp:extent cx="39433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ind w:left="5160"/>
        <w:spacing w:after="0"/>
        <w:tabs>
          <w:tab w:leader="none" w:pos="672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23495</wp:posOffset>
            </wp:positionV>
            <wp:extent cx="19373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23495</wp:posOffset>
            </wp:positionV>
            <wp:extent cx="19373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7940" w:space="380"/>
            <w:col w:w="2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5,928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4,182</w:t>
            </w:r>
          </w:p>
        </w:tc>
      </w:tr>
      <w:tr>
        <w:trPr>
          <w:trHeight w:val="246"/>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6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r>
      <w:tr>
        <w:trPr>
          <w:trHeight w:val="240"/>
        </w:trPr>
        <w:tc>
          <w:tcPr>
            <w:tcW w:w="502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6,005</w:t>
            </w:r>
          </w:p>
        </w:tc>
      </w:tr>
      <w:tr>
        <w:trPr>
          <w:trHeight w:val="219"/>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Merger and restructuring costs</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020" w:type="dxa"/>
            <w:vAlign w:val="bottom"/>
          </w:tcPr>
          <w:p>
            <w:pPr>
              <w:ind w:left="520"/>
              <w:spacing w:after="0"/>
              <w:rPr>
                <w:sz w:val="20"/>
                <w:szCs w:val="20"/>
                <w:color w:val="auto"/>
              </w:rPr>
            </w:pPr>
            <w:r>
              <w:rPr>
                <w:rFonts w:ascii="Arial" w:cs="Arial" w:eastAsia="Arial" w:hAnsi="Arial"/>
                <w:sz w:val="16"/>
                <w:szCs w:val="16"/>
                <w:color w:val="auto"/>
              </w:rPr>
              <w:t>Total stock-based compensation expense</w:t>
            </w: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7,350</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21,298</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13,877</w:t>
            </w:r>
          </w:p>
        </w:tc>
      </w:tr>
      <w:tr>
        <w:trPr>
          <w:trHeight w:val="24"/>
        </w:trPr>
        <w:tc>
          <w:tcPr>
            <w:tcW w:w="5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446"/>
        </w:trPr>
        <w:tc>
          <w:tcPr>
            <w:tcW w:w="5680" w:type="dxa"/>
            <w:vAlign w:val="bottom"/>
            <w:gridSpan w:val="2"/>
          </w:tcPr>
          <w:p>
            <w:pPr>
              <w:ind w:left="20"/>
              <w:spacing w:after="0"/>
              <w:rPr>
                <w:sz w:val="20"/>
                <w:szCs w:val="20"/>
                <w:color w:val="auto"/>
              </w:rPr>
            </w:pPr>
            <w:r>
              <w:rPr>
                <w:rFonts w:ascii="Arial" w:cs="Arial" w:eastAsia="Arial" w:hAnsi="Arial"/>
                <w:sz w:val="16"/>
                <w:szCs w:val="16"/>
                <w:color w:val="auto"/>
                <w:w w:val="94"/>
              </w:rPr>
              <w:t>(2) Depreciation and amortization expense included in our expenses was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86"/>
        </w:trPr>
        <w:tc>
          <w:tcPr>
            <w:tcW w:w="5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7620</wp:posOffset>
            </wp:positionV>
            <wp:extent cx="39433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16" w:lineRule="exact"/>
        <w:rPr>
          <w:sz w:val="20"/>
          <w:szCs w:val="20"/>
          <w:color w:val="auto"/>
        </w:rPr>
      </w:pPr>
    </w:p>
    <w:p>
      <w:pPr>
        <w:ind w:left="5160"/>
        <w:spacing w:after="0"/>
        <w:tabs>
          <w:tab w:leader="none" w:pos="672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23495</wp:posOffset>
            </wp:positionV>
            <wp:extent cx="19373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23495</wp:posOffset>
            </wp:positionV>
            <wp:extent cx="19373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7940" w:space="380"/>
            <w:col w:w="2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23,540</w:t>
            </w: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46"/>
        </w:trPr>
        <w:tc>
          <w:tcPr>
            <w:tcW w:w="5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40"/>
        </w:trPr>
        <w:tc>
          <w:tcPr>
            <w:tcW w:w="50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r>
      <w:tr>
        <w:trPr>
          <w:trHeight w:val="235"/>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depreciation and amortization expense</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177"/>
        <w:spacing w:after="0" w:line="277" w:lineRule="auto"/>
        <w:rPr>
          <w:sz w:val="20"/>
          <w:szCs w:val="20"/>
          <w:color w:val="auto"/>
        </w:rPr>
      </w:pPr>
      <w:r>
        <w:rPr>
          <w:rFonts w:ascii="Arial" w:cs="Arial" w:eastAsia="Arial" w:hAnsi="Arial"/>
          <w:sz w:val="18"/>
          <w:szCs w:val="18"/>
          <w:color w:val="auto"/>
        </w:rPr>
        <w:t>The following table sets forth our condensed consolidated results of operations for the specified periods as a percentage of our revenue for those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r>
      <w:tr>
        <w:trPr>
          <w:trHeight w:val="187"/>
        </w:trPr>
        <w:tc>
          <w:tcPr>
            <w:tcW w:w="4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r>
      <w:tr>
        <w:trPr>
          <w:trHeight w:val="251"/>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620" w:type="dxa"/>
            <w:vAlign w:val="bottom"/>
          </w:tcPr>
          <w:p>
            <w:pPr>
              <w:ind w:left="480"/>
              <w:spacing w:after="0"/>
              <w:rPr>
                <w:sz w:val="20"/>
                <w:szCs w:val="20"/>
                <w:color w:val="auto"/>
              </w:rPr>
            </w:pPr>
            <w:r>
              <w:rPr>
                <w:rFonts w:ascii="Arial" w:cs="Arial" w:eastAsia="Arial" w:hAnsi="Arial"/>
                <w:sz w:val="18"/>
                <w:szCs w:val="18"/>
                <w:color w:val="auto"/>
              </w:rPr>
              <w:t>Cost of revenue</w:t>
            </w: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3"/>
                <w:szCs w:val="23"/>
                <w:color w:val="auto"/>
              </w:rPr>
            </w:pPr>
          </w:p>
        </w:tc>
      </w:tr>
      <w:tr>
        <w:trPr>
          <w:trHeight w:val="270"/>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3"/>
                <w:szCs w:val="23"/>
                <w:color w:val="auto"/>
              </w:rPr>
            </w:pPr>
          </w:p>
        </w:tc>
      </w:tr>
      <w:tr>
        <w:trPr>
          <w:trHeight w:val="270"/>
        </w:trPr>
        <w:tc>
          <w:tcPr>
            <w:tcW w:w="4620" w:type="dxa"/>
            <w:vAlign w:val="bottom"/>
          </w:tcPr>
          <w:p>
            <w:pPr>
              <w:ind w:left="480"/>
              <w:spacing w:after="0"/>
              <w:rPr>
                <w:sz w:val="20"/>
                <w:szCs w:val="20"/>
                <w:color w:val="auto"/>
              </w:rPr>
            </w:pPr>
            <w:r>
              <w:rPr>
                <w:rFonts w:ascii="Arial" w:cs="Arial" w:eastAsia="Arial" w:hAnsi="Arial"/>
                <w:sz w:val="18"/>
                <w:szCs w:val="18"/>
                <w:color w:val="auto"/>
              </w:rPr>
              <w:t>Technology and development</w:t>
            </w: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3"/>
                <w:szCs w:val="23"/>
                <w:color w:val="auto"/>
              </w:rPr>
            </w:pPr>
          </w:p>
        </w:tc>
      </w:tr>
      <w:tr>
        <w:trPr>
          <w:trHeight w:val="229"/>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r>
      <w:tr>
        <w:trPr>
          <w:trHeight w:val="229"/>
        </w:trPr>
        <w:tc>
          <w:tcPr>
            <w:tcW w:w="4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Merger and restructuring costs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5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shd w:val="clear" w:color="auto" w:fill="CCEEFF"/>
          </w:tcPr>
          <w:p>
            <w:pPr>
              <w:spacing w:after="0"/>
              <w:rPr>
                <w:sz w:val="21"/>
                <w:szCs w:val="21"/>
                <w:color w:val="auto"/>
              </w:rPr>
            </w:pPr>
          </w:p>
        </w:tc>
      </w:tr>
      <w:tr>
        <w:trPr>
          <w:trHeight w:val="223"/>
        </w:trPr>
        <w:tc>
          <w:tcPr>
            <w:tcW w:w="462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29"/>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2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29"/>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(benefit) for income taxes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 %</w:t>
            </w:r>
          </w:p>
        </w:tc>
      </w:tr>
      <w:tr>
        <w:trPr>
          <w:trHeight w:val="21"/>
        </w:trPr>
        <w:tc>
          <w:tcPr>
            <w:tcW w:w="4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2020 and 2019</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Revenue increased $23.3 million, or 62%, for the three months ended September 30, 2020 compared to the three months ended September 30, 2019. Our revenue growth was driven primarily by the Merger, completed on April 1, 2020, which contributed $19.7 million in revenue during the three months ended September 30, 2020. Excluding the impact of the Merger, our revenue increased 10%. Despite some recovery in our revenue trends, our third quarter revenue was negatively affected by the impact of the COVID-19 pandemic.</w:t>
      </w:r>
    </w:p>
    <w:p>
      <w:pPr>
        <w:spacing w:after="0" w:line="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Revenue increased $31.7 million, or 29%, for the nine months ended September 30, 2020 compared to the prior year period, primarily due to the Merger. Excluding the impact of the Merger, our revenue decreased 1%, primarily due to the impact of the COVID-19 pandemic, which led to an overall decrease in advertiser demand.</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revenue is largely a function of the number of advertising transactions and the price at which the inventory is sold, which results in total advertising spend on our platform, and the take rate we charge for our services. Because these factors vary across publisher, channel and transaction type, our revenue is impacted by shifts in the mix of advertising spend on our platform. For instance, an increase in PMP transactions as a percentage of the transactions on our platform could also result in reduced revenue, if not offset by increased volume or increased CPMs, because PMP transactions can carry lower take rates than OMP transactions. We believe that contributions to revenue from PMP, in particular with respect to CTV which is largely transacted through PMP, will continue to grow as a percentage of our total revenue. In general, we expect this to result in an increase in the average CPM for inventory monetized through our platform and a decrease in our average take rate.</w:t>
      </w:r>
    </w:p>
    <w:p>
      <w:pPr>
        <w:spacing w:after="0" w:line="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Merger, we expect revenue to increase in 2020 compared to 2019, specifically related to CTV. However, these increases have been tempered, and may be partially offset in the future, by reductions in revenue resulting from the economic impact of the COVID-19 pandemic. Although the full magnitude of the impact of the COVID-19 pandemic on our business and operations remains uncertain, the continued spread of COVID-19, the imposition of related public health measures, and travel and business restrictions will adversely impact the combined company’s forecasted business, financial condition, operating results and cash flows. Refer to Part II, Item 1A: "Risk Factors" for additional information related to this risk factor and the impact it may have on our business.</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Cost of revenue increased $7.2 million, or 52%, for the three months ended September 30, 2020 compared to the three months ended September 30, 2019, primarily due to the Merger. Cost of revenue increased by $4.2 million in data and bandwidth expenses and $1.8 million in depreciation and amortization during the three months ended September 30, 2020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the nine months ended September 30, 2020, cost of revenue increased $12.5 million, or 28%, compared to the prior year period primarily due to the Merger. Cost of revenue increased by $6.9 million in data and bandwidth expenses and $2.9 million in depreciation and amortization during the nine months ended September 30, 2020 compared to the same period in the prior year.</w:t>
      </w:r>
    </w:p>
    <w:p>
      <w:pPr>
        <w:spacing w:after="0" w:line="14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expect cost of revenue to be higher in 2020 compared to 2019 in absolute dollars due to the increased amortization of intangible assets resulting from the Merger in addition to increased expenses as we continue to expand select data center operations to cloud service providers to accelerate innovation and gain efficiencies, and to support the growth of our business. These increases will be partially offset by a decrease in cost of revenue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3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and marketing expenses increased $10.7 million, or 97%, for the three months ended September 30, 2020 compared to the three months ended September 30, 2019, primarily due to the Merger and associated increases in headcount and the amortization of acquired intangibles and other assets. Sales and marketing expenses increased by $7.1 million related to personnel expenses and by $4.2 million related to depreciation and amortization associated with the Merger. These increases were partially offset by a decrease of $0.9 million in travel and industry events due to the impact of the COVID-19 pandemic.</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nine months ended September 30, 2020, sales and marketing expenses increased $19.9 million, or 60%, compared to the prior year period for the same reasons above. Sales and marketing expenses increased by $13.1 million related to personnel expenses and by $8.7 million related to depreciation and amortization associated with the Merger. These increases were partially offset by a decrease of $2.0 million in travel and industry events due to the impact of the COVID-19 pandemic.</w:t>
      </w:r>
    </w:p>
    <w:p>
      <w:pPr>
        <w:spacing w:after="0" w:line="14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expect sales and marketing expenses to increase in 2020 compared to 2019 in absolute dollars as a result of the Merger, primarily due to additional headcount. These increases will be partially offset by a decrease in sales and marketing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9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Technology and development expenses increased $3.3 million, or 32%, for the three months ended September 30, 2020 compared to the three months ended September 30, 2019, due to an increase of $3.3 million in personnel costs as a result of the increased headcount associated with the Merger.</w:t>
      </w:r>
    </w:p>
    <w:p>
      <w:pPr>
        <w:spacing w:after="0" w:line="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nine months ended September 30, 2020, technology and development expenses increased $7.5 million, or 25%, compared to the prior year period, due to an increase of $7.5 million in personnel costs primarily for the same reasons above and an increase of $0.9 million in professional services. These increases were offset by individually insignificant drivers.</w:t>
      </w:r>
    </w:p>
    <w:p>
      <w:pPr>
        <w:spacing w:after="0" w:line="14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technology and development expenses to continue to increase in 2020 compared to 2019 in absolute dollars as a result of the Merger, primarily due to additional headcount. These increases will be partially offset by a decrease in technology and development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4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General and administrative expenses increased by $4.2 million, or 46%, for the three months ended September 30, 2020 compared to the three months ended September 30, 2019, primarily due to increases of $1.8 million in personnel expenses, $1.4 million in facilities related expenses, and $0.8 million in professional services primarily associated with the Merger.</w:t>
      </w:r>
    </w:p>
    <w:p>
      <w:pPr>
        <w:spacing w:after="0" w:line="14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For the nine months ended September 30, 2020, general and administrative expenses increased $8.8 million, or 30%, compared to the prior year period, primarily due to increases of $5.0 million in personnel expenses, $3.3 million in facilities related expenses, and $1.5 million in professional services for the same reasons above. The increase was partially offset by a decrease of $0.9 million related to bad debt.</w:t>
      </w:r>
    </w:p>
    <w:p>
      <w:pPr>
        <w:spacing w:after="0" w:line="1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expect general and administrative expenses to continue to increase in 2020 compared to 2019 in absolute dollars as a result of the Merger, primarily due to the additional headcount. These increases will be partially offset by a decrease in general and administrative expenses in the remainder of the year associated with merger synergies and our expense reduction initiatives. For details surrounding our expense reduction initiatives, refer to "Merger Costs Synergies and Expense Reduction Initiatives" discussed above.</w:t>
      </w:r>
    </w:p>
    <w:p>
      <w:pPr>
        <w:spacing w:after="0" w:line="16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and Restructuring Costs</w:t>
      </w:r>
    </w:p>
    <w:p>
      <w:pPr>
        <w:spacing w:after="0" w:line="18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incurred merger and restructuring costs of $2.3 million and $16.7 million during the three and nine months ended September 30, 2020, respectively. These costs included professional fees of $1.0 million and $9.5 million related to investment banking advisory, legal, and other professional service fees, one-time cash-based employee termination benefit costs of $0.9 million and $5.6 million, and non-cash stock-based compensation expense associated with double-trigger accelerations and severance benefits of $0.4 million and $1.6 million during the three and nine months ended September 30, 2020, respectively. There were no merger and restructuring costs incurred during the three and nine months ended September 30, 2019.</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8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30, 2019</w:t>
            </w:r>
          </w:p>
        </w:tc>
      </w:tr>
      <w:tr>
        <w:trPr>
          <w:trHeight w:val="177"/>
        </w:trPr>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3"/>
              </w:rPr>
              <w:t>(in thousands)</w:t>
            </w:r>
          </w:p>
        </w:tc>
        <w:tc>
          <w:tcPr>
            <w:tcW w:w="460" w:type="dxa"/>
            <w:vAlign w:val="bottom"/>
          </w:tcPr>
          <w:p>
            <w:pPr>
              <w:spacing w:after="0"/>
              <w:rPr>
                <w:sz w:val="15"/>
                <w:szCs w:val="15"/>
                <w:color w:val="auto"/>
              </w:rPr>
            </w:pPr>
          </w:p>
        </w:tc>
        <w:tc>
          <w:tcPr>
            <w:tcW w:w="1800" w:type="dxa"/>
            <w:vAlign w:val="bottom"/>
            <w:gridSpan w:val="3"/>
          </w:tcPr>
          <w:p>
            <w:pPr>
              <w:jc w:val="right"/>
              <w:ind w:right="336"/>
              <w:spacing w:after="0"/>
              <w:rPr>
                <w:sz w:val="20"/>
                <w:szCs w:val="20"/>
                <w:color w:val="auto"/>
              </w:rPr>
            </w:pPr>
            <w:r>
              <w:rPr>
                <w:rFonts w:ascii="Arial" w:cs="Arial" w:eastAsia="Arial" w:hAnsi="Arial"/>
                <w:sz w:val="13"/>
                <w:szCs w:val="13"/>
                <w:b w:val="1"/>
                <w:bCs w:val="1"/>
                <w:color w:val="auto"/>
              </w:rPr>
              <w:t>(in thousands)</w:t>
            </w:r>
          </w:p>
        </w:tc>
        <w:tc>
          <w:tcPr>
            <w:tcW w:w="620" w:type="dxa"/>
            <w:vAlign w:val="bottom"/>
          </w:tcPr>
          <w:p>
            <w:pPr>
              <w:spacing w:after="0"/>
              <w:rPr>
                <w:sz w:val="15"/>
                <w:szCs w:val="15"/>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Other income increased by $1.1 million and $2.3 million during the three and nine months ended September 30, 2020, respectively, compared to the same periods in prior year, primarily due to rental income from commercial office space we hold under lease and have sublet to other tenants.</w:t>
      </w:r>
    </w:p>
    <w:p>
      <w:pPr>
        <w:spacing w:after="0" w:line="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and the amount of foreign currency-denominated receivables and payables, which are impacted by our billings to buyers and payments to sellers. During the three and nine months ended September 30, 2020, the net foreign exchange gain was primarily attributable to the currency movements between the British Pound, Australian Dollar, and the Euro relative to the U.S. Dollar.</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4" w:lineRule="exact"/>
        <w:rPr>
          <w:sz w:val="20"/>
          <w:szCs w:val="20"/>
          <w:color w:val="auto"/>
        </w:rPr>
      </w:pPr>
    </w:p>
    <w:p>
      <w:pPr>
        <w:ind w:right="140" w:firstLine="180"/>
        <w:spacing w:after="0" w:line="259" w:lineRule="auto"/>
        <w:rPr>
          <w:sz w:val="20"/>
          <w:szCs w:val="20"/>
          <w:color w:val="auto"/>
        </w:rPr>
      </w:pPr>
      <w:r>
        <w:rPr>
          <w:rFonts w:ascii="Arial" w:cs="Arial" w:eastAsia="Arial" w:hAnsi="Arial"/>
          <w:sz w:val="18"/>
          <w:szCs w:val="18"/>
          <w:color w:val="auto"/>
        </w:rPr>
        <w:t>We recorded an income tax expense of $0.4 million and $0.5 million for the three and nine months ended September 30, 2020, respectively, and an income tax expense of $0.1 million and benefit of $0.6 million for the three and nine months ended September 30, 2019, respectively. The tax expense for the three and nine months ended September 30, 2020 is primarily the result of the domestic valuation allowance and the tax liability associated with the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principal sources of liquidity are our cash and cash equivalents, marketable securities, cash generated from operations, and our credit facility with Silicon Valley Bank ("SVB"). As of September 30, 2020, we had cash and cash equivalents of $103.8 million, of which $18.4 million was held in foreign currency cash accounts.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September 2020, we amended and restated our loan and security agreement with SVB (the "Loan Agreement"). The Loan Agreement provides a senior secured revolving credit facility of up to $60.0 million with a maturity date of September 25, 2022. The Loan Agreement includes a letter of credit, foreign exchange and cash management facility with a sublimit up to $10.0 million, of which $4.3 million was utilized for letters of credit related to leases as of September 30, 2020. As of September 30, 2020, the amount available for borrowing was $55.7 million (net of letters of letters of credit).</w:t>
      </w:r>
    </w:p>
    <w:p>
      <w:pPr>
        <w:spacing w:after="0" w:line="2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Pursuant to the Loan Agreement, we are required to comply with financial covenants, measured quarterly, with respect to a minimum liquidity ratio and maximum quarterly cash burn. We are required to maintain a minimum liquidity ratio of at least 1.25 on the last day of each quarter and not exceed, on an absolute basis, a maximum quarterly cash burn for specific periods, as defined in the Loan Agreement. The Liquidity Ratio is defined as Cash and Cash Equivalents, plus Accounts Receivable, less Accounts Payable - Seller, divided by all obligations due to SVB, including all debt balances, interest, service fees, and unused credit line fees, net of outstanding letters of credit as of the balance sheet date. Cash Burn is defined as Adjusted EBITDA less Capital Expenditures during the trailing periods as outlined in the Loan Agreement. The Loan Agreement defines Capital Expenditures as the current period unfinanced cash expenditures that are capitalized and amortized, including but not limited to property and equipment and capitalized labor costs as they relate to internal use software development costs. As of September 30, 2020, the Company was in compliance with its financial covenants. While we are currently in compliance with these covenants, this could change in the future depending on our operating results.</w:t>
      </w:r>
    </w:p>
    <w:p>
      <w:pPr>
        <w:spacing w:after="0" w:line="45" w:lineRule="exact"/>
        <w:rPr>
          <w:sz w:val="20"/>
          <w:szCs w:val="20"/>
          <w:color w:val="auto"/>
        </w:rPr>
      </w:pPr>
    </w:p>
    <w:p>
      <w:pPr>
        <w:ind w:right="620" w:firstLine="648"/>
        <w:spacing w:after="0" w:line="311" w:lineRule="auto"/>
        <w:rPr>
          <w:sz w:val="20"/>
          <w:szCs w:val="20"/>
          <w:color w:val="auto"/>
        </w:rPr>
      </w:pPr>
      <w:r>
        <w:rPr>
          <w:rFonts w:ascii="Arial" w:cs="Arial" w:eastAsia="Arial" w:hAnsi="Arial"/>
          <w:sz w:val="16"/>
          <w:szCs w:val="16"/>
          <w:color w:val="auto"/>
        </w:rPr>
        <w:t>As of September 30, 2020, we had no amounts outstanding under our Loan Agreement (other than with respect to letters of credit). Future availability under the credit facility is dependent on several factors including the available borrowing base and compliance with future covenant requirements. See Note 13 of "Notes to Condensed Consolidated Financial Statements" for additional information regarding the Loan Agreement.</w:t>
      </w:r>
    </w:p>
    <w:p>
      <w:pPr>
        <w:spacing w:after="0" w:line="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our existing cash and cash equivalents, investment balances, and available borrowings under our Loan Agreement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Some buyers have been demanding longer terms to pay us later, and some sellers have been demanding shorter terms to collect from us earlier. If we accept these terms, more of our cash will be required to fund our payment cycle and therefore not be available for other uses. In addition, in the event a buyer defaults on payment, we may still be required to pay sellers for the inventory purchased even if we are unable to collect from buyers. These challenges have been exacerbated by the COVID-19 pandemic and resulting economic impact, as many of our buyers are experiencing financial difficulties and liquidity constraints. In certain cases, buyers have been unable to timely make payments and we have agreed to revised payment schedules. To date, these actions have not had a material negative impact on our cash flow or liquidity. At September 30, 2020, two buyers accounted for 37% and 9%, respectively, of consolidated accounts receivable. The future capital requirements and the adequacy of available funds will depend on many factors, including the duration and severity of the COVID-19 pandemic and its impact on buyers and sellers and the factors and those set forth in Part II, Item 1A: "Risk Factors" of our Annual Report on Form 10-K for the year ended December 31, 2019, Part II, Item 1A: "Risk Factors" of our Quarterly Reports on Form 10-Q for the periods ended March 31, 2020 and June 30, 2020, and in Part II, Item 1A of this Form 10-Q.</w:t>
      </w:r>
    </w:p>
    <w:p>
      <w:pPr>
        <w:spacing w:after="0" w:line="4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 Due to the economic uncertainty caused by the COVID-19 pandemic, the debt and equity markets have become less predictable and obtaining financing on favorable terms and at favorable rates has become more difficult.</w:t>
      </w:r>
    </w:p>
    <w:p>
      <w:pPr>
        <w:spacing w:after="0" w:line="73"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September 30, 2019</w:t>
            </w:r>
          </w:p>
        </w:tc>
      </w:tr>
      <w:tr>
        <w:trPr>
          <w:trHeight w:val="18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4"/>
          </w:tcPr>
          <w:p>
            <w:pPr>
              <w:jc w:val="right"/>
              <w:ind w:right="121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nine months ended September 30, 2020, net cash used in operating activities was $24.0 million compared to net cash provided by operating activities of $9.8 million for the nine months ended September 30, 2019. Our operating activities included our net losses of $59.3 million and $27.0 million for the nine months ended September 30, 2020 and 2019, respectively, which were offset by non-cash adjustments of $55.6 million and $38.1 million, respectively. In the nine months ended September, 30 2020, cash used in operating activities was increased by a net decrease in our working capital of $20.3 million. Net cash provided by operating activities for the nine months ended September 30, 2019 was decreased by a net decrease in our working capital of $1.3 million. The net changes in working capital for both periods are primarily due to the timing of cash receipts from buyers and the timing of payments to sellers.</w:t>
      </w:r>
    </w:p>
    <w:p>
      <w:pPr>
        <w:spacing w:after="0" w:line="73" w:lineRule="exact"/>
        <w:rPr>
          <w:sz w:val="20"/>
          <w:szCs w:val="20"/>
          <w:color w:val="auto"/>
        </w:rPr>
      </w:pPr>
    </w:p>
    <w:p>
      <w:pPr>
        <w:ind w:left="180" w:right="700" w:firstLine="468"/>
        <w:spacing w:after="0" w:line="406" w:lineRule="auto"/>
        <w:rPr>
          <w:sz w:val="20"/>
          <w:szCs w:val="20"/>
          <w:color w:val="auto"/>
        </w:rPr>
      </w:pPr>
      <w:r>
        <w:rPr>
          <w:rFonts w:ascii="Arial" w:cs="Arial" w:eastAsia="Arial" w:hAnsi="Arial"/>
          <w:sz w:val="18"/>
          <w:szCs w:val="18"/>
          <w:color w:val="auto"/>
        </w:rPr>
        <w:t xml:space="preserve">We believe that cash flows from operations will continue to be negatively impacted by our ongoing net losses and working capital needs. </w:t>
      </w:r>
      <w:r>
        <w:rPr>
          <w:rFonts w:ascii="Arial" w:cs="Arial" w:eastAsia="Arial" w:hAnsi="Arial"/>
          <w:sz w:val="18"/>
          <w:szCs w:val="18"/>
          <w:b w:val="1"/>
          <w:bCs w:val="1"/>
          <w:i w:val="1"/>
          <w:iCs w:val="1"/>
          <w:color w:val="auto"/>
        </w:rPr>
        <w:t>Investing Activities</w:t>
      </w:r>
    </w:p>
    <w:p>
      <w:pPr>
        <w:spacing w:after="0" w:line="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primary investing activities have consisted of investments in, and maturities of, available-for-sale securities, purchases of property and equipment, and capital expenditures to develop our internal use software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 As we execute on our strategy to be a high volume, low cost advertising exchange, we are developing solutions to manage the growth of our digital advertising inventory volume more efficiently. We anticipate investment in internal use software development to slightly increase compared to past years' investment levels as we continue to innovate new solutions on our platform. As the business continues to grow, we expect our investment in property and equipment to slightly increase compared to 2019.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w:t>
      </w:r>
    </w:p>
    <w:p>
      <w:pPr>
        <w:spacing w:after="0" w:line="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nine months ended September 30, 2020 and 2019, our investing activities provided net cash of $43.5 million and net cash used of $4.1 million, respectively. During the nine months ended September 30, 2020 and 2019, we used cash for purchases of property and equipment of $4.2 million and $5.6 million, respectively, and used cash for investments in our internally developed software of $6.9 million and $6.0 million, respectively. The cash provided by investing activity for the nine months ended September 30, 2020 included $54.6 million of cash and restricted cash acquired as part of the Merger with Telaria. For the nine months ended September 30, 2019, we had cash inflows from net maturities of investments in available-for-sale securities of $7.5 million.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10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nine months ended September 30, 2020 and 2019, we used net cash of $3.3 million and $0.8 million, respectively, for financing activities. Cash outflows from financing activities for the nine months ended September 30, 2020 and 2019 included payments of $7.8 million and $1.8 million, respectively, for income tax deposits paid in respect of vesting of stock-based</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compensation awards that were reimbursed by the award recipients through surrender of shares. Cash provided by financing activities also included cash proceeds from stock options exercised of $3.9 million and $0.5 million for the nine months ended September 30, 2020 and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2020 other than the short-term operating leases and the indemnification agreements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0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principal commitments consist of leases for our various office facilities and operating lease agreements including data centers and cloud managed services that expire at various times through 2030. At September 30, 2020, expected future commitments relating to operating leases associated with leases included in the lease liability and ROU asset on the condensed consolidated balance sheet were $53.1 million. See Note 12 of "Notes to Condensed Consolidated Financial Statements" for our lease commitment for each of the next five years and thereafter. In certain cases, the terms of the lease agreements provide for rental payments on a graduated basis. During the three months ended September 30, 2020 and 2019, we received rental income from subleases of $1.2 million and $48.4 thousand, respectively, and $2.5 million and $0.2 million during the nine months ended September 30, 2020 and 2019, respectively. In addition, during the three months ended September 30, 2020, we entered into an agreement for third-party cloud-managed services. As part of the agreement, we have a minimum commitment to pay $20.0 million over the course of five years, with no annual minimum commitment.</w:t>
      </w:r>
    </w:p>
    <w:p>
      <w:pPr>
        <w:spacing w:after="0" w:line="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significant changes to our unrecognized tax benefits in the nine months ended September 30, 2020 and we do not expect to have any significant changes to unrecognized tax benefits through December 31, 2020.</w:t>
      </w:r>
    </w:p>
    <w:p>
      <w:pPr>
        <w:spacing w:after="0" w:line="4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internal-use software development costs, (iii) intangible asset and goodwill impairment analysis,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from those disclosed in our audited consolidated financial statements and notes thereto for the year ended December 31, 2019 included in our Annual Report on Form 10-K.</w:t>
      </w:r>
    </w:p>
    <w:p>
      <w:pPr>
        <w:spacing w:after="0" w:line="43" w:lineRule="exact"/>
        <w:rPr>
          <w:sz w:val="20"/>
          <w:szCs w:val="20"/>
          <w:color w:val="auto"/>
        </w:rPr>
      </w:pPr>
    </w:p>
    <w:p>
      <w:pPr>
        <w:ind w:left="180" w:right="260" w:firstLine="468"/>
        <w:spacing w:after="0" w:line="406"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generate revenue from transactions where we provide a platform for the purchase and sale of digital advertising inventory. We also generate revenue from the fee we charge clients for use of our Demand Manager product, which generally is a percentage of the client's advertising spending on any advertising marketplace. Our platform dynamically connects sellers and</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5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7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substantially all transactions on our platform, we have determined that we do not act as the principal in the purchase and sale of digital advertising inventory because we are not the primary obligor and do not set prices agreed upon within the auction marketplace, and therefore we report revenue on a net basis. However, for certain transactions related to revenue streams acquired in connection with the Merger with Telaria, we report revenue on a gross basis, based primarily on our determination that we act as the primary obligor in the delivery of advertising campaigns for buyers with respect to such transactions.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0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cash and cash equivalents consist of cash and money market funds.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September 30, 2020.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the U.S. Dollar, principally British Pounds, Euros and Australian Dollars.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September 30, 2020, including intercompany balances, would result in a foreign currency loss of approximately $1.0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hedge our foreign currency exchange risk. It is difficult to predict the impact hedging activities would have on our results of operations.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2020, our disclosure controls and procedures were effective at the reasonable assurance level.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September 30, 2020 that have materially affected, or are reasonably likely to materially affect, our internal control over financial reporting, except as noted below.</w:t>
      </w:r>
    </w:p>
    <w:p>
      <w:pPr>
        <w:spacing w:after="0" w:line="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7"/>
          <w:szCs w:val="17"/>
          <w:color w:val="auto"/>
        </w:rPr>
        <w:t>On April 1, 2020, we completed the Merger with Telaria. See Note 7 of "Notes to Condensed Consolidated Financial Statements" for more information. We are currently integrating Telaria into our operations and internal control processes. As we complete this integration, we are analyzing, evaluating, and where necessary, making changes in control and procedures related to the Telaria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2020 may exclude Telaria to the extent that they are not yet integrated into our internal controls environment.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ultimate aggregate amount of monetary liability, amounts which may be covered by insurance or recoverable from third parties, or the financial impact with respect to such matters as of September 30, 2020. However, based on our knowledge as of September 30, 2020,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11—"Commitments and Contingencies" for additional information related to legal proceedings.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below and in Part I, Item 1A: "Risk Factors" of our Annual Report on Form 10-K for the year ended December 31, 2019 and in Part II, Item 1A "Risk Factors" of our Quarterly Reports on Form 10-Q for the periods ended March 31, 2020 and June 30, 2020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4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following risk factors supplement the Risk Factors contained in our Annual Report on Form 10-K for the year ended December 31, 2019 and in our Quarterly Reports on Form 10-Q for the periods ended March 31, 2020 and June 30, 2020. The following disclosures do not address all risks that may be important to you as a Magnite stockholder.</w:t>
      </w:r>
    </w:p>
    <w:p>
      <w:pPr>
        <w:spacing w:after="0" w:line="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In addition to the following risk factors,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recent COVID-19 pandemic and spread of COVID-19 has impacted and may have material adverse effects on our business, financial position, results of operations and/or cash flows.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business has been impacted and may be materially adversely impacted by the effects of the COVID-19 pandemic. In addition to the United States, we have personnel and operations in England, Canada, France, Australia, New Zealand, Germany, Italy, Japan, Singapore, and Brazil, and each of these countries has been affected by the outbreak and taken measures to try to contain it. These measures have impacted and may further impact our workforce and operations, and the operations of our sellers and buyers.</w:t>
      </w:r>
    </w:p>
    <w:p>
      <w:pPr>
        <w:spacing w:after="0" w:line="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COVID-19 pandemic has in the short-run and may over the longer term adversely affect the economies and financial markets of many countries. Adverse economic conditions and general uncertainty about economic recovery or growth, particularly in North America and Europe, where we conduct most of our business, has caused advertisers to significantly reduce their advertising budgets. Our business depends on the overall demand for advertising and on the economic health of our current and prospective sellers and buyers. As a result of advertisers significantly reducing their overall advertising spending, our revenue and results of operations have been directly affected. In addition, because people around the world are spending more time at home and in front of internet-connected devices, the amount of ad requests that we process has spiked, and our infrastructure may not be capable of processing the increased volume of ad requests at cost-efficient levels.</w:t>
      </w:r>
    </w:p>
    <w:p>
      <w:pPr>
        <w:spacing w:after="0" w:line="5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There can be no assurance that any decrease in sales resulting from the COVID-19 pandemic and responses of governments, individuals, and businesses will be offset by increased sales in subsequent periods. The degree to which the COVID-19 pandemic and responses thereto impacts our results will depend on future developments, which are highly uncertain and cannot be predicted, including, but not limited to, the duration and spread of the outbreak, its severity, including any resurgence, the actions to contain the virus or treat its impact, and how quickly and to what extent normal economic and operating conditions can resume. Although the full magnitude of the impact of the COVID-19 pandemic on our business and operations remains uncertain, the spread of COVID-19 and the imposition of related public health measures and travel and business restrictions has and is expected to continue to adversely impact our forecasted business, financial condition, operating results and cash flows.</w:t>
      </w:r>
    </w:p>
    <w:p>
      <w:pPr>
        <w:spacing w:after="0" w:line="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additional or unforeseen effects from the COVID-19 pandemic and the resulting economic distress could implicate or amplify many of the other risks discussed herein and in Part II, Item 1A: “Risk Factors” of our Annual Report on Form 10-K for the year ended December 31, 2019 and in Part II, Item 1A: "Risk Factors" of our Quarterly Reports on Form 10-Q for the periods ended March 31, 2020 and June 30, 2020.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rely on technological intermediaries such as DSPs to purchase advertising on behalf of advertisers. Such buyers have or may develop high-risk credit profiles or pay slowly, which may result in credit risk to us or require additional working capital to fund our accounts payable. These risks are heightened as a result of the COVID-19 pandemic and resulting economic downturn.</w:t>
      </w:r>
    </w:p>
    <w:p>
      <w:pPr>
        <w:spacing w:after="0" w:line="21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Generally, we invoice and collect from buyers the full purchase price for impressions they have purchased, retain our fees, and remit the balance to sellers. However, in some cases, we are required or may choose to pay sellers for impressions delivered before we have collected, or even if we are unable to collect from the buyer of those impressions. In the past, certain buyers have sought to slow their payments to us or been forced into filing for bankruptcy protection, resulting in bad debt. These challenges have been exacerbated by the COVID-19 pandemic and resulting economic impact, as many of our buyers are experiencing financial difficulties and liquidity constraints. In certain cases, buyers have been unable to timely make payments and we have agreed to revised payment schedules. To date, these actions have not had a material negative impact on our cash flow or liquidity. However, prolonged economic downturn may lead additional buyers to slow or default on payments or in some cases seek bankruptcy protection.</w:t>
      </w:r>
    </w:p>
    <w:p>
      <w:pPr>
        <w:spacing w:after="0" w:line="2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There can be no assurances that we will not experience bad debt in the future, and write-offs for bad debt could have a materially negative effect on our results of operations for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CTV advertising spend grows more slowly than we expect our operating results and growth prospects could be harmed.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cable or broadcast TV for CTV and OTT applications), the continued proliferation of digital content and CTV providers, the adoption of ad-supported models by CTV publishers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3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CTV publishers fail to adopt programmatic advertising solutions, or adopt such solutions more slowly that we expect, our operating and growth prospects could be harmed.</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online video advertising has continued to scale and evolve, the amount of online video advertising being bought and sold programmatically has increased dramatically. Despite the opportunities created by programmatic advertising, CTV publishers have been slower to adopt programmatic solutions compared to desktop and mobile video publishers.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publishers to establish best practices and evangelize the benefits of programmatic CTV.</w:t>
      </w:r>
    </w:p>
    <w:p>
      <w:pPr>
        <w:spacing w:after="0" w:line="3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While we believe that programmatic advertising will continue to grow as a percentage of overall CTV advertising, there can be no assurances that CTV publishers will adopt programmatic solutions or the speed at which they may adopt such solutions. Any such failure or delay in adoption could negatively impact our finance results and growth prospects.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or increase access to the CTV advertising inventory monetized through our platform on terms acceptable to us.</w:t>
      </w:r>
    </w:p>
    <w:p>
      <w:pPr>
        <w:spacing w:after="0" w:line="27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success requires us to maintain and expand our access to premium video advertising inventory. We do not own or control the video ad inventory upon which our business depends and do not own or create content. Publishers are generally not required to offer a specified level of inventory on our platform, and we cannot be assured that any publisher will continue to make their ad inventory available on our platform. Publishers may seek to change the terms on which they offer inventory on our platform, including with respect to pricing, or may elect to make advertising inventory available to our competitors who offer more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favorable economic terms. Furthermore, publishers may enter into exclusive relationships with our competitors, which preclude us from offering their inventory.</w:t>
      </w:r>
    </w:p>
    <w:p>
      <w:pPr>
        <w:spacing w:after="0" w:line="3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risks are particularly pronounced with CTV publishers. CTV inventory is highly sought after, and unlike desktop or mobile advertising, which may come from disparate sources, CTV inventory tends to be concentrated on a smaller number of larger publishers that enjoy significant negotiating leverage. This dynamic has been exacerbated by consolidation in the industry, as a number of digital-first CTV publishers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29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purchase price allocation for any acquisition we complete, including our merger with Telaria, is generally not finalized until one year after the closing of the acquisition, and any final adjustment to the valuation could have a material change on what is reported as the fair value assigned to the assets and liabilities.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final purchase price allocation for any acquisition we complete, including our merger with Telaria that was completed on April 1, 2020, depends upon the finalization of asset and liability valuations, among other things. The valuation studies necessary to estimate the fair values of acquired assets and assumed liabilities and the related allocation of purchase price generally are not finalized until one year after the closing of the acquisition. Initially, we allocate the total estimated purchase price to the acquired assets and assumed liabilities based on preliminary estimates of their fair values. The final determination of these fair values is subsequently determined based upon the actual net tangible and intangible assets that existed on the closing date of the acquisition. Any final adjustment could change the fair values assigned to the assets and liabilities, resulting in a change to our consolidated financial statements, including a change to goodwill. Such change could be material.</w:t>
      </w:r>
    </w:p>
    <w:p>
      <w:pPr>
        <w:spacing w:after="0" w:line="2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EEA and UK data practices and/or rely on an alternative legally sufficient compliance measure.</w:t>
      </w:r>
    </w:p>
    <w:p>
      <w:pPr>
        <w:spacing w:after="0" w:line="21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GDPR generally prohibits the transfer of personal data of EEA and UK subjects outside of the European Union and the UK,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As a result, despite the fact that we have certified our compliance to the EU-U.S. Privacy Shield, our customers may no longer rely on this mechanism as a lawful means to transfer EEA and UK data to us in the U.S. For the time being, the Department of Commerce continues to operate the EU-U.S. Privacy Shield however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w:t>
      </w:r>
    </w:p>
    <w:p>
      <w:pPr>
        <w:spacing w:after="0" w:line="4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EEA customers for extra-EEA data transfers, was upheld as a valid legal mechanism for transnational data transfer. However, the ruling requires that EEA and UK organizations seeking to rely on the SCCs to export data out of the EEA and UK to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EEA data protection authorities may determine that there are no supplementary measures that can legitimize data transfers from the EEA and the UK to the U.S. For the time being, we will rely on SCCs for transfers of EEA and UK personal data to the U.S. and explore what "supplementary measures" can be implemented to protect such personal data that is transferred to us in the United States.</w:t>
      </w:r>
    </w:p>
    <w:p>
      <w:pPr>
        <w:spacing w:after="0" w:line="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may also need to restructure our data export practices as a result of Brexit. At the end of 2020, European Union law will cease to apply to the United Kingdom ("UK"). This means that data may not be able to flow freely between the EEA and the UK and our UK subsidiaries may have to enter into the SCCs, and implement "supplementary measures" both with customers and other group entities, in order to ensure the continuing flow of data to and from the UK subsidiary. We would likely need to restructure our transfers of EEA data via another EEA subsidiary and have such entity enter into the SCCs with other group entities and implement "supplementary measures" to ensure the continuing flow of data from the EEA to the United States. In the event that use of the SCCs is subsequently invalidated as a solution for data transfers to the United States, EEA and UK clients may be more inclined to work with businesses that do not rely on such compliance mechanisms to ensure legal and regulatory compliance, such as EEA-based companies or other competitors that do not need to transfer personal data to the United States in order to avoid the above-identified risks and legal issues.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Additionally, on September 8, 2020, the Swiss Federal Data Protection and Information Commissioner declared the Swiss-U.S. Privacy Shield invalid as a legal mechanism to transfer data from Switzerland to the U.S., applying a similar rationale to that of the CJEU in Schrems II. As with the EU-U.S. Privacy Shield, the U.S. Department of Commerce continues to operate the Swiss-U.S. Privacy Shield and, if we fail to comply with the Privacy Shield requirements, we risk investigation and sanction by U.S. regulatory authorities, including the Federal Trade Commission. However, the invalidation of the Swiss-U.S. Privacy Shield creates legal uncertainty and may impact the ability for Swiss customers to transfer data to us in the U.S. As a result, we may need to implement additional legal solutions, or consider restructuring our data transfers, to enable the continuing flow of data from these customers.</w:t>
      </w:r>
    </w:p>
    <w:p>
      <w:pPr>
        <w:spacing w:after="0" w:line="27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directed at the digital advertising industry in particular, and we expect to see an increase in legislation and regulation related to the collection and use of data to target advertisements and communicate with consumers—including the use of mobile device and cross-device data, geo-location data, Internet user data and unique device identifiers, such as IP address or mobile advertising identifiers—and the collection of data from apps and websites that are directed to children.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5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Various federal privacy bills have been introduced in the U.S. Congress recently and a number of states, including California, have passed or are considering privacy bills. These regulations may place significant restrictions on the collection and use of certain types of data used for behavioral advertising. The FTC has issued guidance on how companies should apply privacy principles to tracking and delivering targeted advertisements to consumers across multiple devices. The FTC has also adopted revisions to the Children's Online Privacy Protection Act that expand liability for the collection of information (including certain device information such as persistent identifiers) by operators of websites and other online services that are directed to children or that otherwise use (for certain purposes) information collected from or about children.</w:t>
      </w:r>
    </w:p>
    <w:p>
      <w:pPr>
        <w:spacing w:after="0" w:line="5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Recently, California passed two privacy laws broadly regulating business’ processing of personal information, the California Consumer Privacy Act of 2018 ("CCPA") and the California Privacy Rights Act ("CPRA"). The CCPA, which went into effect on January 1, 2020, is the most comprehensive data privacy regulation to date in the United States, and could be the precursor to other similar legislation in other states or at the federal level. The CCPA expands the definition of personal information, in a way that captures the types of data that we collect, such as device identifiers and IP addresses. Under the CCPA, businesses are required to grant expansive access, deletion and portability rights to California residents, similar to those provided under the GDPR. In addition, the CCPA gives California residents the right to opt-out of the sale of their personal information; this opt-out right may impact the ability of ad tech companies to provide services to their customers. The law also imposes burdensome storage and compliance obligations on publishers and ad tech companies. Interpretation of the requirements remains unclear due to ambiguities in the regulations and a lack of enforcement actions to date. The Attorney General also recently issued additional proposed modifications to the regulations implementing the CCPA.</w:t>
      </w:r>
    </w:p>
    <w:p>
      <w:pPr>
        <w:spacing w:after="0" w:line="3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recently-passed CPRA will take effect in January 2023 and will impose additional notice and opt out obligations on the digital advertising space, including an obligation to provide an opt-out for behavioral advertising. It will also give the Attorney General broad rulemaking authority to issue regulations that could have additional impacts on our business. The CPRA, like the CCPA, will cause us to incur additional compliance costs and may impose additional restrictions on us and on our industry partners.</w:t>
      </w:r>
    </w:p>
    <w:p>
      <w:pPr>
        <w:spacing w:after="0" w:line="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CCPA and CPRA may precipitate additional privacy regulation by federal, state and local governments, which may increase our compliance costs and strain our technical capabilities, and which may conflict with each other. If we are unable to comply with the CCPA, CPRA, or other related legislation in the future, we may be subject to regulatory or private investigations, and if we are unable to use information for behavioral advertising as we have in the past, our business could be materially affected.</w:t>
      </w:r>
    </w:p>
    <w:p>
      <w:pPr>
        <w:spacing w:after="0" w:line="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the European Union, the General Data Protection Regulation, Regulation (EU) 2016/679, has now been in effect for more than two years. A key feature of the GDPR is that it treats much of the end-user information that is critical to programmatic digital advertising as "personal data" and therefore subject to significant conditions and restrictions on its collection and use. Without this end-user information, the value of programmatic advertising inventory diminishes, resulting in lower demand and prices, and potentially less ad spend and revenue for us and other industry participants. The GDPR also sets out higher potential liabilities for certain data protection violations and creates a greater compliance burden for us in the course of delivering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solution in Europe (as outlined further below). The regulatory climate in Europe, in particular, has grown increasingly unfavorable for advertising technology-based business. Regulators have expressed antipathy towards common technologies deployed in digital advertising and we anticipate increased regulatory scrutiny on the digital advertising industry as a whole.</w:t>
      </w:r>
    </w:p>
    <w:p>
      <w:pPr>
        <w:spacing w:after="0" w:line="49" w:lineRule="exact"/>
        <w:rPr>
          <w:sz w:val="20"/>
          <w:szCs w:val="20"/>
          <w:color w:val="auto"/>
        </w:rPr>
      </w:pPr>
    </w:p>
    <w:p>
      <w:pPr>
        <w:ind w:right="600" w:firstLine="648"/>
        <w:spacing w:after="0" w:line="311" w:lineRule="auto"/>
        <w:rPr>
          <w:sz w:val="20"/>
          <w:szCs w:val="20"/>
          <w:color w:val="auto"/>
        </w:rPr>
      </w:pPr>
      <w:r>
        <w:rPr>
          <w:rFonts w:ascii="Arial" w:cs="Arial" w:eastAsia="Arial" w:hAnsi="Arial"/>
          <w:sz w:val="16"/>
          <w:szCs w:val="16"/>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2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 This is particularly true given that the FTC, Attorneys General of various U.S. States and various international regulators (including numerous data protection authorities in the European Union), have specifically cited as enforcement priorities certain practices that relate to digital advertising. Even the perception of concerns relating to our collection, use, disclosure, processing, and retention of data, including our security measures applicable to the data we collect, whether or not valid, may harm our reputation (and the reputation of the digital advertising ecosystem) and inhibit adoption of our solution by current and future buyers and sellers. We are aware of ongoing lawsuits filed against, or regulatory investigations into, companies in the digital advertising industry concerning various alleged violations of consumer protection, data protection, and computer crime laws, asserting various privacy-related theories. Any such proceedings brought against us could hurt our reputation, force us to spend significant amounts in defense of these proceedings, distract our management, increase our costs of doing business, adversely affect the demand for our services or the digital advertising industry at large, and ultimately result in the imposition of monetary liability or restrictions on our ability to conduct our business. We are sometimes contractually liable to indemnify and hold harmless buyers or sellers from the costs or consequences of litigation or regulatory investigations resulting from using our services or from the disclosure of confidential information, which could damage our reputation among our current and potential sellers or buyers, require significant expenditures of capital and other resources and cause us to lose business and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Recent Sales of Unregistered Securities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180" w:right="9160" w:firstLine="476"/>
        <w:spacing w:after="0" w:line="457" w:lineRule="auto"/>
        <w:tabs>
          <w:tab w:leader="none" w:pos="90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Use of Proceeds </w:t>
      </w:r>
      <w:r>
        <w:rPr>
          <w:rFonts w:ascii="Arial" w:cs="Arial" w:eastAsia="Arial" w:hAnsi="Arial"/>
          <w:sz w:val="16"/>
          <w:szCs w:val="16"/>
          <w:color w:val="auto"/>
        </w:rPr>
        <w:t>Not Applicable.</w:t>
      </w:r>
    </w:p>
    <w:p>
      <w:pPr>
        <w:spacing w:after="0" w:line="1" w:lineRule="exact"/>
        <w:rPr>
          <w:rFonts w:ascii="Arial" w:cs="Arial" w:eastAsia="Arial" w:hAnsi="Arial"/>
          <w:sz w:val="16"/>
          <w:szCs w:val="16"/>
          <w:i w:val="1"/>
          <w:iCs w:val="1"/>
          <w:color w:val="auto"/>
        </w:rPr>
      </w:pPr>
    </w:p>
    <w:p>
      <w:pPr>
        <w:ind w:left="180" w:right="5040" w:firstLine="476"/>
        <w:spacing w:after="0" w:line="396" w:lineRule="auto"/>
        <w:tabs>
          <w:tab w:leader="none" w:pos="896"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Purchases of Equity Securities by the Company and Affiliated Purchasers </w:t>
      </w:r>
      <w:r>
        <w:rPr>
          <w:rFonts w:ascii="Arial" w:cs="Arial" w:eastAsia="Arial" w:hAnsi="Arial"/>
          <w:sz w:val="16"/>
          <w:szCs w:val="16"/>
          <w:color w:val="auto"/>
        </w:rPr>
        <w:t>We currently have no publicly announced repurchase plan or program.</w:t>
      </w:r>
    </w:p>
    <w:p>
      <w:pPr>
        <w:ind w:right="100" w:firstLine="180"/>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86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7"/>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60" w:type="dxa"/>
            <w:vAlign w:val="bottom"/>
            <w:tcBorders>
              <w:top w:val="single" w:sz="8" w:color="auto"/>
            </w:tcBorders>
            <w:gridSpan w:val="8"/>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Second Amended and Restated Loan and Security Agreement, dated as of September 25, 2020, between Silicon Valley</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Bank and Magnite, Inc., Magnite Hopper, Inc., Magnite Bell, Inc. and Magnite CTV, Inc.</w:t>
              </w:r>
            </w:hyperlink>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2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2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List of Subsidiaries</w:t>
              </w:r>
            </w:hyperlink>
          </w:p>
        </w:tc>
        <w:tc>
          <w:tcPr>
            <w:tcW w:w="24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60" w:type="dxa"/>
            <w:vAlign w:val="bottom"/>
            <w:gridSpan w:val="8"/>
          </w:tcPr>
          <w:p>
            <w:pPr>
              <w:spacing w:after="0" w:line="190"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Certification of Principal Executive Officer Pursuant to Exchange Act Rules 13a-14(a) and 15d-14(a), as adopted pursuant</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to Section 302 of the Sarbanes-Oxley Act of 2002.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8"/>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Principal Financial Officer Pursuant to Exchange Act Rules 13a-14(a) and 15d-14(a), as adopted pursuant</w:t>
              </w:r>
            </w:hyperlink>
          </w:p>
        </w:tc>
        <w:tc>
          <w:tcPr>
            <w:tcW w:w="0" w:type="dxa"/>
            <w:vAlign w:val="bottom"/>
          </w:tcPr>
          <w:p>
            <w:pPr>
              <w:spacing w:after="0"/>
              <w:rPr>
                <w:sz w:val="1"/>
                <w:szCs w:val="1"/>
                <w:color w:val="auto"/>
              </w:rPr>
            </w:pPr>
          </w:p>
        </w:tc>
      </w:tr>
      <w:tr>
        <w:trPr>
          <w:trHeight w:val="156"/>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23"/>
                <w:szCs w:val="23"/>
                <w:color w:val="auto"/>
                <w:vertAlign w:val="superscript"/>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to Section 302 of the Sarbanes-Oxley Act of 2002.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8"/>
          </w:tcPr>
          <w:p>
            <w:pPr>
              <w:spacing w:after="0"/>
              <w:rPr>
                <w:rFonts w:ascii="Arial" w:cs="Arial" w:eastAsia="Arial" w:hAnsi="Arial"/>
                <w:sz w:val="18"/>
                <w:szCs w:val="18"/>
                <w:color w:val="0000FF"/>
                <w:w w:val="95"/>
              </w:rPr>
            </w:pPr>
            <w:hyperlink w:anchor="page110">
              <w:r>
                <w:rPr>
                  <w:rFonts w:ascii="Arial" w:cs="Arial" w:eastAsia="Arial" w:hAnsi="Arial"/>
                  <w:sz w:val="18"/>
                  <w:szCs w:val="18"/>
                  <w:color w:val="0000FF"/>
                  <w:w w:val="95"/>
                </w:rPr>
                <w:t>Certification of the Principal Executive Officer and Principal Financial Officer Pursuant to 18 U.S.C. Section 1350, as</w:t>
              </w:r>
            </w:hyperlink>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adopted pursuant to Section 906 of the Sarbanes-Oxley Act of 2002.</w:t>
              </w:r>
            </w:hyperlink>
          </w:p>
        </w:tc>
        <w:tc>
          <w:tcPr>
            <w:tcW w:w="3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 *</w:t>
            </w:r>
          </w:p>
        </w:tc>
        <w:tc>
          <w:tcPr>
            <w:tcW w:w="20" w:type="dxa"/>
            <w:vAlign w:val="bottom"/>
          </w:tcPr>
          <w:p>
            <w:pPr>
              <w:spacing w:after="0"/>
              <w:rPr>
                <w:sz w:val="17"/>
                <w:szCs w:val="17"/>
                <w:color w:val="auto"/>
              </w:rPr>
            </w:pPr>
          </w:p>
        </w:tc>
        <w:tc>
          <w:tcPr>
            <w:tcW w:w="8860" w:type="dxa"/>
            <w:vAlign w:val="bottom"/>
            <w:gridSpan w:val="8"/>
          </w:tcPr>
          <w:p>
            <w:pPr>
              <w:spacing w:after="0" w:line="196" w:lineRule="exact"/>
              <w:rPr>
                <w:sz w:val="20"/>
                <w:szCs w:val="20"/>
                <w:color w:val="auto"/>
              </w:rPr>
            </w:pPr>
            <w:r>
              <w:rPr>
                <w:rFonts w:ascii="Arial" w:cs="Arial" w:eastAsia="Arial" w:hAnsi="Arial"/>
                <w:sz w:val="18"/>
                <w:szCs w:val="18"/>
                <w:color w:val="auto"/>
                <w:w w:val="96"/>
              </w:rPr>
              <w:t>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2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101.sch *</w:t>
            </w:r>
          </w:p>
        </w:tc>
        <w:tc>
          <w:tcPr>
            <w:tcW w:w="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XBRL Taxonomy Schema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101.cal *</w:t>
            </w:r>
          </w:p>
        </w:tc>
        <w:tc>
          <w:tcPr>
            <w:tcW w:w="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101.def *</w:t>
            </w:r>
          </w:p>
        </w:tc>
        <w:tc>
          <w:tcPr>
            <w:tcW w:w="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101.lab *</w:t>
            </w:r>
          </w:p>
        </w:tc>
        <w:tc>
          <w:tcPr>
            <w:tcW w:w="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101.pre *</w:t>
            </w:r>
          </w:p>
        </w:tc>
        <w:tc>
          <w:tcPr>
            <w:tcW w:w="20" w:type="dxa"/>
            <w:vAlign w:val="bottom"/>
          </w:tcPr>
          <w:p>
            <w:pPr>
              <w:spacing w:after="0"/>
              <w:rPr>
                <w:sz w:val="20"/>
                <w:szCs w:val="20"/>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right="60" w:firstLine="8"/>
        <w:spacing w:after="0" w:line="238" w:lineRule="auto"/>
        <w:tabs>
          <w:tab w:leader="none" w:pos="25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MAGNITE, INC. (Registrant)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497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Duly Authorized Officer)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9, 2020</w:t>
      </w:r>
    </w:p>
    <w:p>
      <w:pPr>
        <w:sectPr>
          <w:pgSz w:w="11900" w:h="16838" w:orient="portrait"/>
          <w:cols w:equalWidth="0" w:num="1">
            <w:col w:w="10460"/>
          </w:cols>
          <w:pgMar w:left="320" w:top="125" w:right="11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LOAN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THIS SECOND AMENDED AND RESTATED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25,</w:t>
      </w:r>
      <w:r>
        <w:rPr>
          <w:rFonts w:ascii="Arial" w:cs="Arial" w:eastAsia="Arial" w:hAnsi="Arial"/>
          <w:sz w:val="18"/>
          <w:szCs w:val="18"/>
          <w:b w:val="1"/>
          <w:bCs w:val="1"/>
          <w:color w:val="auto"/>
        </w:rPr>
        <w:t xml:space="preserve"> </w:t>
      </w:r>
      <w:r>
        <w:rPr>
          <w:rFonts w:ascii="Arial" w:cs="Arial" w:eastAsia="Arial" w:hAnsi="Arial"/>
          <w:sz w:val="18"/>
          <w:szCs w:val="18"/>
          <w:color w:val="auto"/>
        </w:rPr>
        <w:t>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MAGNITE, INC.</w:t>
      </w:r>
      <w:r>
        <w:rPr>
          <w:rFonts w:ascii="Arial" w:cs="Arial" w:eastAsia="Arial" w:hAnsi="Arial"/>
          <w:sz w:val="18"/>
          <w:szCs w:val="18"/>
          <w:color w:val="auto"/>
        </w:rPr>
        <w:t xml:space="preserve"> (f/k/a The Rubicon Project, Inc.), a Delaware corporation (“</w:t>
      </w:r>
      <w:r>
        <w:rPr>
          <w:rFonts w:ascii="Arial" w:cs="Arial" w:eastAsia="Arial" w:hAnsi="Arial"/>
          <w:sz w:val="18"/>
          <w:szCs w:val="18"/>
          <w:b w:val="1"/>
          <w:bCs w:val="1"/>
          <w:color w:val="auto"/>
        </w:rPr>
        <w:t>Magnite</w:t>
      </w:r>
      <w:r>
        <w:rPr>
          <w:rFonts w:ascii="Arial" w:cs="Arial" w:eastAsia="Arial" w:hAnsi="Arial"/>
          <w:sz w:val="18"/>
          <w:szCs w:val="18"/>
          <w:color w:val="auto"/>
        </w:rPr>
        <w:t xml:space="preserve">”), </w:t>
      </w:r>
      <w:r>
        <w:rPr>
          <w:rFonts w:ascii="Arial" w:cs="Arial" w:eastAsia="Arial" w:hAnsi="Arial"/>
          <w:sz w:val="18"/>
          <w:szCs w:val="18"/>
          <w:b w:val="1"/>
          <w:bCs w:val="1"/>
          <w:color w:val="auto"/>
        </w:rPr>
        <w:t>MAGNITE Hopper, Inc.</w:t>
      </w:r>
      <w:r>
        <w:rPr>
          <w:rFonts w:ascii="Arial" w:cs="Arial" w:eastAsia="Arial" w:hAnsi="Arial"/>
          <w:sz w:val="18"/>
          <w:szCs w:val="18"/>
          <w:color w:val="auto"/>
        </w:rPr>
        <w:t xml:space="preserve"> (f/k/a Rubicon Project Hopper, Inc.), a Delaware corporation (“</w:t>
      </w:r>
      <w:r>
        <w:rPr>
          <w:rFonts w:ascii="Arial" w:cs="Arial" w:eastAsia="Arial" w:hAnsi="Arial"/>
          <w:sz w:val="18"/>
          <w:szCs w:val="18"/>
          <w:b w:val="1"/>
          <w:bCs w:val="1"/>
          <w:color w:val="auto"/>
        </w:rPr>
        <w:t>Hopper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MAGNITE BELL, INC. </w:t>
      </w:r>
      <w:r>
        <w:rPr>
          <w:rFonts w:ascii="Arial" w:cs="Arial" w:eastAsia="Arial" w:hAnsi="Arial"/>
          <w:sz w:val="18"/>
          <w:szCs w:val="18"/>
          <w:color w:val="auto"/>
        </w:rPr>
        <w:t>(f/k/a Rubicon Project Bell, Inc.), a Delaware corporation (“</w:t>
      </w:r>
      <w:r>
        <w:rPr>
          <w:rFonts w:ascii="Arial" w:cs="Arial" w:eastAsia="Arial" w:hAnsi="Arial"/>
          <w:sz w:val="18"/>
          <w:szCs w:val="18"/>
          <w:b w:val="1"/>
          <w:bCs w:val="1"/>
          <w:color w:val="auto"/>
        </w:rPr>
        <w:t>Bell</w:t>
      </w:r>
      <w:r>
        <w:rPr>
          <w:rFonts w:ascii="Arial" w:cs="Arial" w:eastAsia="Arial" w:hAnsi="Arial"/>
          <w:sz w:val="18"/>
          <w:szCs w:val="18"/>
          <w:color w:val="auto"/>
        </w:rPr>
        <w:t>”), and</w:t>
      </w:r>
      <w:r>
        <w:rPr>
          <w:rFonts w:ascii="Arial" w:cs="Arial" w:eastAsia="Arial" w:hAnsi="Arial"/>
          <w:sz w:val="18"/>
          <w:szCs w:val="18"/>
          <w:b w:val="1"/>
          <w:bCs w:val="1"/>
          <w:color w:val="auto"/>
        </w:rPr>
        <w:t xml:space="preserve"> MAGNITE CTV,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CTV</w:t>
      </w:r>
      <w:r>
        <w:rPr>
          <w:rFonts w:ascii="Arial" w:cs="Arial" w:eastAsia="Arial" w:hAnsi="Arial"/>
          <w:sz w:val="18"/>
          <w:szCs w:val="18"/>
          <w:color w:val="auto"/>
        </w:rPr>
        <w:t>”, and together with Magnite, Hopper, and Bell individually and collectively,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656"/>
        <w:spacing w:after="0" w:line="277" w:lineRule="auto"/>
        <w:tabs>
          <w:tab w:leader="none" w:pos="104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Bank, Magnite, Hopper, and Bell entered into that certain Amended and Restated Loan and Security Agreement dated as of September 26, 2018 (as amended, the “</w:t>
      </w:r>
      <w:r>
        <w:rPr>
          <w:rFonts w:ascii="Arial" w:cs="Arial" w:eastAsia="Arial" w:hAnsi="Arial"/>
          <w:sz w:val="18"/>
          <w:szCs w:val="18"/>
          <w:b w:val="1"/>
          <w:bCs w:val="1"/>
          <w:color w:val="auto"/>
        </w:rPr>
        <w:t>Prior Loan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656"/>
        <w:spacing w:after="0" w:line="255" w:lineRule="auto"/>
        <w:tabs>
          <w:tab w:leader="none" w:pos="101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Pursuant to a transaction permitted under the Prior Loan Agreement, CTV became a Subsidiary of Magnite on or about December 18, 2019. Each Borrower hereby acknowledges, confirms, and agrees that on and as of the date of this Agreement, CTV has become a “Borrower” (as that term is defined in this Agreement), and, along with Magnite, Hopper, and Bell, is included in the definition of “Borrower” under this Agreement and the other Loan Documents for all purposes thereof, and as such shall be jointly and severally liable, as provided in the Loan Documents, for all Obligations thereunder (whether incurred or arising prior to, on, or subsequent to the date hereof) and otherwise bound by all of the terms, provisions and conditions thereof.</w:t>
      </w:r>
    </w:p>
    <w:p>
      <w:pPr>
        <w:spacing w:after="0" w:line="192" w:lineRule="exact"/>
        <w:rPr>
          <w:rFonts w:ascii="Arial" w:cs="Arial" w:eastAsia="Arial" w:hAnsi="Arial"/>
          <w:sz w:val="18"/>
          <w:szCs w:val="18"/>
          <w:b w:val="1"/>
          <w:bCs w:val="1"/>
          <w:color w:val="auto"/>
        </w:rPr>
      </w:pPr>
    </w:p>
    <w:p>
      <w:pPr>
        <w:ind w:firstLine="656"/>
        <w:spacing w:after="0" w:line="277" w:lineRule="auto"/>
        <w:tabs>
          <w:tab w:leader="none" w:pos="106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Borrower has further requested, and Bank has agreed, to amend and restate the Prior Loan Agreement in its entirety. Bank and Borrower hereby agree that the Prior Loan Agreement is amended and restated in its entirety as follows:</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that if at any time any change in GAAP would affect the computation of any covenant or requirement set forth in any Loan Document, and either Borrower or Bank shall so request, Borrower and Bank shall negotiate in good faith to amend such covenant or requirement to preserve the original intent thereof in light of such change in GAAP; provided, further, that, until so amended (a) such covenant or requirement shall continue to be computed in accordance with GAAP prior to such change therein and (b) Borrower shall provide Bank financial statements and other documents required under this Agreement or as reasonably requested hereunder setting forth a reconciliation between calculations of such ratio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50" w:name="page51"/>
    <w:bookmarkEnd w:id="50"/>
    <w:p>
      <w:pPr>
        <w:ind w:firstLine="656"/>
        <w:spacing w:after="0" w:line="282" w:lineRule="auto"/>
        <w:tabs>
          <w:tab w:leader="none" w:pos="129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Promise to Pay. </w:t>
      </w:r>
      <w:r>
        <w:rPr>
          <w:rFonts w:ascii="Arial" w:cs="Arial" w:eastAsia="Arial" w:hAnsi="Arial"/>
          <w:sz w:val="18"/>
          <w:szCs w:val="18"/>
          <w:color w:val="auto"/>
        </w:rPr>
        <w:t>Borrower hereby unconditionally promises to pay Bank the outstanding principal amount of all Credit Extensions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and unpaid interest thereon as and when due in accordance with this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i.Revolving Line.</w:t>
      </w:r>
    </w:p>
    <w:p>
      <w:pPr>
        <w:spacing w:after="0" w:line="229" w:lineRule="exact"/>
        <w:rPr>
          <w:sz w:val="20"/>
          <w:szCs w:val="20"/>
          <w:color w:val="auto"/>
        </w:rPr>
      </w:pPr>
    </w:p>
    <w:p>
      <w:pPr>
        <w:jc w:val="both"/>
        <w:ind w:firstLine="1304"/>
        <w:spacing w:after="0" w:line="263" w:lineRule="auto"/>
        <w:tabs>
          <w:tab w:leader="none" w:pos="194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83" w:lineRule="exact"/>
        <w:rPr>
          <w:rFonts w:ascii="Arial" w:cs="Arial" w:eastAsia="Arial" w:hAnsi="Arial"/>
          <w:sz w:val="18"/>
          <w:szCs w:val="18"/>
          <w:color w:val="auto"/>
        </w:rPr>
      </w:pPr>
    </w:p>
    <w:p>
      <w:pPr>
        <w:ind w:right="20" w:firstLine="1304"/>
        <w:spacing w:after="0" w:line="308" w:lineRule="auto"/>
        <w:tabs>
          <w:tab w:leader="none" w:pos="194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Termination; Repayment</w:t>
      </w:r>
      <w:r>
        <w:rPr>
          <w:rFonts w:ascii="Arial" w:cs="Arial" w:eastAsia="Arial" w:hAnsi="Arial"/>
          <w:sz w:val="17"/>
          <w:szCs w:val="17"/>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146" w:lineRule="exact"/>
        <w:rPr>
          <w:rFonts w:ascii="Arial" w:cs="Arial" w:eastAsia="Arial" w:hAnsi="Arial"/>
          <w:sz w:val="17"/>
          <w:szCs w:val="17"/>
          <w:color w:val="auto"/>
        </w:rPr>
      </w:pPr>
    </w:p>
    <w:p>
      <w:pPr>
        <w:jc w:val="both"/>
        <w:ind w:firstLine="1304"/>
        <w:spacing w:after="0" w:line="259" w:lineRule="auto"/>
        <w:tabs>
          <w:tab w:leader="none" w:pos="194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anything in this Agreement to the contrary, Bank shall have the right (but not the obligation) to establish, increase, reduce, eliminate, or otherwise adjust Reserves from time to time against the Borrowing Base or the Revolving Line in such amounts, and with respect to such matters, as Bank in its sole discretion shall deem necessary or appropriate with notice to Borrower (provided that no notice is required if an Event of Default has occurred and is continuing).</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ii.Letters of Credit Sublimit.</w:t>
      </w:r>
    </w:p>
    <w:p>
      <w:pPr>
        <w:spacing w:after="0" w:line="229" w:lineRule="exact"/>
        <w:rPr>
          <w:sz w:val="20"/>
          <w:szCs w:val="20"/>
          <w:color w:val="auto"/>
        </w:rPr>
      </w:pPr>
    </w:p>
    <w:p>
      <w:pPr>
        <w:jc w:val="both"/>
        <w:ind w:firstLine="1304"/>
        <w:spacing w:after="0" w:line="254" w:lineRule="auto"/>
        <w:tabs>
          <w:tab w:leader="none" w:pos="1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part of the Revolving Line, Bank shall issue or have issued Letters of Credit denominated in Dollars or a Foreign Currency for Borrower’s account. The aggregate Dollar Equivalent amount utilized for the issuance of Letters of Credit shall at all times reduce the amount otherwise available for Advances under the Revolving Line. The aggregate Dollar Equivalent of the face amount of outstanding Letters of Credit (including drawn but unreimbursed Letters of Credit and any Letter of Credit Reserve) may not exceed the lesser of (i) (x) the Bank Services Sublimit, minus (y) the sum of all amounts used for Cash Management Services, minus (z) the FX Reduction Amount or (ii) (A) the lesser of the Revolving Line or the Borrowing Base, minus (B) the sum of all outstanding principal amounts of any Advances (including any amounts used for Cash Management Services), minus (C) the FX Reduction Amount.</w:t>
      </w:r>
    </w:p>
    <w:p>
      <w:pPr>
        <w:spacing w:after="0" w:line="194" w:lineRule="exact"/>
        <w:rPr>
          <w:rFonts w:ascii="Arial" w:cs="Arial" w:eastAsia="Arial" w:hAnsi="Arial"/>
          <w:sz w:val="18"/>
          <w:szCs w:val="18"/>
          <w:color w:val="auto"/>
        </w:rPr>
      </w:pPr>
    </w:p>
    <w:p>
      <w:pPr>
        <w:jc w:val="both"/>
        <w:ind w:firstLine="1304"/>
        <w:spacing w:after="0" w:line="287" w:lineRule="auto"/>
        <w:tabs>
          <w:tab w:leader="none" w:pos="19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on the Revolving Line Maturity Date (or the effective date of any termination of this Agreement), there are any outstanding Letters of Credit, then on such date Borrower shall provide to Bank cash collateral in an amount equal to at least one hundred five percent (105.0%) for Letters of Credit denominated in Dollars or at least one hundred ten percent (110.0%) for Letters of Credit denominated in a Foreign Currency, in each case of the aggregate Dollar Equivalent of the face amount of all such Letters of Credit plus all interest, fees, and costs due or estimated by Bank to become due in connection therewith, to secure all of the Obligations relating to such Letters of Credit. All Letters of Credit shall be in form and substance acceptable to Bank in its sole discretion and shall be subject to the terms and conditions of Bank’s standard Application and Letter of Credit Agreement (the “</w:t>
      </w:r>
      <w:r>
        <w:rPr>
          <w:rFonts w:ascii="Arial" w:cs="Arial" w:eastAsia="Arial" w:hAnsi="Arial"/>
          <w:sz w:val="16"/>
          <w:szCs w:val="16"/>
          <w:b w:val="1"/>
          <w:bCs w:val="1"/>
          <w:color w:val="auto"/>
        </w:rPr>
        <w:t>Letter of</w:t>
      </w:r>
      <w:r>
        <w:rPr>
          <w:rFonts w:ascii="Arial" w:cs="Arial" w:eastAsia="Arial" w:hAnsi="Arial"/>
          <w:sz w:val="16"/>
          <w:szCs w:val="16"/>
          <w:color w:val="auto"/>
        </w:rPr>
        <w:t xml:space="preserve"> </w:t>
      </w:r>
      <w:r>
        <w:rPr>
          <w:rFonts w:ascii="Arial" w:cs="Arial" w:eastAsia="Arial" w:hAnsi="Arial"/>
          <w:sz w:val="16"/>
          <w:szCs w:val="16"/>
          <w:b w:val="1"/>
          <w:bCs w:val="1"/>
          <w:color w:val="auto"/>
        </w:rPr>
        <w:t>Credit Application</w:t>
      </w:r>
      <w:r>
        <w:rPr>
          <w:rFonts w:ascii="Arial" w:cs="Arial" w:eastAsia="Arial" w:hAnsi="Arial"/>
          <w:sz w:val="16"/>
          <w:szCs w:val="16"/>
          <w:color w:val="auto"/>
        </w:rPr>
        <w:t>”). Borrower agrees to execute any further documentation in connection with the Letters of Credit as Bank may reasonably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further agrees to be bound by the regulations and interpretations of the issuer of any Letters of Credit guaranteed by Bank and opened for Borrower’s account or by Bank’s interpretations of any Letter of Credit issued by Bank for Borrower’s account, and Borrower understands and agrees that Bank shall not be liable for any error, negligence, or mistake, whether of omission or commission, in following Borrower’s instructions or those contained in the Letters of Credit or any modifications, amendments, or supplements thereto.</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1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obligation of Borrower to immediately reimburse Bank for drawings made under Letters of Credit shall be absolute, unconditional, and irrevocable, and shall be performed strictly in accordance with the terms of this Agreement, such Letters of Credit, and the Letter of Credit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51" w:name="page52"/>
    <w:bookmarkEnd w:id="51"/>
    <w:p>
      <w:pPr>
        <w:jc w:val="both"/>
        <w:ind w:firstLine="1304"/>
        <w:spacing w:after="0" w:line="263" w:lineRule="auto"/>
        <w:tabs>
          <w:tab w:leader="none" w:pos="1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Borrower may request that Bank issue a Letter of Credit payable in a Foreign Currency. If a demand for payment is made under any such Letter of Credit, Bank shall treat such demand as an Advance to Borrower of the Dollar Equivalent of the amount thereof (plus fees and charges in connection therewith such as wire, cable, SWIFT or similar charges).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guard against fluctuations in currency exchange rates, upon the issuance of any Letter of Credit payable in a Foreign Currency, Bank shall create a reserve (the “</w:t>
      </w:r>
      <w:r>
        <w:rPr>
          <w:rFonts w:ascii="Arial" w:cs="Arial" w:eastAsia="Arial" w:hAnsi="Arial"/>
          <w:sz w:val="18"/>
          <w:szCs w:val="18"/>
          <w:b w:val="1"/>
          <w:bCs w:val="1"/>
          <w:color w:val="auto"/>
        </w:rPr>
        <w:t>Letter of Credit Reserve</w:t>
      </w:r>
      <w:r>
        <w:rPr>
          <w:rFonts w:ascii="Arial" w:cs="Arial" w:eastAsia="Arial" w:hAnsi="Arial"/>
          <w:sz w:val="18"/>
          <w:szCs w:val="18"/>
          <w:color w:val="auto"/>
        </w:rPr>
        <w:t>”) under the Revolving Line in an amount equal to a percentage (which percentage shall be determined by Bank in its sole discretion) of the face amount of such Letter of Credit. The amount of the Letter of Credit Reserve may be adjusted by Bank from time to time to account for fluctuations in the exchange rate. The availability of funds under the Revolving Line shall be reduced by the amount of such Letter of Credit Reserve for as long as such Letter of Credit remains outstanding.</w:t>
      </w:r>
    </w:p>
    <w:p>
      <w:pPr>
        <w:spacing w:after="0" w:line="184" w:lineRule="exact"/>
        <w:rPr>
          <w:sz w:val="20"/>
          <w:szCs w:val="20"/>
          <w:color w:val="auto"/>
        </w:rPr>
      </w:pPr>
    </w:p>
    <w:p>
      <w:pPr>
        <w:jc w:val="both"/>
        <w:ind w:firstLine="453"/>
        <w:spacing w:after="0" w:line="269" w:lineRule="auto"/>
        <w:rPr>
          <w:sz w:val="20"/>
          <w:szCs w:val="20"/>
          <w:color w:val="auto"/>
        </w:rPr>
      </w:pPr>
      <w:r>
        <w:rPr>
          <w:rFonts w:ascii="Arial" w:cs="Arial" w:eastAsia="Arial" w:hAnsi="Arial"/>
          <w:sz w:val="17"/>
          <w:szCs w:val="17"/>
          <w:b w:val="1"/>
          <w:bCs w:val="1"/>
          <w:color w:val="auto"/>
        </w:rPr>
        <w:t xml:space="preserve">iii.Foreign Exchange Sublimit. </w:t>
      </w:r>
      <w:r>
        <w:rPr>
          <w:rFonts w:ascii="Arial" w:cs="Arial" w:eastAsia="Arial" w:hAnsi="Arial"/>
          <w:sz w:val="17"/>
          <w:szCs w:val="17"/>
          <w:color w:val="auto"/>
        </w:rPr>
        <w:t>As part of the Revolving Line, Borrower may enter into foreign exchange contracts with Bank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commits to purchase from or sell to Bank a specific amount of Foreign Currency (each, a “</w:t>
      </w:r>
      <w:r>
        <w:rPr>
          <w:rFonts w:ascii="Arial" w:cs="Arial" w:eastAsia="Arial" w:hAnsi="Arial"/>
          <w:sz w:val="17"/>
          <w:szCs w:val="17"/>
          <w:b w:val="1"/>
          <w:bCs w:val="1"/>
          <w:color w:val="auto"/>
        </w:rPr>
        <w:t>FX Contract</w:t>
      </w:r>
      <w:r>
        <w:rPr>
          <w:rFonts w:ascii="Arial" w:cs="Arial" w:eastAsia="Arial" w:hAnsi="Arial"/>
          <w:sz w:val="17"/>
          <w:szCs w:val="17"/>
          <w:color w:val="auto"/>
        </w:rPr>
        <w:t>”) on a specified date (the “</w:t>
      </w:r>
      <w:r>
        <w:rPr>
          <w:rFonts w:ascii="Arial" w:cs="Arial" w:eastAsia="Arial" w:hAnsi="Arial"/>
          <w:sz w:val="17"/>
          <w:szCs w:val="17"/>
          <w:b w:val="1"/>
          <w:bCs w:val="1"/>
          <w:color w:val="auto"/>
        </w:rPr>
        <w:t>Settlement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FX Contracts shall have a Settlement Date of at least one (1) FX Business Day after the contract date. The aggregate FX Reduction Amount at any</w:t>
      </w:r>
      <w:r>
        <w:rPr>
          <w:rFonts w:ascii="Arial" w:cs="Arial" w:eastAsia="Arial" w:hAnsi="Arial"/>
          <w:sz w:val="17"/>
          <w:szCs w:val="17"/>
          <w:b w:val="1"/>
          <w:bCs w:val="1"/>
          <w:color w:val="auto"/>
        </w:rPr>
        <w:t xml:space="preserve"> </w:t>
      </w:r>
      <w:r>
        <w:rPr>
          <w:rFonts w:ascii="Arial" w:cs="Arial" w:eastAsia="Arial" w:hAnsi="Arial"/>
          <w:sz w:val="17"/>
          <w:szCs w:val="17"/>
          <w:color w:val="auto"/>
        </w:rPr>
        <w:t>one time may not exceed the lesser of (a) (i) the Bank Services Sublimit, minus (ii) the sum of all amounts used for Cash Management Services, minus (iii) the aggregate Dollar Equivalent of the face amount of any outstanding Letters of Credit (including drawn but unreimbursed Letters of Credit and any Letter of Credit Reserve) or (b) (i) the lesser of the Revolving Line or the Borrowing Base, minus (ii) the sum of all outstanding principal amounts of any Advances (including any amounts used for Cash Management Services), minus (iii) the aggregate Dollar Equivalent of the face amount of any outstanding Letters of Credit (including drawn but unreimbursed Letters of Credit and any Letter of Credit Reserve). The amount otherwise available for Credit Extensions under the Revolving Line shall be reduced by the FX Reduction Amount. Any amounts needed to fully reimburse Bank for any amounts not paid by Borrower in connection with FX Contracts will be treated as Advances under the Revolving Line and will accrue interest at the interest rate applicable to Advances.</w:t>
      </w:r>
    </w:p>
    <w:p>
      <w:pPr>
        <w:spacing w:after="0" w:line="182"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b w:val="1"/>
          <w:bCs w:val="1"/>
          <w:color w:val="auto"/>
        </w:rPr>
        <w:t>iv.Cash Management Services Sublimit</w:t>
      </w:r>
      <w:r>
        <w:rPr>
          <w:rFonts w:ascii="Arial" w:cs="Arial" w:eastAsia="Arial" w:hAnsi="Arial"/>
          <w:sz w:val="18"/>
          <w:szCs w:val="18"/>
          <w:color w:val="auto"/>
        </w:rPr>
        <w:t>. Borrower may use the Revolving Line in an aggregate amount not to exceed the lesser of (a) (i)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Sublimit, minus (ii) the aggregate Dollar Equivalent of the face amount of any outstanding Letters of Credit (including drawn but unreimbursed Letters of Credit and any Letter of Credit Reserve), minus (iii) the FX Reduction Amount, or (b) (i) the lesser of the Revolving Line or the Borrowing Base, minus (ii) the sum of all outstanding principal amounts of any Advances, minus (iii) the aggregate Dollar Equivalent of the face amount of any outstanding Letters of Credit (including drawn but unreimbursed Letters of Credit and any Letter of Credit Reserve), minus (iv) the FX Reduction Amount, for Bank’s cash management services, which may include merchant services, direct deposit of payroll, business credit card, and check cashing services identified in Bank’s various cash management services agreements (collectively, the “</w:t>
      </w:r>
      <w:r>
        <w:rPr>
          <w:rFonts w:ascii="Arial" w:cs="Arial" w:eastAsia="Arial" w:hAnsi="Arial"/>
          <w:sz w:val="18"/>
          <w:szCs w:val="18"/>
          <w:b w:val="1"/>
          <w:bCs w:val="1"/>
          <w:color w:val="auto"/>
        </w:rPr>
        <w:t>Cash Management Services</w:t>
      </w:r>
      <w:r>
        <w:rPr>
          <w:rFonts w:ascii="Arial" w:cs="Arial" w:eastAsia="Arial" w:hAnsi="Arial"/>
          <w:sz w:val="18"/>
          <w:szCs w:val="18"/>
          <w:color w:val="auto"/>
        </w:rPr>
        <w:t>”). Any amounts Bank pays on behalf of Borrower for any Cash Management Services will be treated as Advances under the Revolving Line and will accrue interest at the interest rate applicable to Advances.</w:t>
      </w:r>
    </w:p>
    <w:p>
      <w:pPr>
        <w:spacing w:after="0" w:line="188" w:lineRule="exact"/>
        <w:rPr>
          <w:sz w:val="20"/>
          <w:szCs w:val="20"/>
          <w:color w:val="auto"/>
        </w:rPr>
      </w:pPr>
    </w:p>
    <w:p>
      <w:pPr>
        <w:jc w:val="both"/>
        <w:ind w:firstLine="656"/>
        <w:spacing w:after="0" w:line="256" w:lineRule="auto"/>
        <w:tabs>
          <w:tab w:leader="none" w:pos="129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Overadvances. </w:t>
      </w:r>
      <w:r>
        <w:rPr>
          <w:rFonts w:ascii="Arial" w:cs="Arial" w:eastAsia="Arial" w:hAnsi="Arial"/>
          <w:sz w:val="18"/>
          <w:szCs w:val="18"/>
          <w:color w:val="auto"/>
        </w:rPr>
        <w:t>If, at any time, the sum of (a) the outstanding principal amount of any Advances (including any amounts used for Cash</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Services), plus (b) the face amount of any outstanding Letters of Credit (including drawn but unreimbursed Letters of Credit and any Letter of Credit Reserve), plus (c) the FX Reduction Amount exceeds the lesser of the Revolving Line or the Borrowing Base, Borrower shall immediately pay to Bank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Bank any Overadvance, Borrower agrees to pay Bank interest on the outstanding amount of any Overadvance, on demand, at a per annum rate equal to the rate that is otherwise applicable to Advances plus five percent (5.00%).</w:t>
      </w:r>
    </w:p>
    <w:p>
      <w:pPr>
        <w:spacing w:after="0" w:line="18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Interest on the Credit Extensions.</w:t>
      </w:r>
    </w:p>
    <w:p>
      <w:pPr>
        <w:spacing w:after="0" w:line="229" w:lineRule="exact"/>
        <w:rPr>
          <w:rFonts w:ascii="Arial" w:cs="Arial" w:eastAsia="Arial" w:hAnsi="Arial"/>
          <w:sz w:val="18"/>
          <w:szCs w:val="18"/>
          <w:b w:val="1"/>
          <w:bCs w:val="1"/>
          <w:color w:val="auto"/>
        </w:rPr>
      </w:pPr>
    </w:p>
    <w:p>
      <w:pPr>
        <w:jc w:val="both"/>
        <w:ind w:firstLine="1304"/>
        <w:spacing w:after="0" w:line="263" w:lineRule="auto"/>
        <w:tabs>
          <w:tab w:leader="none" w:pos="194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Interest; Payment</w:t>
      </w:r>
      <w:r>
        <w:rPr>
          <w:rFonts w:ascii="Arial" w:cs="Arial" w:eastAsia="Arial" w:hAnsi="Arial"/>
          <w:sz w:val="18"/>
          <w:szCs w:val="18"/>
          <w:color w:val="auto"/>
        </w:rPr>
        <w:t>. Each Advance shall bear interest on the outstanding principal amount thereof from the date when made, continued or converted until paid in full at a rate per annum equal to (i) for Prime Rate Advances, the greater of (A) the Prime Rate plus the applicable Prime Rate Margin, or (B) three and one-half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percent (3.50%), and (ii) for LIBOR Advances, the greater of (A) the LIBOR Rate plus the applicable LIBOR Rate Margin, or (B) three and one-half percent (3.50%). On and after the expiration of any Interest Period applicable to any LIBOR Advance outstanding on the date of occurrence of an Event of Default or acceleration of the Obligations, the amount of such LIBOR Advance shall, during the continuance of such Event of Default or after acceleration, bear interest at a rate per annum equal to the Prime Rate plus five percent (5.00%). Pursuant to the terms hereof, interest on each Advance shall be paid in arrears on each Interest Payment Date. Interest shall also be paid on the date of any prepayment of any Advance pursuant to this Agreement for the portion of any Advance so prepaid and upon payment (including prepayment) in full thereof. All accrued but unpaid interest on the Advances shall be due and payable on the Revolving Line Maturity Date.</w:t>
      </w:r>
    </w:p>
    <w:p>
      <w:pPr>
        <w:spacing w:after="0" w:line="195" w:lineRule="exact"/>
        <w:rPr>
          <w:sz w:val="20"/>
          <w:szCs w:val="20"/>
          <w:color w:val="auto"/>
        </w:rPr>
      </w:pPr>
    </w:p>
    <w:p>
      <w:pPr>
        <w:ind w:right="20" w:firstLine="1304"/>
        <w:spacing w:after="0" w:line="277" w:lineRule="auto"/>
        <w:tabs>
          <w:tab w:leader="none" w:pos="19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Prime Rate Advances</w:t>
      </w:r>
      <w:r>
        <w:rPr>
          <w:rFonts w:ascii="Arial" w:cs="Arial" w:eastAsia="Arial" w:hAnsi="Arial"/>
          <w:sz w:val="18"/>
          <w:szCs w:val="18"/>
          <w:color w:val="auto"/>
        </w:rPr>
        <w:t>. Each change in the interest rate of the Prime Rate Advances based on changes in the Prime Rate shall be effective on the effective date of such change and to the extent of such change.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LIBOR Advances</w:t>
      </w:r>
      <w:r>
        <w:rPr>
          <w:rFonts w:ascii="Arial" w:cs="Arial" w:eastAsia="Arial" w:hAnsi="Arial"/>
          <w:sz w:val="18"/>
          <w:szCs w:val="18"/>
          <w:color w:val="auto"/>
        </w:rPr>
        <w:t>. The interest rate applicable to each LIBOR Advance shall be determined in accordance with Section 3.6(a) hereunder. Subject to Sections 3.5 and 3.6, such rate shall apply during the entire Interest Period applicable to such LIBOR Advance, and interest calculated thereon shall be payable on the Interest Payment Date applicable to such LIBOR Advance.</w:t>
      </w:r>
    </w:p>
    <w:p>
      <w:pPr>
        <w:spacing w:after="0" w:line="184" w:lineRule="exact"/>
        <w:rPr>
          <w:sz w:val="20"/>
          <w:szCs w:val="20"/>
          <w:color w:val="auto"/>
        </w:rPr>
      </w:pPr>
    </w:p>
    <w:p>
      <w:pPr>
        <w:jc w:val="both"/>
        <w:ind w:firstLine="1304"/>
        <w:spacing w:after="0" w:line="263" w:lineRule="auto"/>
        <w:tabs>
          <w:tab w:leader="none" w:pos="193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Computation of Interest</w:t>
      </w:r>
      <w:r>
        <w:rPr>
          <w:rFonts w:ascii="Arial" w:cs="Arial" w:eastAsia="Arial" w:hAnsi="Arial"/>
          <w:sz w:val="18"/>
          <w:szCs w:val="18"/>
          <w:color w:val="auto"/>
        </w:rPr>
        <w:t>. Any interest hereunder will accrue from day to day and is calculated on the basis of the actual number of days elapsed and a year of 360 days. In computing interest on any Credit Extension, the date of the making of such Credit Extension shall be included and the date of payment shall be excluded.</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94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Except as otherwise provided in Section 2.3(a), upon the occurrence and during the continuance of an Event of Default, Obligations shall bear interest at a rate per annum which is five percent (5.00%) above the rate that would otherwise be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Payment or acceptance of the increased interest provided in this Section 2.3(e) is not a permitted alternative to timely payment and shall not constitute a waiver of any Event of Default or otherwise prejudice or limit any rights or remedies of Bank.</w:t>
      </w:r>
    </w:p>
    <w:p>
      <w:pPr>
        <w:spacing w:after="0" w:line="167"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Borrower shall pay to Bank:</w:t>
      </w:r>
    </w:p>
    <w:p>
      <w:pPr>
        <w:spacing w:after="0" w:line="229" w:lineRule="exact"/>
        <w:rPr>
          <w:rFonts w:ascii="Arial" w:cs="Arial" w:eastAsia="Arial" w:hAnsi="Arial"/>
          <w:sz w:val="18"/>
          <w:szCs w:val="18"/>
          <w:b w:val="1"/>
          <w:bCs w:val="1"/>
          <w:color w:val="auto"/>
        </w:rPr>
      </w:pPr>
    </w:p>
    <w:p>
      <w:pPr>
        <w:ind w:left="1940" w:hanging="636"/>
        <w:spacing w:after="0"/>
        <w:tabs>
          <w:tab w:leader="none" w:pos="1940"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Revolving Line Commitment Fee</w:t>
      </w:r>
      <w:r>
        <w:rPr>
          <w:rFonts w:ascii="Arial" w:cs="Arial" w:eastAsia="Arial" w:hAnsi="Arial"/>
          <w:sz w:val="17"/>
          <w:szCs w:val="17"/>
          <w:color w:val="auto"/>
        </w:rPr>
        <w:t>. A fully earned, non-refundable commitment fee of Ninety Thousand Dollars ($90,000), 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Effective Date;</w:t>
      </w:r>
    </w:p>
    <w:p>
      <w:pPr>
        <w:spacing w:after="0" w:line="210" w:lineRule="exact"/>
        <w:rPr>
          <w:rFonts w:ascii="Arial" w:cs="Arial" w:eastAsia="Arial" w:hAnsi="Arial"/>
          <w:sz w:val="17"/>
          <w:szCs w:val="17"/>
          <w:color w:val="auto"/>
        </w:rPr>
      </w:pPr>
    </w:p>
    <w:p>
      <w:pPr>
        <w:jc w:val="both"/>
        <w:ind w:firstLine="1304"/>
        <w:spacing w:after="0" w:line="272" w:lineRule="auto"/>
        <w:tabs>
          <w:tab w:leader="none" w:pos="1944"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Unused Revolving Line Facility Fee</w:t>
      </w:r>
      <w:r>
        <w:rPr>
          <w:rFonts w:ascii="Arial" w:cs="Arial" w:eastAsia="Arial" w:hAnsi="Arial"/>
          <w:sz w:val="17"/>
          <w:szCs w:val="17"/>
          <w:color w:val="auto"/>
        </w:rPr>
        <w:t>. Payable monthly in arrears on the last day of each calendar month occurring prior to the Revolving Line Maturity Date, and on the Revolving Line Maturity Date, a fee (the “</w:t>
      </w:r>
      <w:r>
        <w:rPr>
          <w:rFonts w:ascii="Arial" w:cs="Arial" w:eastAsia="Arial" w:hAnsi="Arial"/>
          <w:sz w:val="17"/>
          <w:szCs w:val="17"/>
          <w:b w:val="1"/>
          <w:bCs w:val="1"/>
          <w:color w:val="auto"/>
        </w:rPr>
        <w:t>Unused Revolving Line Facility Fee</w:t>
      </w:r>
      <w:r>
        <w:rPr>
          <w:rFonts w:ascii="Arial" w:cs="Arial" w:eastAsia="Arial" w:hAnsi="Arial"/>
          <w:sz w:val="17"/>
          <w:szCs w:val="17"/>
          <w:color w:val="auto"/>
        </w:rPr>
        <w:t>”) in an amount equal to fifteen-hundredths of one percent (0.15%) per annum of the average unused portion of the Revolving Line, as determined by Bank, computed on the basis of a year with the applicable number of days as set forth in Section 2.3(d). The unused portion of the Revolving Line, for purposes of this calculation, shall be calculated on a calendar year basis and shall equal the difference between (i) the Revolving Line, and (ii) (A) the average for the period of the daily closing balance of the Revolving Line outstanding (including any amounts used for Cash Management Services), plus (B) the aggregate amount of outstanding Letters of Credit (including drawn but unreimbursed Letters of Credit and any Letter of Credit Reserve);</w:t>
      </w:r>
    </w:p>
    <w:p>
      <w:pPr>
        <w:spacing w:after="0" w:line="177" w:lineRule="exact"/>
        <w:rPr>
          <w:rFonts w:ascii="Arial" w:cs="Arial" w:eastAsia="Arial" w:hAnsi="Arial"/>
          <w:sz w:val="17"/>
          <w:szCs w:val="17"/>
          <w:color w:val="auto"/>
        </w:rPr>
      </w:pPr>
    </w:p>
    <w:p>
      <w:pPr>
        <w:jc w:val="both"/>
        <w:ind w:firstLine="1304"/>
        <w:spacing w:after="0" w:line="342" w:lineRule="auto"/>
        <w:tabs>
          <w:tab w:leader="none" w:pos="193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Letter of Credit Fee</w:t>
      </w:r>
      <w:r>
        <w:rPr>
          <w:rFonts w:ascii="Arial" w:cs="Arial" w:eastAsia="Arial" w:hAnsi="Arial"/>
          <w:sz w:val="16"/>
          <w:szCs w:val="16"/>
          <w:color w:val="auto"/>
        </w:rPr>
        <w:t>. Bank’s customary fees and expenses for the issuance or renewal of Letters of Credit upon the issuance of such Letter of Credit, each anniversary of the issuance during the term of such Letter of Credit, and upon the renewal of such Letter of Credit by Bank; and</w:t>
      </w:r>
    </w:p>
    <w:p>
      <w:pPr>
        <w:spacing w:after="0" w:line="123" w:lineRule="exact"/>
        <w:rPr>
          <w:rFonts w:ascii="Arial" w:cs="Arial" w:eastAsia="Arial" w:hAnsi="Arial"/>
          <w:sz w:val="16"/>
          <w:szCs w:val="16"/>
          <w:color w:val="auto"/>
        </w:rPr>
      </w:pPr>
    </w:p>
    <w:p>
      <w:pPr>
        <w:ind w:firstLine="1304"/>
        <w:spacing w:after="0" w:line="277" w:lineRule="auto"/>
        <w:tabs>
          <w:tab w:leader="none" w:pos="194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3" w:name="page54"/>
    <w:bookmarkEnd w:id="53"/>
    <w:p>
      <w:pPr>
        <w:jc w:val="both"/>
        <w:ind w:firstLine="1304"/>
        <w:spacing w:after="0" w:line="257" w:lineRule="auto"/>
        <w:tabs>
          <w:tab w:leader="none" w:pos="194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Application of Payments; Debit of Accounts.</w:t>
      </w:r>
    </w:p>
    <w:p>
      <w:pPr>
        <w:spacing w:after="0" w:line="229" w:lineRule="exact"/>
        <w:rPr>
          <w:rFonts w:ascii="Arial" w:cs="Arial" w:eastAsia="Arial" w:hAnsi="Arial"/>
          <w:sz w:val="18"/>
          <w:szCs w:val="18"/>
          <w:b w:val="1"/>
          <w:bCs w:val="1"/>
          <w:color w:val="auto"/>
        </w:rPr>
      </w:pPr>
    </w:p>
    <w:p>
      <w:pPr>
        <w:jc w:val="both"/>
        <w:ind w:firstLine="1304"/>
        <w:spacing w:after="0" w:line="279" w:lineRule="auto"/>
        <w:tabs>
          <w:tab w:leader="none" w:pos="194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9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firstLine="1304"/>
        <w:spacing w:after="0" w:line="277" w:lineRule="auto"/>
        <w:tabs>
          <w:tab w:leader="none" w:pos="19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66" w:lineRule="exact"/>
        <w:rPr>
          <w:rFonts w:ascii="Arial" w:cs="Arial" w:eastAsia="Arial" w:hAnsi="Arial"/>
          <w:sz w:val="18"/>
          <w:szCs w:val="18"/>
          <w:color w:val="auto"/>
        </w:rPr>
      </w:pPr>
    </w:p>
    <w:p>
      <w:pPr>
        <w:jc w:val="both"/>
        <w:ind w:firstLine="656"/>
        <w:spacing w:after="0" w:line="288" w:lineRule="auto"/>
        <w:tabs>
          <w:tab w:leader="none" w:pos="129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w:t>
      </w:r>
      <w:r>
        <w:rPr>
          <w:rFonts w:ascii="Arial" w:cs="Arial" w:eastAsia="Arial" w:hAnsi="Arial"/>
          <w:sz w:val="16"/>
          <w:szCs w:val="16"/>
          <w:color w:val="auto"/>
        </w:rPr>
        <w:t>Payments received by Bank from Borrower under this Agreement will be made free and clear of and without deduction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3"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56"/>
        <w:spacing w:after="0" w:line="266" w:lineRule="auto"/>
        <w:tabs>
          <w:tab w:leader="none" w:pos="129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Precedent to Initial Credit Extension. </w:t>
      </w:r>
      <w:r>
        <w:rPr>
          <w:rFonts w:ascii="Arial" w:cs="Arial" w:eastAsia="Arial" w:hAnsi="Arial"/>
          <w:sz w:val="18"/>
          <w:szCs w:val="18"/>
          <w:color w:val="auto"/>
        </w:rPr>
        <w:t>Bank’s obligation to make the initial Credit Extension after the Effective Date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179" w:lineRule="exact"/>
        <w:rPr>
          <w:rFonts w:ascii="Arial" w:cs="Arial" w:eastAsia="Arial" w:hAnsi="Arial"/>
          <w:sz w:val="18"/>
          <w:szCs w:val="18"/>
          <w:b w:val="1"/>
          <w:bCs w:val="1"/>
          <w:color w:val="auto"/>
        </w:rPr>
      </w:pPr>
    </w:p>
    <w:p>
      <w:pPr>
        <w:ind w:left="1960" w:hanging="656"/>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duly executed signatures to this Agreement;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duly executed signatures to the Third Amendment to Stock Pledge Agreement;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duly executed signatures to the Stock Pledge Agreement from CTV;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4" w:name="page55"/>
    <w:bookmarkEnd w:id="54"/>
    <w:p>
      <w:pPr>
        <w:ind w:firstLine="1304"/>
        <w:spacing w:after="0" w:line="308" w:lineRule="auto"/>
        <w:tabs>
          <w:tab w:leader="none" w:pos="1944"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w:t>
      </w:r>
    </w:p>
    <w:p>
      <w:pPr>
        <w:spacing w:after="0" w:line="146" w:lineRule="exact"/>
        <w:rPr>
          <w:rFonts w:ascii="Arial" w:cs="Arial" w:eastAsia="Arial" w:hAnsi="Arial"/>
          <w:sz w:val="17"/>
          <w:szCs w:val="17"/>
          <w:color w:val="auto"/>
        </w:rPr>
      </w:pPr>
    </w:p>
    <w:p>
      <w:pPr>
        <w:ind w:firstLine="1304"/>
        <w:spacing w:after="0" w:line="277" w:lineRule="auto"/>
        <w:tabs>
          <w:tab w:leader="none" w:pos="1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secretary’s certificate of Borrower with respect to Borrower’s Operating Documents, incumbency, specimen signatures and resolutions authorizing the execution and delivery of this Agreement and the other Loan Documents to which it is a party;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225" w:lineRule="exact"/>
        <w:rPr>
          <w:rFonts w:ascii="Arial" w:cs="Arial" w:eastAsia="Arial" w:hAnsi="Arial"/>
          <w:sz w:val="18"/>
          <w:szCs w:val="18"/>
          <w:color w:val="auto"/>
        </w:rPr>
      </w:pPr>
    </w:p>
    <w:p>
      <w:pPr>
        <w:ind w:right="20" w:firstLine="1304"/>
        <w:spacing w:after="0" w:line="308" w:lineRule="auto"/>
        <w:tabs>
          <w:tab w:leader="none" w:pos="1944" w:val="left"/>
        </w:tabs>
        <w:numPr>
          <w:ilvl w:val="1"/>
          <w:numId w:val="25"/>
        </w:numPr>
        <w:rPr>
          <w:rFonts w:ascii="Arial" w:cs="Arial" w:eastAsia="Arial" w:hAnsi="Arial"/>
          <w:sz w:val="17"/>
          <w:szCs w:val="17"/>
          <w:color w:val="auto"/>
        </w:rPr>
      </w:pPr>
      <w:r>
        <w:rPr>
          <w:rFonts w:ascii="Arial" w:cs="Arial" w:eastAsia="Arial" w:hAnsi="Arial"/>
          <w:sz w:val="17"/>
          <w:szCs w:val="17"/>
          <w:color w:val="auto"/>
        </w:rPr>
        <w:t>certified copies, dated as of a recent date, of financing statement searches, as Bank may request, accompanied by written evidence (including any UCC termination statements) that the Liens indicated in any such financing statements constitute Permitted Liens;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Perfection Certificates of Borrower, together with the duly executed signatures thereto;</w:t>
      </w:r>
    </w:p>
    <w:p>
      <w:pPr>
        <w:spacing w:after="0" w:line="225" w:lineRule="exact"/>
        <w:rPr>
          <w:rFonts w:ascii="Arial" w:cs="Arial" w:eastAsia="Arial" w:hAnsi="Arial"/>
          <w:sz w:val="18"/>
          <w:szCs w:val="18"/>
          <w:color w:val="auto"/>
        </w:rPr>
      </w:pPr>
    </w:p>
    <w:p>
      <w:pPr>
        <w:ind w:firstLine="1304"/>
        <w:spacing w:after="0" w:line="308" w:lineRule="auto"/>
        <w:tabs>
          <w:tab w:leader="none" w:pos="1937"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6.7 hereof are in full force and effect, together with appropriate evidence showing lender loss payable and/or additional insured clauses or endorsements in favor of Bank;</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completion of the Initial Audit;</w:t>
      </w:r>
    </w:p>
    <w:p>
      <w:pPr>
        <w:spacing w:after="0" w:line="225" w:lineRule="exact"/>
        <w:rPr>
          <w:rFonts w:ascii="Arial" w:cs="Arial" w:eastAsia="Arial" w:hAnsi="Arial"/>
          <w:sz w:val="18"/>
          <w:szCs w:val="18"/>
          <w:color w:val="auto"/>
        </w:rPr>
      </w:pPr>
    </w:p>
    <w:p>
      <w:pPr>
        <w:ind w:right="20" w:firstLine="1304"/>
        <w:spacing w:after="0" w:line="277" w:lineRule="auto"/>
        <w:tabs>
          <w:tab w:leader="none" w:pos="1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the initial Advance, a completed Borrowing Base Statement (and any schedules related thereto and including any other information requested by Bank with respect to Borrower’s Accounts);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w:t>
      </w:r>
    </w:p>
    <w:p>
      <w:pPr>
        <w:spacing w:after="0" w:line="221" w:lineRule="exact"/>
        <w:rPr>
          <w:rFonts w:ascii="Arial" w:cs="Arial" w:eastAsia="Arial" w:hAnsi="Arial"/>
          <w:sz w:val="18"/>
          <w:szCs w:val="18"/>
          <w:color w:val="auto"/>
        </w:rPr>
      </w:pPr>
    </w:p>
    <w:p>
      <w:pPr>
        <w:ind w:firstLine="656"/>
        <w:spacing w:after="0" w:line="282" w:lineRule="auto"/>
        <w:tabs>
          <w:tab w:leader="none" w:pos="129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Precedent to all Credit Extensions. </w:t>
      </w:r>
      <w:r>
        <w:rPr>
          <w:rFonts w:ascii="Arial" w:cs="Arial" w:eastAsia="Arial" w:hAnsi="Arial"/>
          <w:sz w:val="18"/>
          <w:szCs w:val="18"/>
          <w:color w:val="auto"/>
        </w:rPr>
        <w:t>Bank’s obligations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5" w:lineRule="exact"/>
        <w:rPr>
          <w:rFonts w:ascii="Arial" w:cs="Arial" w:eastAsia="Arial" w:hAnsi="Arial"/>
          <w:sz w:val="18"/>
          <w:szCs w:val="18"/>
          <w:b w:val="1"/>
          <w:bCs w:val="1"/>
          <w:color w:val="auto"/>
        </w:rPr>
      </w:pPr>
    </w:p>
    <w:p>
      <w:pPr>
        <w:ind w:left="1940" w:hanging="636"/>
        <w:spacing w:after="0"/>
        <w:tabs>
          <w:tab w:leader="none" w:pos="19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timely receipt of the Credit Extension request and any materials and documents required by Section 3.4;</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944"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proposed Credit Extension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80" w:lineRule="exact"/>
        <w:rPr>
          <w:rFonts w:ascii="Arial" w:cs="Arial" w:eastAsia="Arial" w:hAnsi="Arial"/>
          <w:sz w:val="17"/>
          <w:szCs w:val="17"/>
          <w:color w:val="auto"/>
        </w:rPr>
      </w:pPr>
    </w:p>
    <w:p>
      <w:pPr>
        <w:ind w:left="1940" w:hanging="636"/>
        <w:spacing w:after="0"/>
        <w:tabs>
          <w:tab w:leader="none" w:pos="19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 Material Adverse Change.</w:t>
      </w:r>
    </w:p>
    <w:p>
      <w:pPr>
        <w:spacing w:after="0" w:line="221" w:lineRule="exact"/>
        <w:rPr>
          <w:rFonts w:ascii="Arial" w:cs="Arial" w:eastAsia="Arial" w:hAnsi="Arial"/>
          <w:sz w:val="18"/>
          <w:szCs w:val="18"/>
          <w:color w:val="auto"/>
        </w:rPr>
      </w:pPr>
    </w:p>
    <w:p>
      <w:pPr>
        <w:jc w:val="both"/>
        <w:ind w:firstLine="656"/>
        <w:spacing w:after="0" w:line="266" w:lineRule="auto"/>
        <w:tabs>
          <w:tab w:leader="none" w:pos="128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Covenant to Deliver. </w:t>
      </w:r>
      <w:r>
        <w:rPr>
          <w:rFonts w:ascii="Arial" w:cs="Arial" w:eastAsia="Arial" w:hAnsi="Arial"/>
          <w:sz w:val="18"/>
          <w:szCs w:val="18"/>
          <w:color w:val="auto"/>
        </w:rPr>
        <w:t>Borrower agrees to deliver to Bank each item required to be delivered to Bank under this Agreement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any Credit Extension. Borrower expressly agrees that a Credit Extension made prior to the receipt by Bank of any such item shall not constitute a waiver by Bank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Borrower’s obligation to deliver such item, and the making of any Credit Extension in the absence of a required item shall be in Bank’s sole discretion.</w:t>
      </w:r>
    </w:p>
    <w:p>
      <w:pPr>
        <w:spacing w:after="0" w:line="233"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Borrowing.</w:t>
      </w:r>
    </w:p>
    <w:p>
      <w:pPr>
        <w:spacing w:after="0" w:line="229" w:lineRule="exact"/>
        <w:rPr>
          <w:rFonts w:ascii="Arial" w:cs="Arial" w:eastAsia="Arial" w:hAnsi="Arial"/>
          <w:sz w:val="18"/>
          <w:szCs w:val="18"/>
          <w:b w:val="1"/>
          <w:bCs w:val="1"/>
          <w:color w:val="auto"/>
        </w:rPr>
      </w:pPr>
    </w:p>
    <w:p>
      <w:pPr>
        <w:jc w:val="both"/>
        <w:ind w:firstLine="1296"/>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z. Subject to the prior satisfaction of all other applicable conditions to the making of an Advance set forth in this Agreement, an Advance shall be made upon Borrower’s (via an individual duly authorized by an Administrator) irrevocable written notice delivered to Bank in the form of a Notice of Borrowing or without instructions if any Advances is necessary to meet Obligations which have become due. The Notice of Borrowing shall be made by Borrower through Bank’s online banking program, provided, however, if Borrower is not utilizing Bank’s online banking program, then such Notice of Borrowing shall be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shall be executed by an Authorized Signer. For purposes of clarification, to the extent that Bank’s online banking program does not allow an electronic submission of a Notice of Borrowing for a LIBOR Advance then Borrower shall be permitted to submit a Notice of Borrowing for a LIBOR Advance by email or other means described in Section 10, using a Notice of Borrowing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executed by an Authorized Signer. Bank shall have received satisfactory evidence that the Board has approved that such Authorized Signer may provide such notices and request Advances. The Notice of Borrowing must be received by Bank prior to 12:00 p.m. Pacific time, (i) at least three (3) Business Days prior to the requested Funding Date, in the case of any LIBOR Advance, and (ii) on the requested Funding Date, in the case of a Prime Rate Advance, specifying: (1) the amount of the Advance; (2) the requested Funding Date; (3) whether the Advance is to be comprised of LIBOR Advances or Prime Rate Advances; and (4) the duration of the Interest Period applicable to any such LIBOR Advances included in such notice; provided that if the Notice of Borrowing shall fail to specify the duration of the Interest Period for any Advance comprised of LIBOR Advances, such Interest Period shall be one (1) month. Notwithstanding any terms in this Agreement to the contrary, each LIBOR Advance shall not be less than One Million Dollars ($1,000,000) and shall be in a multiple of One Hundred Thousand Dollars ($100,000). In addition to such Notice of Borrowing, Borrower must promptly deliver to Bank by electronic mail or through Bank’s online banking program such reports and information, including without limitation, sales journals, cash receipts journals, accounts receivable aging reports, as Bank may request in its sole discretion.</w:t>
      </w:r>
    </w:p>
    <w:p>
      <w:pPr>
        <w:spacing w:after="0" w:line="174" w:lineRule="exact"/>
        <w:rPr>
          <w:sz w:val="20"/>
          <w:szCs w:val="20"/>
          <w:color w:val="auto"/>
        </w:rPr>
      </w:pPr>
    </w:p>
    <w:p>
      <w:pPr>
        <w:jc w:val="both"/>
        <w:ind w:firstLine="1304"/>
        <w:spacing w:after="0" w:line="311" w:lineRule="auto"/>
        <w:tabs>
          <w:tab w:leader="none" w:pos="1933" w:val="left"/>
        </w:tabs>
        <w:numPr>
          <w:ilvl w:val="1"/>
          <w:numId w:val="28"/>
        </w:numPr>
        <w:rPr>
          <w:rFonts w:ascii="Arial" w:cs="Arial" w:eastAsia="Arial" w:hAnsi="Arial"/>
          <w:sz w:val="16"/>
          <w:szCs w:val="16"/>
          <w:color w:val="auto"/>
        </w:rPr>
      </w:pPr>
      <w:r>
        <w:rPr>
          <w:rFonts w:ascii="Arial" w:cs="Arial" w:eastAsia="Arial" w:hAnsi="Arial"/>
          <w:sz w:val="16"/>
          <w:szCs w:val="16"/>
          <w:color w:val="auto"/>
        </w:rPr>
        <w:t>On the Funding Date, Bank shall credit proceeds of an Advance to the Designated Deposit Account and, subsequently, shall transfer such proceeds by wire transfer to such other account as Borrower may instruct in the Notice of Borrowing. No Advances shall be deemed made to Borrower, and no interest shall accrue on any such Advance, until the related funds have been deposited in the applicable Designated Deposit Account.</w:t>
      </w:r>
    </w:p>
    <w:p>
      <w:pPr>
        <w:spacing w:after="0" w:line="144"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and Continuation Elections.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ab. So long as (i) no Event of Default exists; (ii) Borrower shall not have sent any notice of termination of this Agreement; and (iii) Borrower shall have complied with such customary procedures as Bank has established from time to time for Borrower’s requests for LIBOR Advances, Borrower may, upon irrevocable written notice to Bank:</w:t>
      </w:r>
    </w:p>
    <w:p>
      <w:pPr>
        <w:spacing w:after="0" w:line="184" w:lineRule="exact"/>
        <w:rPr>
          <w:sz w:val="20"/>
          <w:szCs w:val="20"/>
          <w:color w:val="auto"/>
        </w:rPr>
      </w:pPr>
    </w:p>
    <w:p>
      <w:pPr>
        <w:ind w:left="3240" w:hanging="640"/>
        <w:spacing w:after="0"/>
        <w:tabs>
          <w:tab w:leader="none" w:pos="3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 to convert on any Business Day, Prime Rate Advances into LIBOR Advances;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elect to continue on any Interest Payment Date any LIBOR Advances maturing on such Interest Payment</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Date; or</w:t>
      </w:r>
    </w:p>
    <w:p>
      <w:pPr>
        <w:spacing w:after="0" w:line="211" w:lineRule="exact"/>
        <w:rPr>
          <w:sz w:val="20"/>
          <w:szCs w:val="20"/>
          <w:color w:val="auto"/>
        </w:rPr>
      </w:pPr>
    </w:p>
    <w:p>
      <w:pPr>
        <w:ind w:left="1960" w:firstLine="640"/>
        <w:spacing w:after="0" w:line="277" w:lineRule="auto"/>
        <w:tabs>
          <w:tab w:leader="none" w:pos="3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 to convert on any Interest Payment Date any LIBOR Advances maturing on such Interest Payment Date into Prime Rate Advances.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ac. Borrower shall deliver a Notice of Conversion/Continuation by electronic mail via Bank’s online banking program to be received by Bank prior to 12:00 p.m. Pacific time (i) at least three (3) Business Days in advance of the Conversion Date or Continuation Date, if any Advances are to be converted into or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as LIBOR Advances; and (ii) on the Conversion Date, if any Advances are to be converted into Prime Rate Advances, in each case specifying the:</w:t>
      </w:r>
    </w:p>
    <w:p>
      <w:pPr>
        <w:spacing w:after="0" w:line="237" w:lineRule="exact"/>
        <w:rPr>
          <w:sz w:val="20"/>
          <w:szCs w:val="20"/>
          <w:color w:val="auto"/>
        </w:rPr>
      </w:pPr>
    </w:p>
    <w:p>
      <w:pPr>
        <w:ind w:left="3240" w:hanging="640"/>
        <w:spacing w:after="0"/>
        <w:tabs>
          <w:tab w:leader="none" w:pos="3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proposed Conversion Date or Continuation Date;</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of the Advances to be converted or continued;</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nature of the proposed conversion or continuation; and</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resulting Advance is to be a LIBOR Advance, the duration of the requested Interest Period.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ad. If upon the expiration of any Interest Period applicable to any LIBOR Advances, Borrower shall have timely failed to select a new Interest Period to be applicable to such LIBOR Advances or request to convert a LIBOR Advance into a Prime Rate Advance, Borrower shall be deemed to have elected to convert such LIBOR Advances into Prime Rate Advances.</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ae. Any LIBOR Advances shall, at Bank’s option, convert into Prime Rate Advances in the event that (i) an Event of Default exists and has not been cured, or (ii) the aggregate principal amount of the Prime Rate Advances which have been previously converted to LIBOR Advances, or the aggregate principal amount of existing LIBOR Advances continued, as the case may be, at the beginning of an Interest Period shall at any time during such Interest Period exceed the lesser of the Revolving Line or the Borrowing Base, in each case, less any applicable Reserves. Borrower agrees to pay Bank, upon demand by Bank (or Bank may, at its option, debit the Designated Deposit Account or any other account Borrower maintains with Bank) any amounts required to compensate Bank for any loss (excluding loss of anticipated profits), cost, or expense incurred by Bank, as a result of the conversion of LIBOR Advances to Prime Rate Advances pursuant to this Section 3.5(d).</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af. Notwithstanding anything to the contrary contained herein, Bank shall not be required to purchase Dollar deposits in the London interbank market or other applicable LIBOR market to fund any LIBOR Advances, but the provisions hereof shall be deemed to apply as if Bank had purchased such deposits to fund the LIBOR Advances.</w:t>
      </w:r>
    </w:p>
    <w:p>
      <w:pPr>
        <w:spacing w:after="0" w:line="180" w:lineRule="exact"/>
        <w:rPr>
          <w:sz w:val="20"/>
          <w:szCs w:val="20"/>
          <w:color w:val="auto"/>
        </w:rPr>
      </w:pPr>
    </w:p>
    <w:p>
      <w:pPr>
        <w:ind w:firstLine="656"/>
        <w:spacing w:after="0" w:line="282" w:lineRule="auto"/>
        <w:tabs>
          <w:tab w:leader="none" w:pos="128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Provisions Governing LIBOR Advances. </w:t>
      </w:r>
      <w:r>
        <w:rPr>
          <w:rFonts w:ascii="Arial" w:cs="Arial" w:eastAsia="Arial" w:hAnsi="Arial"/>
          <w:sz w:val="18"/>
          <w:szCs w:val="18"/>
          <w:color w:val="auto"/>
        </w:rPr>
        <w:t>Notwithstanding any other provision of this Agreement to the contrary,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govern with respect to LIBOR Advances as to the matters covered:</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8"/>
          <w:szCs w:val="18"/>
          <w:u w:val="single" w:color="auto"/>
          <w:color w:val="auto"/>
        </w:rPr>
        <w:t>Determination of Applicable Interest Rate</w:t>
      </w:r>
      <w:r>
        <w:rPr>
          <w:rFonts w:ascii="Arial" w:cs="Arial" w:eastAsia="Arial" w:hAnsi="Arial"/>
          <w:sz w:val="18"/>
          <w:szCs w:val="18"/>
          <w:color w:val="auto"/>
        </w:rPr>
        <w:t>. As soon as practicable on each Interest Rate Determination Date, Bank shall determine (which determination shall, absent manifest error in calculation, be final, conclusive and binding upon all parties) the interest rate that shall apply to the LIBOR Advances for which an interest rate is then being determined for the applicable Interest Period and shall promptly give notice thereof (in writing or by telephone confirmed in writing) to Borrower.</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ah. </w:t>
      </w:r>
      <w:r>
        <w:rPr>
          <w:rFonts w:ascii="Arial" w:cs="Arial" w:eastAsia="Arial" w:hAnsi="Arial"/>
          <w:sz w:val="17"/>
          <w:szCs w:val="17"/>
          <w:u w:val="single" w:color="auto"/>
          <w:color w:val="auto"/>
        </w:rPr>
        <w:t>Inability to Determine Applicable Interest Rate</w:t>
      </w:r>
      <w:r>
        <w:rPr>
          <w:rFonts w:ascii="Arial" w:cs="Arial" w:eastAsia="Arial" w:hAnsi="Arial"/>
          <w:sz w:val="17"/>
          <w:szCs w:val="17"/>
          <w:color w:val="auto"/>
        </w:rPr>
        <w:t>. In the event that Bank shall have determined (which determination shall be final and conclusive and binding upon all parties hereto), on any Interest Rate Determination Date with respect to any LIBOR Advance, that by reason of circumstances affecting the London interbank market adequate and fair means do not exist for ascertaining the interest rate applicable to such LIBOR Advance on the basis provided for in the definition of LIBOR, Bank shall on such date give notice (by facsimile or by telephone confirmed in writing) to Borrower of such determination, whereupon (i) no Advances may be made as, or converted to, LIBOR Advances until such time as Bank notifies Borrower that the circumstances giving rise to such notice no longer exist, and (ii) any Notice of Borrowing or Notice of Conversion/Continuation given by Borrower with respect to LIBOR Advances in respect of which such determination was made shall be deemed to be rescinded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7" w:name="page58"/>
    <w:bookmarkEnd w:id="57"/>
    <w:p>
      <w:pPr>
        <w:ind w:left="1300"/>
        <w:spacing w:after="0"/>
        <w:tabs>
          <w:tab w:leader="none" w:pos="1940" w:val="left"/>
        </w:tabs>
        <w:rPr>
          <w:sz w:val="20"/>
          <w:szCs w:val="20"/>
          <w:color w:val="auto"/>
        </w:rPr>
      </w:pPr>
      <w:r>
        <w:rPr>
          <w:rFonts w:ascii="Arial" w:cs="Arial" w:eastAsia="Arial" w:hAnsi="Arial"/>
          <w:sz w:val="16"/>
          <w:szCs w:val="16"/>
          <w:color w:val="auto"/>
        </w:rPr>
        <w:t>ai.</w:t>
      </w:r>
      <w:r>
        <w:rPr>
          <w:sz w:val="20"/>
          <w:szCs w:val="20"/>
          <w:color w:val="auto"/>
        </w:rPr>
        <w:tab/>
      </w: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If (i) for any reason, other than a default by Bank or</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failure of Bank to fund LIBOR Advances due to impracticability or illegality under Sections 3.7(c) and 3.7(d) of this Agreement, a borrowing or a conversion to or continuation of any LIBOR Advance does not occur on a date specified in a Notice of Borrowing or a Notice of Conversion/Continuation, as the case may be, or (ii) any complete or partial principal payment or reduction of a LIBOR Advance, or any conversion of any LIBOR Advance, occurs on a date prior to the last day of an Interest Period applicable to that LIBOR Advance, including due to voluntary or mandatory prepayment or acceleration, then, in each case, Borrower shall compensate Bank, upon written request by Bank, for all losses and expenses incurred by Bank in an amount equal to the excess, if any, of:</w:t>
      </w:r>
    </w:p>
    <w:p>
      <w:pPr>
        <w:spacing w:after="0" w:line="194" w:lineRule="exact"/>
        <w:rPr>
          <w:sz w:val="20"/>
          <w:szCs w:val="20"/>
          <w:color w:val="auto"/>
        </w:rPr>
      </w:pPr>
    </w:p>
    <w:p>
      <w:pPr>
        <w:jc w:val="both"/>
        <w:ind w:left="1300" w:firstLine="553"/>
        <w:spacing w:after="0" w:line="270" w:lineRule="auto"/>
        <w:rPr>
          <w:sz w:val="20"/>
          <w:szCs w:val="20"/>
          <w:color w:val="auto"/>
        </w:rPr>
      </w:pPr>
      <w:r>
        <w:rPr>
          <w:rFonts w:ascii="Arial" w:cs="Arial" w:eastAsia="Arial" w:hAnsi="Arial"/>
          <w:sz w:val="17"/>
          <w:szCs w:val="17"/>
          <w:color w:val="auto"/>
        </w:rPr>
        <w:t>i.the amount of interest that would have accrued on the amount (1) not borrowed, converted or continued as provided in clause (i) above, or (2) paid, reduced or converted as provided in clause (ii) above, for the period from (y) the date of such failure to borrow, convert or continue as provided in clause (i) above, or the date of such payment, reduction or conversion as provided in clause (ii) above, as the case may be, to (z) in the case of a failure to borrow, convert or continue as provided in clause (i) above, the last day of the Interest Period that would have commenced on the date of such borrowing, conversion or continuing but for such failure, and in the case of a payment, reduction or conversion prior to the last day of an Interest Period applicable to a LIBOR Advance as provided in clause (ii) above, the last day of such Interest Period, in each case at the applicable rate of interest or other return for such LIBOR Advance(s) provided for herein (excluding, however, in each case, the LIBOR Rate Margin included therein, if any, and any incremental interest payable as a result of the existence of an Event of Default), over</w:t>
      </w:r>
    </w:p>
    <w:p>
      <w:pPr>
        <w:spacing w:after="0" w:line="181" w:lineRule="exact"/>
        <w:rPr>
          <w:sz w:val="20"/>
          <w:szCs w:val="20"/>
          <w:color w:val="auto"/>
        </w:rPr>
      </w:pPr>
    </w:p>
    <w:p>
      <w:pPr>
        <w:jc w:val="both"/>
        <w:ind w:left="1300" w:firstLine="503"/>
        <w:spacing w:after="0" w:line="301" w:lineRule="auto"/>
        <w:rPr>
          <w:sz w:val="20"/>
          <w:szCs w:val="20"/>
          <w:color w:val="auto"/>
        </w:rPr>
      </w:pPr>
      <w:r>
        <w:rPr>
          <w:rFonts w:ascii="Arial" w:cs="Arial" w:eastAsia="Arial" w:hAnsi="Arial"/>
          <w:sz w:val="16"/>
          <w:szCs w:val="16"/>
          <w:color w:val="auto"/>
        </w:rPr>
        <w:t>ii.the interest which would have accrued to Bank on the applicable amount provided in clause (A) above through the purchase of a Eurodollar deposit bearing interest at the rate obtained pursuant to the definition of LIBOR Rate on the date of such failure to borrow, convert or continue as provided in clause (i) above, or the date of such payment, reduction or conversion as provided in clause (ii) above, as the case may be, for a period equal to the remaining period of such applicable Interest Period provided in clause (A) above.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Bank’s request shall set forth the manner and method of computing such compensation and such determination as to such compensation shall be conclusive absent manifest error.</w:t>
      </w:r>
    </w:p>
    <w:p>
      <w:pPr>
        <w:spacing w:after="0" w:line="19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aj. </w:t>
      </w:r>
      <w:r>
        <w:rPr>
          <w:rFonts w:ascii="Arial" w:cs="Arial" w:eastAsia="Arial" w:hAnsi="Arial"/>
          <w:sz w:val="17"/>
          <w:szCs w:val="17"/>
          <w:u w:val="single" w:color="auto"/>
          <w:color w:val="auto"/>
        </w:rPr>
        <w:t>Assumptions Concerning Funding of LIBOR Advances</w:t>
      </w:r>
      <w:r>
        <w:rPr>
          <w:rFonts w:ascii="Arial" w:cs="Arial" w:eastAsia="Arial" w:hAnsi="Arial"/>
          <w:sz w:val="17"/>
          <w:szCs w:val="17"/>
          <w:color w:val="auto"/>
        </w:rPr>
        <w:t>. Calculation of all amounts payable to Bank under this Section 3.6 and under Section 3.7 shall be made as though Bank had actually funded each relevant LIBOR Advance through the purchase of a Eurodollar deposit bearing interest at the rate obtained pursuant to the definition of LIBOR Rate in an amount equal to the amount of such LIBOR Advance and having a maturity comparable to the relevant Interest Period; provided, however, that Bank may fund each of its LIBOR Advances in any manner it sees fit and the foregoing assumptions shall be utilized only for the purposes of calculating amounts payable under this Section 3.6 and under Section 3.7.</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ak. </w:t>
      </w:r>
      <w:r>
        <w:rPr>
          <w:rFonts w:ascii="Arial" w:cs="Arial" w:eastAsia="Arial" w:hAnsi="Arial"/>
          <w:sz w:val="18"/>
          <w:szCs w:val="18"/>
          <w:u w:val="single" w:color="auto"/>
          <w:color w:val="auto"/>
        </w:rPr>
        <w:t>LIBOR Advances After an Event of Default</w:t>
      </w:r>
      <w:r>
        <w:rPr>
          <w:rFonts w:ascii="Arial" w:cs="Arial" w:eastAsia="Arial" w:hAnsi="Arial"/>
          <w:sz w:val="18"/>
          <w:szCs w:val="18"/>
          <w:color w:val="auto"/>
        </w:rPr>
        <w:t>. After the occurrence and during the continuance of an Event of Default, (i) Borrower may not elect to have an Advance be made or continued as, or converted to, a LIBOR Advance after the expiration of any Interest Period then in effect for such Advance and (ii) subject to the provisions of Section 3.6(c), any Notice of Conversion/Continuation given by Borrower with respect to a requested conversion/continuation that has not yet occurred shall, at Bank’s option, be deemed to be rescinded by Borrower and be deemed a request to convert or continue Advances referred to therein as Prime Rate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58" w:name="page59"/>
    <w:bookmarkEnd w:id="58"/>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Requirements/Provisions Regarding LIBOR Advances.</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al. Borrower shall pay Bank, upon demand by Bank, from time to time such amounts as Bank may determine to be necessary to compensate it for any costs incurred by Bank that Bank determines are attributable to its making or maintaining of any amount receivable by Bank hereunder in respect of any LIBOR Advances relating thereto (such increases in costs and reductions in amounts receivable being herein called “</w:t>
      </w:r>
      <w:r>
        <w:rPr>
          <w:rFonts w:ascii="Arial" w:cs="Arial" w:eastAsia="Arial" w:hAnsi="Arial"/>
          <w:sz w:val="18"/>
          <w:szCs w:val="18"/>
          <w:b w:val="1"/>
          <w:bCs w:val="1"/>
          <w:color w:val="auto"/>
        </w:rPr>
        <w:t>Additional Costs</w:t>
      </w:r>
      <w:r>
        <w:rPr>
          <w:rFonts w:ascii="Arial" w:cs="Arial" w:eastAsia="Arial" w:hAnsi="Arial"/>
          <w:sz w:val="18"/>
          <w:szCs w:val="18"/>
          <w:color w:val="auto"/>
        </w:rPr>
        <w:t>”), in each case resulting from any Regulatory Change (exclusive of Regulatory Changes that are already accounted for in the determination of LIBOR Rate) which:</w:t>
      </w:r>
    </w:p>
    <w:p>
      <w:pPr>
        <w:spacing w:after="0" w:line="188" w:lineRule="exact"/>
        <w:rPr>
          <w:sz w:val="20"/>
          <w:szCs w:val="20"/>
          <w:color w:val="auto"/>
        </w:rPr>
      </w:pPr>
    </w:p>
    <w:p>
      <w:pPr>
        <w:jc w:val="both"/>
        <w:ind w:firstLine="1952"/>
        <w:spacing w:after="0" w:line="263" w:lineRule="auto"/>
        <w:tabs>
          <w:tab w:leader="none" w:pos="2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the basis of taxation of any amounts payable to Bank under this Agreement in respect of any LIBOR Advances (other than changes which affect taxes measured by or imposed on the overall net income of Bank by the jurisdiction in which Bank has its principal office);</w:t>
      </w:r>
    </w:p>
    <w:p>
      <w:pPr>
        <w:spacing w:after="0" w:line="183" w:lineRule="exact"/>
        <w:rPr>
          <w:rFonts w:ascii="Arial" w:cs="Arial" w:eastAsia="Arial" w:hAnsi="Arial"/>
          <w:sz w:val="18"/>
          <w:szCs w:val="18"/>
          <w:color w:val="auto"/>
        </w:rPr>
      </w:pPr>
    </w:p>
    <w:p>
      <w:pPr>
        <w:ind w:firstLine="1952"/>
        <w:spacing w:after="0" w:line="342" w:lineRule="auto"/>
        <w:tabs>
          <w:tab w:leader="none" w:pos="25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imposes or modifies any reserve, special deposit or similar requirements relating to any extensions of credit or other assets of, or any deposits with, or other liabilities of Bank (including any LIBOR Advances or any deposits referred to in the definition of LIBOR); or</w:t>
      </w:r>
    </w:p>
    <w:p>
      <w:pPr>
        <w:spacing w:after="0" w:line="123" w:lineRule="exact"/>
        <w:rPr>
          <w:rFonts w:ascii="Arial" w:cs="Arial" w:eastAsia="Arial" w:hAnsi="Arial"/>
          <w:sz w:val="16"/>
          <w:szCs w:val="16"/>
          <w:color w:val="auto"/>
        </w:rPr>
      </w:pPr>
    </w:p>
    <w:p>
      <w:pPr>
        <w:ind w:left="2600" w:hanging="648"/>
        <w:spacing w:after="0"/>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imposes any other condition affecting this Agreement (or any of such extensions of credit or liabilities).</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Bank will notify Borrower of any event occurring after the Effective Date which will entitle Bank to compensation pursuant to this Section 3.7(a) as promptly as practicable after it obtains knowledge thereof and determines to request such compensation. Bank will furnish Borrower with a statement setting forth the basis (including reasonable supporting detail) and amount of each request by Bank for compensation under this Section 3.7(a). Determinations and allocations by Bank for purposes of this Section 3.7(a) of the effect of any Regulatory Change on its costs of maintaining its obligations to make LIBOR Advances, of making or maintaining LIBOR Advances, or on amounts receivable by it in respect of LIBOR Advances, and of the additional amounts required to compensate Bank in respect of any Additional Costs, shall be conclusive absent manifest error.</w:t>
      </w:r>
    </w:p>
    <w:p>
      <w:pPr>
        <w:spacing w:after="0" w:line="17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am. If Bank shall determine that the adoption or implementation of any applicable law, rule, regulation, or treaty regarding capital adequacy, or any change therein, or any change in the interpretation or administration thereof by any governmental authority, central bank, or comparable agency charged with the interpretation or administration thereof, or compliance by Bank (or its applicable lending office) with any request or directive regarding capital adequacy (whether or not having the force of law) of any such authority, central bank, or comparable agency, has or would have the effect of reducing the rate of return on capital of Bank or any person or entity controlling Bank (a “</w:t>
      </w:r>
      <w:r>
        <w:rPr>
          <w:rFonts w:ascii="Arial" w:cs="Arial" w:eastAsia="Arial" w:hAnsi="Arial"/>
          <w:sz w:val="16"/>
          <w:szCs w:val="16"/>
          <w:b w:val="1"/>
          <w:bCs w:val="1"/>
          <w:color w:val="auto"/>
        </w:rPr>
        <w:t>Parent</w:t>
      </w:r>
      <w:r>
        <w:rPr>
          <w:rFonts w:ascii="Arial" w:cs="Arial" w:eastAsia="Arial" w:hAnsi="Arial"/>
          <w:sz w:val="16"/>
          <w:szCs w:val="16"/>
          <w:color w:val="auto"/>
        </w:rPr>
        <w:t>”) as a consequence of its obligations hereunder to a level below that which Bank (or its Parent) could have achieved but for such adoption, change, or compliance (taking into consideration policies with respect to capital adequacy) by an amount deemed by Bank to be material, then from time to time, within five (5) days after demand by Bank, Borrower shall pay (without duplication of amounts contemplated by Section 3.7(a)) to Bank such additional amount or amounts as will compensate Bank for such reduction. A statement of Bank claiming compensation under this Section 3.7(b) and setting forth the additional amount or amounts to be paid to it hereunder (including reasonable supporting detail in respect thereof) shall be conclusive absent manifest error.</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to the contrary in this Section 3.7, Borrower shall not be required to compensate Bank pursuant to this Section 3.7(b) for any amounts incurred more than nine (9) months prior to the date that Bank notifies Borrower of Bank’s intention to claim compensation therefor; provided that if the circumstances giving rise to such claim have a retroactive effect, then such nine-month period shall be extended to include the period of such retroactive effect. The obligations of Borrower arising pursuant to this Section 3.7(b) shall survive the Revolving Line Maturity Date, the termination of this Agreement and the repayment of all Obligations.</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an. If, at any time, Bank, in its sole and absolute discretion, determines that (i) the amount of LIBOR Advances for periods equal to the corresponding Interest Periods are not available to Bank in the offshore currency interbank markets, or (ii) LIBOR does not accurately reflect the cost to Bank of lending the LIBOR Advances, then Bank shall promptly give notice thereof to Borrower. Upon the giving of such notice,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color w:val="auto"/>
        </w:rPr>
        <w:t>obligation to make the LIBOR Advances shall terminate; provided, however, LIBOR Advances shall not terminate if Bank and Borrower agree in writing to a different interest rate applicable to LIBOR Advances.</w:t>
      </w:r>
    </w:p>
    <w:p>
      <w:pPr>
        <w:spacing w:after="0" w:line="17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ao. If it shall become unlawful for Bank to continue to fund or maintain any LIBOR Advances, or to perform its obligations hereunder, upon demand by Bank, Borrower shall convert to Prime Rate Advances all LIBOR Advances, and in connection therewith pay all amounts payable hereunder in connection with such conversion pursuant to Section 3.6(c)(ii). Notwithstanding the foregoing, to the extent a determination by Bank as described above relates to a LIBOR Advance then being requested by Borrower pursuant to a Notice of Borrowing or a Notice of Conversion/Continuation, Borrower shall have the option, subject to the provisions of Section 3.6(c)(ii), to (i) rescind such Notice of Borrowing or Notice of Conversion/Continuation by giving notice (by facsimile, email, or by telephone confirmed in writing) to Bank of such rescission on the date on which Bank gives notice of its determination as described above, or (ii) modify such Notice of Borrowing or Notice of Conversion/Continuation to obtain a Prime Rate Advance or to have outstanding Advances converted into or continued as Prime Rate Advances by giving notice (by facsimile, email, or by telephone confirmed in writing) to Bank of such modification on the date on which Bank gives notice of its determination as described above.</w:t>
      </w:r>
    </w:p>
    <w:p>
      <w:pPr>
        <w:spacing w:after="0" w:line="162"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right="20" w:firstLine="656"/>
        <w:spacing w:after="0" w:line="266" w:lineRule="auto"/>
        <w:tabs>
          <w:tab w:leader="none" w:pos="129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Security Interest. </w:t>
      </w:r>
      <w:r>
        <w:rPr>
          <w:rFonts w:ascii="Arial" w:cs="Arial" w:eastAsia="Arial" w:hAnsi="Arial"/>
          <w:sz w:val="18"/>
          <w:szCs w:val="18"/>
          <w:color w:val="auto"/>
        </w:rPr>
        <w:t>Borrower hereby grants Bank, to secure the payment and performance in full of all of the Obligations,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cash collateralize all such Letters of Credit in accordance with Section 2.1.2(b).</w:t>
      </w:r>
    </w:p>
    <w:p>
      <w:pPr>
        <w:spacing w:after="0" w:line="173" w:lineRule="exact"/>
        <w:rPr>
          <w:sz w:val="20"/>
          <w:szCs w:val="20"/>
          <w:color w:val="auto"/>
        </w:rPr>
      </w:pPr>
    </w:p>
    <w:p>
      <w:pPr>
        <w:jc w:val="both"/>
        <w:ind w:firstLine="656"/>
        <w:spacing w:after="0" w:line="277" w:lineRule="auto"/>
        <w:tabs>
          <w:tab w:leader="none" w:pos="129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Priority of Security Interest. </w:t>
      </w:r>
      <w:r>
        <w:rPr>
          <w:rFonts w:ascii="Arial" w:cs="Arial" w:eastAsia="Arial" w:hAnsi="Arial"/>
          <w:sz w:val="17"/>
          <w:szCs w:val="17"/>
          <w:color w:val="auto"/>
        </w:rPr>
        <w:t>Borrower represents, warrants, and covenants that the security interest granted herein is and shall at all</w:t>
      </w:r>
      <w:r>
        <w:rPr>
          <w:rFonts w:ascii="Arial" w:cs="Arial" w:eastAsia="Arial" w:hAnsi="Arial"/>
          <w:sz w:val="17"/>
          <w:szCs w:val="17"/>
          <w:b w:val="1"/>
          <w:bCs w:val="1"/>
          <w:color w:val="auto"/>
        </w:rPr>
        <w:t xml:space="preserve"> </w:t>
      </w:r>
      <w:r>
        <w:rPr>
          <w:rFonts w:ascii="Arial" w:cs="Arial" w:eastAsia="Arial" w:hAnsi="Arial"/>
          <w:sz w:val="17"/>
          <w:szCs w:val="17"/>
          <w:color w:val="auto"/>
        </w:rPr>
        <w:t>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67" w:lineRule="exact"/>
        <w:rPr>
          <w:rFonts w:ascii="Arial" w:cs="Arial" w:eastAsia="Arial" w:hAnsi="Arial"/>
          <w:sz w:val="17"/>
          <w:szCs w:val="17"/>
          <w:b w:val="1"/>
          <w:bCs w:val="1"/>
          <w:color w:val="auto"/>
        </w:rPr>
      </w:pPr>
    </w:p>
    <w:p>
      <w:pPr>
        <w:jc w:val="both"/>
        <w:ind w:firstLine="656"/>
        <w:spacing w:after="0" w:line="303" w:lineRule="auto"/>
        <w:tabs>
          <w:tab w:leader="none" w:pos="129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to File Financing Statements. </w:t>
      </w:r>
      <w:r>
        <w:rPr>
          <w:rFonts w:ascii="Arial" w:cs="Arial" w:eastAsia="Arial" w:hAnsi="Arial"/>
          <w:sz w:val="16"/>
          <w:szCs w:val="16"/>
          <w:color w:val="auto"/>
        </w:rPr>
        <w:t>Borrower hereby authorizes Bank to file financing statements, without notice to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60" w:name="page61"/>
    <w:bookmarkEnd w:id="60"/>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656"/>
        <w:spacing w:after="0" w:line="286" w:lineRule="auto"/>
        <w:tabs>
          <w:tab w:leader="none" w:pos="1292"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Due Organization, Authorization; Power and Authority. </w:t>
      </w:r>
      <w:r>
        <w:rPr>
          <w:rFonts w:ascii="Arial" w:cs="Arial" w:eastAsia="Arial" w:hAnsi="Arial"/>
          <w:sz w:val="16"/>
          <w:szCs w:val="16"/>
          <w:color w:val="auto"/>
        </w:rPr>
        <w:t>Borrower is duly existing and in good standing as a Registered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completed certificates signed by Borrower, entitled “Perfection Certificate” (collectively,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(i) such Governmental Approvals which have already been obtained and are in full force and effect or are being obtained pursuant to Section 6.1(b), and (ii) any filings required by the Code in connection with perfecting the security interests granted herein),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7" w:lineRule="exact"/>
        <w:rPr>
          <w:sz w:val="20"/>
          <w:szCs w:val="20"/>
          <w:color w:val="auto"/>
        </w:rPr>
      </w:pPr>
    </w:p>
    <w:p>
      <w:pPr>
        <w:jc w:val="both"/>
        <w:ind w:firstLine="656"/>
        <w:spacing w:after="0" w:line="258" w:lineRule="auto"/>
        <w:tabs>
          <w:tab w:leader="none" w:pos="126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Borrower has good title to, rights in, and the power to transfer each item of the Collateral upon which it purports to grant a</w:t>
      </w:r>
      <w:r>
        <w:rPr>
          <w:rFonts w:ascii="Arial" w:cs="Arial" w:eastAsia="Arial" w:hAnsi="Arial"/>
          <w:sz w:val="18"/>
          <w:szCs w:val="18"/>
          <w:b w:val="1"/>
          <w:bCs w:val="1"/>
          <w:color w:val="auto"/>
        </w:rPr>
        <w:t xml:space="preserve"> </w:t>
      </w:r>
      <w:r>
        <w:rPr>
          <w:rFonts w:ascii="Arial" w:cs="Arial" w:eastAsia="Arial" w:hAnsi="Arial"/>
          <w:sz w:val="18"/>
          <w:szCs w:val="18"/>
          <w:color w:val="auto"/>
        </w:rPr>
        <w:t>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Borrower is the sole owner of the Intellectual Property which it owns or purports to own except for (a) non-exclusive licenses granted to its customers in the ordinary course of business, (b) licenses permitted under clause (g) of the definition of Permitted Liens, (c) over-the-counter software that is commercially available to the public, and (d) material Intellectual Property licensed to Borrower and noted on the Perfection Certificate or in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Bank. To the best of Borrower’s knowledge,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noted on the Perfection Certificate or in written notice to Bank, Borrower is not a party to, nor is it bound by, any Restricted License.</w:t>
      </w:r>
    </w:p>
    <w:p>
      <w:pPr>
        <w:spacing w:after="0" w:line="244"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ap. For each Account with respect to which Advances are requested, on the date each Advance is requested and made, such Account shall be an Eligible Account.</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6"/>
          <w:szCs w:val="16"/>
          <w:color w:val="auto"/>
        </w:rPr>
        <w:t>aq.</w:t>
      </w:r>
      <w:r>
        <w:rPr>
          <w:sz w:val="20"/>
          <w:szCs w:val="20"/>
          <w:color w:val="auto"/>
        </w:rPr>
        <w:tab/>
      </w:r>
      <w:r>
        <w:rPr>
          <w:rFonts w:ascii="Arial" w:cs="Arial" w:eastAsia="Arial" w:hAnsi="Arial"/>
          <w:sz w:val="16"/>
          <w:szCs w:val="16"/>
          <w:color w:val="auto"/>
        </w:rPr>
        <w:t>All statements made and all unpaid balances appearing in all invoices, instruments and other documents evidencing the Eligible</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190" w:lineRule="exact"/>
        <w:rPr>
          <w:sz w:val="20"/>
          <w:szCs w:val="20"/>
          <w:color w:val="auto"/>
        </w:rPr>
      </w:pPr>
    </w:p>
    <w:p>
      <w:pPr>
        <w:jc w:val="both"/>
        <w:ind w:firstLine="656"/>
        <w:spacing w:after="0" w:line="266" w:lineRule="auto"/>
        <w:tabs>
          <w:tab w:leader="none" w:pos="1293"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Except as set forth in the Perfection Certificate or in written notice to Bank, there are no actions or proceedings pending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knowledge of any Responsible Officer, threatened in writing by or against Borrower or any of its Subsidiaries involving more than, individually or in the aggregate, Five Hundred Thousand Dollars ($500,000).</w:t>
      </w:r>
    </w:p>
    <w:p>
      <w:pPr>
        <w:spacing w:after="0" w:line="175" w:lineRule="exact"/>
        <w:rPr>
          <w:rFonts w:ascii="Arial" w:cs="Arial" w:eastAsia="Arial" w:hAnsi="Arial"/>
          <w:sz w:val="18"/>
          <w:szCs w:val="18"/>
          <w:b w:val="1"/>
          <w:bCs w:val="1"/>
          <w:color w:val="auto"/>
        </w:rPr>
      </w:pPr>
    </w:p>
    <w:p>
      <w:pPr>
        <w:jc w:val="both"/>
        <w:ind w:firstLine="656"/>
        <w:spacing w:after="0" w:line="256" w:lineRule="auto"/>
        <w:tabs>
          <w:tab w:leader="none" w:pos="1292"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Bank by submission to the Financial Statement Repository or otherwise submitted to Bank fairly present in all material respects Borrower’s consolidated financial condition and Borrower’s consolidated results of operations (except with respect to unaudited financial statements, subject to normal year-end adjustments and the absence of footnotes). There has not been any material deterioration in Borrower’s consolidated financial condition since the date of the most recent financial statements submitted to the Financial Statement Repository, posted on Borrower’s website on the internet at Borrower’s website address or otherwise submitted to Bank.</w:t>
      </w:r>
    </w:p>
    <w:p>
      <w:pPr>
        <w:spacing w:after="0" w:line="187" w:lineRule="exact"/>
        <w:rPr>
          <w:rFonts w:ascii="Arial" w:cs="Arial" w:eastAsia="Arial" w:hAnsi="Arial"/>
          <w:sz w:val="18"/>
          <w:szCs w:val="18"/>
          <w:b w:val="1"/>
          <w:bCs w:val="1"/>
          <w:color w:val="auto"/>
        </w:rPr>
      </w:pPr>
    </w:p>
    <w:p>
      <w:pPr>
        <w:jc w:val="both"/>
        <w:ind w:firstLine="656"/>
        <w:spacing w:after="0" w:line="266" w:lineRule="auto"/>
        <w:tabs>
          <w:tab w:leader="none" w:pos="1286"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1285"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w:t>
      </w:r>
    </w:p>
    <w:p>
      <w:pPr>
        <w:spacing w:after="0" w:line="1"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currently conducted except where the failure to do so could not reasonably be expected to cause a material adverse effect on Borrower’s business.</w:t>
      </w:r>
    </w:p>
    <w:p>
      <w:pPr>
        <w:spacing w:after="0" w:line="233" w:lineRule="exact"/>
        <w:rPr>
          <w:sz w:val="20"/>
          <w:szCs w:val="20"/>
          <w:color w:val="auto"/>
        </w:rPr>
      </w:pPr>
    </w:p>
    <w:p>
      <w:pPr>
        <w:ind w:firstLine="656"/>
        <w:spacing w:after="0" w:line="282" w:lineRule="auto"/>
        <w:tabs>
          <w:tab w:leader="none" w:pos="129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Subsidiaries; Investments. </w:t>
      </w:r>
      <w:r>
        <w:rPr>
          <w:rFonts w:ascii="Arial" w:cs="Arial" w:eastAsia="Arial" w:hAnsi="Arial"/>
          <w:sz w:val="18"/>
          <w:szCs w:val="18"/>
          <w:color w:val="auto"/>
        </w:rPr>
        <w:t>Borrower does not own any stock, partnership, or other ownership interest or other equity securities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Permitted Investments.</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128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Returns and Payments; Pension Contributions. </w:t>
      </w:r>
      <w:r>
        <w:rPr>
          <w:rFonts w:ascii="Arial" w:cs="Arial" w:eastAsia="Arial" w:hAnsi="Arial"/>
          <w:sz w:val="18"/>
          <w:szCs w:val="18"/>
          <w:color w:val="auto"/>
        </w:rPr>
        <w:t>Borrower has timely filed all required tax returns and reports, and Borrower has</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Fifty Thousand Dollars ($50,000).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4" w:lineRule="exact"/>
        <w:rPr>
          <w:sz w:val="20"/>
          <w:szCs w:val="20"/>
          <w:color w:val="auto"/>
        </w:rPr>
      </w:pPr>
    </w:p>
    <w:p>
      <w:pPr>
        <w:ind w:firstLine="656"/>
        <w:spacing w:after="0" w:line="282" w:lineRule="auto"/>
        <w:tabs>
          <w:tab w:leader="none" w:pos="128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Borrower shall use the proceeds of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not for personal, family, household or agricultural purposes.</w:t>
      </w:r>
    </w:p>
    <w:p>
      <w:pPr>
        <w:spacing w:after="0" w:line="162" w:lineRule="exact"/>
        <w:rPr>
          <w:sz w:val="20"/>
          <w:szCs w:val="20"/>
          <w:color w:val="auto"/>
        </w:rPr>
      </w:pPr>
    </w:p>
    <w:p>
      <w:pPr>
        <w:jc w:val="both"/>
        <w:ind w:firstLine="656"/>
        <w:spacing w:after="0" w:line="255" w:lineRule="auto"/>
        <w:tabs>
          <w:tab w:leader="none" w:pos="1291"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Disclosure. </w:t>
      </w:r>
      <w:r>
        <w:rPr>
          <w:rFonts w:ascii="Arial" w:cs="Arial" w:eastAsia="Arial" w:hAnsi="Arial"/>
          <w:sz w:val="18"/>
          <w:szCs w:val="18"/>
          <w:color w:val="auto"/>
        </w:rPr>
        <w:t>No written representation, warranty or other statement of Borrower in any report, certificate, or written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ab. Definition of “Knowledge.” </w:t>
      </w:r>
      <w:r>
        <w:rPr>
          <w:rFonts w:ascii="Arial" w:cs="Arial" w:eastAsia="Arial" w:hAnsi="Arial"/>
          <w:sz w:val="18"/>
          <w:szCs w:val="18"/>
          <w:color w:val="auto"/>
        </w:rPr>
        <w:t>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do all of the following:</w:t>
      </w:r>
    </w:p>
    <w:p>
      <w:pPr>
        <w:sectPr>
          <w:pgSz w:w="11900" w:h="16838" w:orient="portrait"/>
          <w:cols w:equalWidth="0" w:num="1">
            <w:col w:w="11240"/>
          </w:cols>
          <w:pgMar w:left="320" w:top="1421" w:right="339" w:bottom="1440" w:gutter="0" w:footer="0" w:header="0"/>
        </w:sect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ac.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Compliance.</w:t>
      </w:r>
    </w:p>
    <w:p>
      <w:pPr>
        <w:spacing w:after="0" w:line="200" w:lineRule="exact"/>
        <w:rPr>
          <w:sz w:val="20"/>
          <w:szCs w:val="20"/>
          <w:color w:val="auto"/>
        </w:rPr>
      </w:pPr>
    </w:p>
    <w:p>
      <w:pPr>
        <w:sectPr>
          <w:pgSz w:w="11900" w:h="16838" w:orient="portrait"/>
          <w:cols w:equalWidth="0" w:num="2">
            <w:col w:w="880" w:space="420"/>
            <w:col w:w="9940"/>
          </w:cols>
          <w:pgMar w:left="320" w:top="1421" w:right="339" w:bottom="1440" w:gutter="0" w:footer="0" w:header="0"/>
          <w:type w:val="continuous"/>
        </w:sectPr>
      </w:pPr>
    </w:p>
    <w:p>
      <w:pPr>
        <w:spacing w:after="0" w:line="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ar.</w:t>
      </w:r>
      <w:r>
        <w:rPr>
          <w:sz w:val="20"/>
          <w:szCs w:val="20"/>
          <w:color w:val="auto"/>
        </w:rPr>
        <w:tab/>
      </w:r>
      <w:r>
        <w:rPr>
          <w:rFonts w:ascii="Arial" w:cs="Arial" w:eastAsia="Arial" w:hAnsi="Arial"/>
          <w:sz w:val="16"/>
          <w:szCs w:val="16"/>
          <w:color w:val="auto"/>
        </w:rPr>
        <w:t>Maintain its and all its Subsidiaries’ legal existence and good standing in their respective jurisdictions of formation and maintain</w:t>
      </w:r>
    </w:p>
    <w:p>
      <w:pPr>
        <w:sectPr>
          <w:pgSz w:w="11900" w:h="16838" w:orient="portrait"/>
          <w:cols w:equalWidth="0" w:num="1">
            <w:col w:w="11240"/>
          </w:cols>
          <w:pgMar w:left="320" w:top="1421" w:right="339" w:bottom="1440" w:gutter="0" w:footer="0" w:header="0"/>
          <w:type w:val="continuous"/>
        </w:sectPr>
      </w:pP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qualification in each jurisdiction in which the failure to so qualify would reasonably be expected to have a material adverse effect on Borrower’s business or operations;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prohibit or prevent Borrower from discontinuing the legal existence and qualification of any Immaterial Subsidiary, with prior written notice to Bank, if in the reasonable good faith judgment of Borrower, such discontinuance or qualification is no longer desirable in the conduct of its business or such Subsidiary is no longer useful to the business of Borrower or such Subsidiary.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200" w:lineRule="exact"/>
        <w:rPr>
          <w:sz w:val="20"/>
          <w:szCs w:val="20"/>
          <w:color w:val="auto"/>
        </w:rPr>
      </w:pPr>
    </w:p>
    <w:p>
      <w:pPr>
        <w:spacing w:after="0" w:line="23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as. 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ad. Financial Statements, Reports. </w:t>
      </w:r>
      <w:r>
        <w:rPr>
          <w:rFonts w:ascii="Arial" w:cs="Arial" w:eastAsia="Arial" w:hAnsi="Arial"/>
          <w:sz w:val="18"/>
          <w:szCs w:val="18"/>
          <w:color w:val="auto"/>
        </w:rPr>
        <w:t>Provide Bank with the following by submitting to the Financial Statement Repository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submitting to Bank:</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6"/>
          <w:szCs w:val="16"/>
          <w:color w:val="auto"/>
        </w:rPr>
        <w:t>at.</w:t>
      </w:r>
      <w:r>
        <w:rPr>
          <w:sz w:val="20"/>
          <w:szCs w:val="20"/>
          <w:color w:val="auto"/>
        </w:rPr>
        <w:tab/>
      </w:r>
      <w:r>
        <w:rPr>
          <w:rFonts w:ascii="Arial" w:cs="Arial" w:eastAsia="Arial" w:hAnsi="Arial"/>
          <w:sz w:val="16"/>
          <w:szCs w:val="16"/>
          <w:color w:val="auto"/>
        </w:rPr>
        <w:t>a Borrowing Base Statement (and any schedules related thereto and including any other information requested by Bank with</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respect to Borrower’s Accounts, including, without limitation, an accounts receivable ledger report), (i) at all times when Advances are outstanding, within seven (7) Business Days after the end of each month, and (ii) at all other times, within five (5) days after Magnite files its 10-Q and 10-K reports with the SEC;</w:t>
      </w:r>
    </w:p>
    <w:p>
      <w:pPr>
        <w:spacing w:after="0" w:line="19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au. (i) accounts receivable agings, aged by invoice date, (ii) accounts payable agings, aged by invoice date, and outstanding or held check registers, if any, and (iii) reconciliations of accounts receivable agings (aged by invoice date), transaction reports, a detailed debtor listing, and general ledger, within five (5) days after Magnite files its 10-Q and 10-K reports with the SEC;</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av. a completed Compliance Statement, confirming that, as of the end of the applicable quarter, Borrower was in full compliance with all of the terms and conditions of this Agreement, and setting forth calculations showing compliance with the financial covenants set forth in this Agreement (if applicable) and such other information as Bank may reasonably request, including, without limitation, a statement that at the end of such quarter there were no held checks, within five (5) days after Magnite files its 10-Q and 10-K reports with the SEC;</w:t>
      </w:r>
    </w:p>
    <w:p>
      <w:pPr>
        <w:spacing w:after="0" w:line="17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aw. the earlier of (i) thirty (30) days after the approval by the Board or (ii) sixty (60) days after the end of each fiscal year of Borrower, and contemporaneously with any updates or amendments thereto, (A) annual operating budgets (including income statements, balance sheets and cash flow statements, by quarter) for the upcoming fiscal year of Borrower, and (B) annual financial projections for the following fiscal year (on a quarterly basis), in each case as approved by the Board, together with any related business forecasts used in the preparation of such annual financial projections;</w:t>
      </w:r>
    </w:p>
    <w:p>
      <w:pPr>
        <w:spacing w:after="0" w:line="15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ax. as long as Borrower is subject to the reporting requirements under the Exchange Act, 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including without limitation any 10-Q or 10-K of Borrower filed with the SEC.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9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ay. within five (5) days of delivery, copies of all statements, reports and notices made available to Borrower’s security holders or to any holders of Subordinated Debt;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az.</w:t>
      </w:r>
      <w:r>
        <w:rPr>
          <w:sz w:val="20"/>
          <w:szCs w:val="20"/>
          <w:color w:val="auto"/>
        </w:rPr>
        <w:tab/>
      </w:r>
      <w:r>
        <w:rPr>
          <w:rFonts w:ascii="Arial" w:cs="Arial" w:eastAsia="Arial" w:hAnsi="Arial"/>
          <w:sz w:val="16"/>
          <w:szCs w:val="16"/>
          <w:color w:val="auto"/>
        </w:rPr>
        <w:t>prompt report of any legal actions pending or threatened in writing against Borrower or any of its Subsidiaries that could result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damages or costs, if adversely determined, to Borrower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Subsidiaries of, individually or in the aggregate, Five Hundred Thousand Dollars ($500,000) or more, net of insurance contributions;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ba. prompt written notice of any changes to the beneficial ownership information set out in items 2d, 2e, 2f, and 2g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165" w:lineRule="exact"/>
        <w:rPr>
          <w:sz w:val="20"/>
          <w:szCs w:val="20"/>
          <w:color w:val="auto"/>
        </w:rPr>
      </w:pPr>
    </w:p>
    <w:p>
      <w:pPr>
        <w:ind w:firstLine="1304"/>
        <w:spacing w:after="0" w:line="277" w:lineRule="auto"/>
        <w:tabs>
          <w:tab w:leader="none" w:pos="19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Bank.</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submission by Borrower of a Compliance Statement, a Borrowing Base Statement or any other financial statement submitted to the Financial Statement Repository pursuant to this Section 6.2 or otherwise submitted to Bank shall be deemed to be a representation by Borrower that (i) as of the date of such Compliance Statement, Borrowing Base Statement or other financial statement, the information and calculations set forth therein are true, accurate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 in Section 5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(vi) as of the date of such submission, no Liens have been levied or claims made against Borrower relating to unpaid employee payroll or benefits of which Borrower has not previously provided written notification to Bank.</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ae.</w:t>
            </w:r>
          </w:p>
        </w:tc>
        <w:tc>
          <w:tcPr>
            <w:tcW w:w="10160" w:type="dxa"/>
            <w:vAlign w:val="bottom"/>
            <w:gridSpan w:val="3"/>
          </w:tcPr>
          <w:p>
            <w:pPr>
              <w:ind w:left="220"/>
              <w:spacing w:after="0"/>
              <w:rPr>
                <w:sz w:val="20"/>
                <w:szCs w:val="20"/>
                <w:color w:val="auto"/>
              </w:rPr>
            </w:pPr>
            <w:r>
              <w:rPr>
                <w:rFonts w:ascii="Arial" w:cs="Arial" w:eastAsia="Arial" w:hAnsi="Arial"/>
                <w:sz w:val="18"/>
                <w:szCs w:val="18"/>
                <w:b w:val="1"/>
                <w:bCs w:val="1"/>
                <w:color w:val="auto"/>
              </w:rPr>
              <w:t>Accounts Receivable.</w:t>
            </w:r>
          </w:p>
        </w:tc>
      </w:tr>
      <w:tr>
        <w:trPr>
          <w:trHeight w:val="392"/>
        </w:trPr>
        <w:tc>
          <w:tcPr>
            <w:tcW w:w="42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bc.</w:t>
            </w:r>
          </w:p>
        </w:tc>
        <w:tc>
          <w:tcPr>
            <w:tcW w:w="9280" w:type="dxa"/>
            <w:vAlign w:val="bottom"/>
            <w:gridSpan w:val="2"/>
          </w:tcPr>
          <w:p>
            <w:pPr>
              <w:spacing w:after="0"/>
              <w:rPr>
                <w:sz w:val="20"/>
                <w:szCs w:val="20"/>
                <w:color w:val="auto"/>
              </w:rPr>
            </w:pPr>
            <w:r>
              <w:rPr>
                <w:rFonts w:ascii="Arial" w:cs="Arial" w:eastAsia="Arial" w:hAnsi="Arial"/>
                <w:sz w:val="18"/>
                <w:szCs w:val="18"/>
                <w:color w:val="auto"/>
                <w:w w:val="90"/>
              </w:rPr>
              <w:t>Schedules and Documents Relating to Accounts. Borrower shall deliver to Bank transaction reports and schedules of collections,</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9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bd. </w:t>
      </w:r>
      <w:r>
        <w:rPr>
          <w:rFonts w:ascii="Arial" w:cs="Arial" w:eastAsia="Arial" w:hAnsi="Arial"/>
          <w:sz w:val="18"/>
          <w:szCs w:val="18"/>
          <w:u w:val="single" w:color="auto"/>
          <w:color w:val="auto"/>
        </w:rPr>
        <w:t>Disputes</w:t>
      </w:r>
      <w:r>
        <w:rPr>
          <w:rFonts w:ascii="Arial" w:cs="Arial" w:eastAsia="Arial" w:hAnsi="Arial"/>
          <w:sz w:val="18"/>
          <w:szCs w:val="18"/>
          <w:color w:val="auto"/>
        </w:rPr>
        <w:t>. Borrower shall promptly notify Bank of all disputes or claims relating to Accounts in excess of Five Hundred Thousand Dollars ($500,000).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be. </w:t>
      </w:r>
      <w:r>
        <w:rPr>
          <w:rFonts w:ascii="Arial" w:cs="Arial" w:eastAsia="Arial" w:hAnsi="Arial"/>
          <w:sz w:val="18"/>
          <w:szCs w:val="18"/>
          <w:u w:val="single" w:color="auto"/>
          <w:color w:val="auto"/>
        </w:rPr>
        <w:t>Collection of Accounts</w:t>
      </w:r>
      <w:r>
        <w:rPr>
          <w:rFonts w:ascii="Arial" w:cs="Arial" w:eastAsia="Arial" w:hAnsi="Arial"/>
          <w:sz w:val="18"/>
          <w:szCs w:val="18"/>
          <w:color w:val="auto"/>
        </w:rPr>
        <w:t>. Borrower shall direct Account Debtors to deliver or transmit all proceeds of Accounts into a lockbox account or such other “blocked account” as specified by Bank (either such account, the “</w:t>
      </w:r>
      <w:r>
        <w:rPr>
          <w:rFonts w:ascii="Arial" w:cs="Arial" w:eastAsia="Arial" w:hAnsi="Arial"/>
          <w:sz w:val="18"/>
          <w:szCs w:val="18"/>
          <w:b w:val="1"/>
          <w:bCs w:val="1"/>
          <w:color w:val="auto"/>
        </w:rPr>
        <w:t>Cash Collateral Account</w:t>
      </w:r>
      <w:r>
        <w:rPr>
          <w:rFonts w:ascii="Arial" w:cs="Arial" w:eastAsia="Arial" w:hAnsi="Arial"/>
          <w:sz w:val="18"/>
          <w:szCs w:val="18"/>
          <w:color w:val="auto"/>
        </w:rPr>
        <w:t>”). Whether or not an Event of Default has occurred and is continuing, Borrower shall immediately deliver all payments on and proceeds of Accounts to the Cash Collateral Account. Subject to Bank’s right to maintain a reserve pursuant to Section 6.3(d), all amounts received in the Cash Collateral Account shall be transferred on a daily basis to Borrower’s operating account with Bank. Borrower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bf. </w:t>
      </w: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as a reserve to be applied to any Obligations regardless of whether such Obligations are then due and payable.</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bg.</w:t>
      </w:r>
      <w:r>
        <w:rPr>
          <w:sz w:val="20"/>
          <w:szCs w:val="20"/>
          <w:color w:val="auto"/>
        </w:rPr>
        <w:tab/>
      </w:r>
      <w:r>
        <w:rPr>
          <w:rFonts w:ascii="Arial" w:cs="Arial" w:eastAsia="Arial" w:hAnsi="Arial"/>
          <w:sz w:val="17"/>
          <w:szCs w:val="17"/>
          <w:u w:val="single" w:color="auto"/>
          <w:color w:val="auto"/>
        </w:rPr>
        <w:t>Verifications; Confirmations; Credit Quality; Notifications</w:t>
      </w:r>
      <w:r>
        <w:rPr>
          <w:rFonts w:ascii="Arial" w:cs="Arial" w:eastAsia="Arial" w:hAnsi="Arial"/>
          <w:sz w:val="17"/>
          <w:szCs w:val="17"/>
          <w:color w:val="auto"/>
        </w:rPr>
        <w:t>. Bank may, from time to time with notice to Borrower (no such</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notice shall be required if an Event of Default has occurred and is continuing),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pacing w:after="0" w:line="19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bh. </w:t>
      </w:r>
      <w:r>
        <w:rPr>
          <w:rFonts w:ascii="Arial" w:cs="Arial" w:eastAsia="Arial" w:hAnsi="Arial"/>
          <w:sz w:val="18"/>
          <w:szCs w:val="18"/>
          <w:u w:val="single" w:color="auto"/>
          <w:color w:val="auto"/>
        </w:rPr>
        <w:t>No Liability</w:t>
      </w:r>
      <w:r>
        <w:rPr>
          <w:rFonts w:ascii="Arial" w:cs="Arial" w:eastAsia="Arial" w:hAnsi="Arial"/>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af. Remittance of Proceeds. </w:t>
      </w:r>
      <w:r>
        <w:rPr>
          <w:rFonts w:ascii="Arial" w:cs="Arial" w:eastAsia="Arial" w:hAnsi="Arial"/>
          <w:sz w:val="16"/>
          <w:szCs w:val="16"/>
          <w:color w:val="auto"/>
        </w:rPr>
        <w:t>Except as otherwise provided in Section 6.3(c), deliver, in kind, all proceeds arising from the disposition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Five Hundred Thousand Dollars ($500,000) or less (for all such transactions in any fiscal year). Borrower agrees that it will maintain in an account with Bank proceeds of Collateral and will hold such proceeds separate and apart from such other funds and property and in an express trust for Bank. Nothing in this Section 6.4 limits the restrictions on disposition of Collateral set forth elsewhere in this Agreement.</w:t>
      </w:r>
    </w:p>
    <w:p>
      <w:pPr>
        <w:spacing w:after="0" w:line="15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ag. Taxes; Pensions. </w:t>
      </w:r>
      <w:r>
        <w:rPr>
          <w:rFonts w:ascii="Arial" w:cs="Arial" w:eastAsia="Arial" w:hAnsi="Arial"/>
          <w:sz w:val="18"/>
          <w:szCs w:val="18"/>
          <w:color w:val="auto"/>
        </w:rPr>
        <w:t>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ah. Access to Collateral; Books and Records. </w:t>
      </w:r>
      <w:r>
        <w:rPr>
          <w:rFonts w:ascii="Arial" w:cs="Arial" w:eastAsia="Arial" w:hAnsi="Arial"/>
          <w:sz w:val="17"/>
          <w:szCs w:val="17"/>
          <w:color w:val="auto"/>
        </w:rPr>
        <w:t>At reasonable times, on three (3) Business Days’ notice (provided no notice is required if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sole discretion determines that conditions warrant) unless an Event of Default has occurred and is continuing in which case such inspections and audits shall occur as often as Bank shall determine is necessary. Borrower hereby acknowledges that the Initial Audit shall be conducted prior to the initial Advance occurring after the Effective Date and, in any event, not more than ninety (90) days after the Effective Date. The foregoing inspections and audits shall be conducted at Borrower’s expense and the charge therefor shall be One Thousand Dollars ($1,000) per person per day (or such higher amount as shall represent Bank’s then-current standard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ectPr>
          <w:pgSz w:w="11900" w:h="16838" w:orient="portrait"/>
          <w:cols w:equalWidth="0" w:num="1">
            <w:col w:w="11240"/>
          </w:cols>
          <w:pgMar w:left="320" w:top="1421" w:right="339" w:bottom="1440" w:gutter="0" w:footer="0" w:header="0"/>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ai.</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200" w:lineRule="exact"/>
        <w:rPr>
          <w:sz w:val="20"/>
          <w:szCs w:val="20"/>
          <w:color w:val="auto"/>
        </w:rPr>
      </w:pPr>
    </w:p>
    <w:p>
      <w:pPr>
        <w:sectPr>
          <w:pgSz w:w="11900" w:h="16838" w:orient="portrait"/>
          <w:cols w:equalWidth="0" w:num="2">
            <w:col w:w="840" w:space="460"/>
            <w:col w:w="9940"/>
          </w:cols>
          <w:pgMar w:left="320" w:top="1421" w:right="339" w:bottom="1440" w:gutter="0" w:footer="0" w:header="0"/>
          <w:type w:val="continuous"/>
        </w:sectPr>
      </w:pPr>
    </w:p>
    <w:p>
      <w:pPr>
        <w:spacing w:after="0" w:line="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bi.</w:t>
      </w:r>
      <w:r>
        <w:rPr>
          <w:sz w:val="20"/>
          <w:szCs w:val="20"/>
          <w:color w:val="auto"/>
        </w:rPr>
        <w:tab/>
      </w:r>
      <w:r>
        <w:rPr>
          <w:rFonts w:ascii="Arial" w:cs="Arial" w:eastAsia="Arial" w:hAnsi="Arial"/>
          <w:sz w:val="16"/>
          <w:szCs w:val="16"/>
          <w:color w:val="auto"/>
        </w:rPr>
        <w:t>Keep its business and the Collateral insured for risks and in amounts standard for companies in Borrower’s industry and location</w:t>
      </w:r>
    </w:p>
    <w:p>
      <w:pPr>
        <w:sectPr>
          <w:pgSz w:w="11900" w:h="16838" w:orient="portrait"/>
          <w:cols w:equalWidth="0" w:num="1">
            <w:col w:w="11240"/>
          </w:cols>
          <w:pgMar w:left="320" w:top="1421" w:right="339" w:bottom="1440" w:gutter="0" w:footer="0" w:header="0"/>
          <w:type w:val="continuous"/>
        </w:sectPr>
      </w:pP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bj. Ensure that proceeds payable under any property policy are, at Bank’s option, payable to Bank on account of the Obligations. Notwithstanding the foregoing, (i) so long as no Event of Default has occurred and is continuing, Borrower shall have the option of applying the proceeds of any casualty policy up to Five Hundred Thousand Dollars ($500,000) in the aggregate for all losses under all casualty policies in any one year, toward the replacement or repair of destroyed or damaged property; provided that any such replaced or repaired property (A) shall be of equal or like value as the replaced or repaired Collateral and (B) shall be deemed Collateral in which Bank has been granted a first priority security interest (except for Liens permitted under clause (c) of the definition of Permitted Liens), and (ii) after the occurrence and during the continuance of an Event of Default, all proceeds payable under such casualty policy shall, at the option of Bank, be payable to Bank on account of the Obligations.</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bk. 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twenty (20) days (ten (10) days for nonpayment of premium) prior written notice before any such policy or policies shall be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ectPr>
          <w:pgSz w:w="11900" w:h="16838" w:orient="portrait"/>
          <w:cols w:equalWidth="0" w:num="1">
            <w:col w:w="11240"/>
          </w:cols>
          <w:pgMar w:left="320" w:top="1421" w:right="339" w:bottom="1440" w:gutter="0" w:footer="0" w:header="0"/>
          <w:type w:val="continuous"/>
        </w:sectPr>
      </w:pP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aj.</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w:t>
      </w:r>
    </w:p>
    <w:p>
      <w:pPr>
        <w:spacing w:after="0" w:line="222" w:lineRule="exact"/>
        <w:rPr>
          <w:sz w:val="20"/>
          <w:szCs w:val="20"/>
          <w:color w:val="auto"/>
        </w:rPr>
      </w:pPr>
    </w:p>
    <w:p>
      <w:pPr>
        <w:sectPr>
          <w:pgSz w:w="11900" w:h="16838" w:orient="portrait"/>
          <w:cols w:equalWidth="0" w:num="2">
            <w:col w:w="860" w:space="440"/>
            <w:col w:w="9940"/>
          </w:cols>
          <w:pgMar w:left="320" w:top="1421" w:right="339" w:bottom="1440" w:gutter="0" w:footer="0" w:header="0"/>
          <w:type w:val="continuous"/>
        </w:sectPr>
      </w:pPr>
    </w:p>
    <w:p>
      <w:pPr>
        <w:spacing w:after="0" w:line="4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bl.</w:t>
      </w:r>
      <w:r>
        <w:rPr>
          <w:sz w:val="20"/>
          <w:szCs w:val="20"/>
          <w:color w:val="auto"/>
        </w:rPr>
        <w:tab/>
      </w:r>
      <w:r>
        <w:rPr>
          <w:rFonts w:ascii="Arial" w:cs="Arial" w:eastAsia="Arial" w:hAnsi="Arial"/>
          <w:sz w:val="16"/>
          <w:szCs w:val="16"/>
          <w:color w:val="auto"/>
        </w:rPr>
        <w:t>Maintain its and all of its Material Subsidiaries’ primary domestic operating and other deposit accounts, and the Cash Collateral</w:t>
      </w:r>
    </w:p>
    <w:p>
      <w:pPr>
        <w:sectPr>
          <w:pgSz w:w="11900" w:h="16838" w:orient="portrait"/>
          <w:cols w:equalWidth="0" w:num="1">
            <w:col w:w="11240"/>
          </w:cols>
          <w:pgMar w:left="320" w:top="1421" w:right="339" w:bottom="1440" w:gutter="0" w:footer="0" w:header="0"/>
          <w:type w:val="continuous"/>
        </w:sectPr>
      </w:pP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Account with Bank and Bank’s Affiliates, which accounts shall represent at least eighty-five percent (85%) of the dollar value of Borrower’s and such Subsidiaries’ accounts at all financial institutions.</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bm. Except as set forth in clause (g) of the definition of Permitted Indebtedness herein, Borrower and all of its Material Subsidiaries shall obtain any business credit cards and letters of credit exclusively from Bank.</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bn.</w:t>
      </w:r>
      <w:r>
        <w:rPr>
          <w:sz w:val="20"/>
          <w:szCs w:val="20"/>
          <w:color w:val="auto"/>
        </w:rPr>
        <w:tab/>
      </w:r>
      <w:r>
        <w:rPr>
          <w:rFonts w:ascii="Arial" w:cs="Arial" w:eastAsia="Arial" w:hAnsi="Arial"/>
          <w:sz w:val="17"/>
          <w:szCs w:val="17"/>
          <w:color w:val="auto"/>
        </w:rPr>
        <w:t>In addition to and without limiting the restrictions in clause (a) above, Borrower shall provide Bank five (5) days prior written</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notice before establishing any domestic Collateral Account (other than Collateral Accounts described in clauses (i) and (ii) in the definition of Excluded Accounts below) at or with any bank or financial institution other than Bank or Bank’s Affiliates. For each domestic Collateral Account (other than Excluded Accounts)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(ii) payment processing accounts for which Borrower has provided written notice to Bank and provided that all funds in such payment processing accounts are swept to the Designated Deposit Account on a weekly basis and (iii) escrow or trust accounts established in connection with a merger or acquisition, so long as the merger or acquisition is a Permitted Acquisition and Bank has approved the establishment of such escrow or trust fund prior to the escrow or trust fund being established (“</w:t>
      </w:r>
      <w:r>
        <w:rPr>
          <w:rFonts w:ascii="Arial" w:cs="Arial" w:eastAsia="Arial" w:hAnsi="Arial"/>
          <w:sz w:val="18"/>
          <w:szCs w:val="18"/>
          <w:b w:val="1"/>
          <w:b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ak.</w:t>
            </w:r>
          </w:p>
        </w:tc>
        <w:tc>
          <w:tcPr>
            <w:tcW w:w="10120" w:type="dxa"/>
            <w:vAlign w:val="bottom"/>
            <w:gridSpan w:val="5"/>
          </w:tcPr>
          <w:p>
            <w:pPr>
              <w:ind w:left="200"/>
              <w:spacing w:after="0"/>
              <w:rPr>
                <w:sz w:val="20"/>
                <w:szCs w:val="20"/>
                <w:color w:val="auto"/>
              </w:rPr>
            </w:pPr>
            <w:r>
              <w:rPr>
                <w:rFonts w:ascii="Arial" w:cs="Arial" w:eastAsia="Arial" w:hAnsi="Arial"/>
                <w:sz w:val="18"/>
                <w:szCs w:val="18"/>
                <w:b w:val="1"/>
                <w:bCs w:val="1"/>
                <w:color w:val="auto"/>
              </w:rPr>
              <w:t>Financial Covenants.</w:t>
            </w:r>
          </w:p>
        </w:tc>
      </w:tr>
      <w:tr>
        <w:trPr>
          <w:trHeight w:val="392"/>
        </w:trPr>
        <w:tc>
          <w:tcPr>
            <w:tcW w:w="110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bo.</w:t>
            </w:r>
          </w:p>
        </w:tc>
        <w:tc>
          <w:tcPr>
            <w:tcW w:w="9280" w:type="dxa"/>
            <w:vAlign w:val="bottom"/>
            <w:gridSpan w:val="3"/>
          </w:tcPr>
          <w:p>
            <w:pPr>
              <w:spacing w:after="0"/>
              <w:rPr>
                <w:sz w:val="20"/>
                <w:szCs w:val="20"/>
                <w:color w:val="auto"/>
              </w:rPr>
            </w:pPr>
            <w:r>
              <w:rPr>
                <w:rFonts w:ascii="Arial" w:cs="Arial" w:eastAsia="Arial" w:hAnsi="Arial"/>
                <w:sz w:val="18"/>
                <w:szCs w:val="18"/>
                <w:color w:val="auto"/>
                <w:w w:val="92"/>
              </w:rPr>
              <w:t>Minimum Liquidity Ratio. Maintain at all times, tested on a consolidated basis with respect to Borrower on the last day of each</w:t>
            </w:r>
          </w:p>
        </w:tc>
      </w:tr>
      <w:tr>
        <w:trPr>
          <w:trHeight w:val="20"/>
        </w:trPr>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1220" w:type="dxa"/>
            <w:vAlign w:val="bottom"/>
            <w:gridSpan w:val="6"/>
          </w:tcPr>
          <w:p>
            <w:pPr>
              <w:spacing w:after="0"/>
              <w:rPr>
                <w:sz w:val="20"/>
                <w:szCs w:val="20"/>
                <w:color w:val="auto"/>
              </w:rPr>
            </w:pPr>
            <w:r>
              <w:rPr>
                <w:rFonts w:ascii="Arial" w:cs="Arial" w:eastAsia="Arial" w:hAnsi="Arial"/>
                <w:sz w:val="18"/>
                <w:szCs w:val="18"/>
                <w:color w:val="auto"/>
              </w:rPr>
              <w:t>calendar quarter, a Liquidity Ratio of at least 1.25 to 1.00.</w:t>
            </w:r>
          </w:p>
        </w:tc>
      </w:tr>
      <w:tr>
        <w:trPr>
          <w:trHeight w:val="391"/>
        </w:trPr>
        <w:tc>
          <w:tcPr>
            <w:tcW w:w="11220" w:type="dxa"/>
            <w:vAlign w:val="bottom"/>
            <w:gridSpan w:val="6"/>
          </w:tcPr>
          <w:p>
            <w:pPr>
              <w:spacing w:after="0"/>
              <w:rPr>
                <w:sz w:val="20"/>
                <w:szCs w:val="20"/>
                <w:color w:val="auto"/>
              </w:rPr>
            </w:pPr>
            <w:r>
              <w:rPr>
                <w:rFonts w:ascii="Arial" w:cs="Arial" w:eastAsia="Arial" w:hAnsi="Arial"/>
                <w:sz w:val="18"/>
                <w:szCs w:val="18"/>
                <w:color w:val="auto"/>
              </w:rPr>
              <w:t>[NOTE TO DRAFT-SECTION 6.9(b) WAS MODIFIED AS SET FORTH BELOW TO CORRECT CERTAIN DRAFTING ERRORS]</w:t>
            </w:r>
          </w:p>
        </w:tc>
      </w:tr>
      <w:tr>
        <w:trPr>
          <w:trHeight w:val="20"/>
        </w:trPr>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bp.</w:t>
            </w:r>
          </w:p>
        </w:tc>
        <w:tc>
          <w:tcPr>
            <w:tcW w:w="9280" w:type="dxa"/>
            <w:vAlign w:val="bottom"/>
            <w:gridSpan w:val="3"/>
          </w:tcPr>
          <w:p>
            <w:pPr>
              <w:spacing w:after="0"/>
              <w:rPr>
                <w:sz w:val="20"/>
                <w:szCs w:val="20"/>
                <w:color w:val="auto"/>
              </w:rPr>
            </w:pPr>
            <w:r>
              <w:rPr>
                <w:rFonts w:ascii="Arial" w:cs="Arial" w:eastAsia="Arial" w:hAnsi="Arial"/>
                <w:sz w:val="18"/>
                <w:szCs w:val="18"/>
                <w:color w:val="auto"/>
                <w:w w:val="97"/>
              </w:rPr>
              <w:t>Maximum Cash Burn. Measured as of the last day of each calendar quarter, beginning with the calendar quarter ending</w:t>
            </w: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September 30, 2020, Borrower’s Cash Burn shall not exceed (on an absolute basis) the amounts listed in the table immediately below for the corresponding measuring period: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60" w:type="dxa"/>
            <w:vAlign w:val="bottom"/>
            <w:tcBorders>
              <w:top w:val="single" w:sz="8" w:color="auto"/>
              <w:left w:val="single" w:sz="8" w:color="auto"/>
              <w:right w:val="single" w:sz="8" w:color="auto"/>
            </w:tcBorders>
          </w:tcPr>
          <w:p>
            <w:pPr>
              <w:ind w:left="1640"/>
              <w:spacing w:after="0"/>
              <w:rPr>
                <w:sz w:val="20"/>
                <w:szCs w:val="20"/>
                <w:color w:val="auto"/>
              </w:rPr>
            </w:pPr>
            <w:r>
              <w:rPr>
                <w:rFonts w:ascii="Arial" w:cs="Arial" w:eastAsia="Arial" w:hAnsi="Arial"/>
                <w:sz w:val="18"/>
                <w:szCs w:val="18"/>
                <w:b w:val="1"/>
                <w:bCs w:val="1"/>
                <w:color w:val="auto"/>
              </w:rPr>
              <w:t>Measuring Period</w:t>
            </w:r>
          </w:p>
        </w:tc>
        <w:tc>
          <w:tcPr>
            <w:tcW w:w="356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Maximum Cash Burn</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Three months ended September 30, 2020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($22,508,000)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Six months ending December 31, 2020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($29,305,000)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6"/>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Nine months ending March 31, 2021</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($36,124,000)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 months ending June 30, 2021</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($39,196,000)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 months ending September 30, 2021</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($19,188,000)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 months ending December 31, 2021</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($13,641,000)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 months ending March 31, 2022</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($6,822,000)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 months ending June 30, 2022</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($3,750,000)</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Protection of Intellectual Property Rights.</w:t>
      </w:r>
    </w:p>
    <w:p>
      <w:pPr>
        <w:spacing w:after="0" w:line="200" w:lineRule="exact"/>
        <w:rPr>
          <w:sz w:val="20"/>
          <w:szCs w:val="20"/>
          <w:color w:val="auto"/>
        </w:rPr>
      </w:pPr>
    </w:p>
    <w:p>
      <w:pPr>
        <w:sectPr>
          <w:pgSz w:w="11900" w:h="16838" w:orient="portrait"/>
          <w:cols w:equalWidth="0" w:num="2">
            <w:col w:w="840" w:space="460"/>
            <w:col w:w="9940"/>
          </w:cols>
          <w:pgMar w:left="320" w:top="1421" w:right="339" w:bottom="1440" w:gutter="0" w:footer="0" w:header="0"/>
          <w:type w:val="continuous"/>
        </w:sectPr>
      </w:pPr>
    </w:p>
    <w:p>
      <w:pPr>
        <w:spacing w:after="0" w:line="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bq.</w:t>
      </w:r>
      <w:r>
        <w:rPr>
          <w:sz w:val="20"/>
          <w:szCs w:val="20"/>
          <w:color w:val="auto"/>
        </w:rPr>
        <w:tab/>
      </w:r>
      <w:r>
        <w:rPr>
          <w:rFonts w:ascii="Arial" w:cs="Arial" w:eastAsia="Arial" w:hAnsi="Arial"/>
          <w:sz w:val="16"/>
          <w:szCs w:val="16"/>
          <w:color w:val="auto"/>
        </w:rPr>
        <w:t>(i) Use commercially reasonable efforts to protect, defend and maintain the validity and enforceability of its Intellectual Property</w:t>
      </w:r>
    </w:p>
    <w:p>
      <w:pPr>
        <w:sectPr>
          <w:pgSz w:w="11900" w:h="16838" w:orient="portrait"/>
          <w:cols w:equalWidth="0" w:num="1">
            <w:col w:w="11240"/>
          </w:cols>
          <w:pgMar w:left="320" w:top="1421" w:right="339" w:bottom="1440" w:gutter="0" w:footer="0" w:header="0"/>
          <w:type w:val="continuous"/>
        </w:sectPr>
      </w:pP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 to its business; (ii) promptly advise Bank in writing of material infringements or any other event that could reasonably be expected to materially and adversely affect the value of its Intellectual Property material to its business; and (iii) not allow any Intellectual Property material to Borrower’s business to be abandoned, forfeited or dedicated to the public without Bank’s written consent.</w:t>
      </w:r>
    </w:p>
    <w:p>
      <w:pPr>
        <w:spacing w:after="0" w:line="19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br. Provide written notice to Bank within ten (10) days of entering or becoming bound by any Restricted License (other than over-the-counter software that is commercially available to the public). Borrower shall take such steps as Bank requests in its reasonable discretion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68" w:name="page69"/>
    <w:bookmarkEnd w:id="68"/>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am. Litigation Cooperation. </w:t>
      </w:r>
      <w:r>
        <w:rPr>
          <w:rFonts w:ascii="Arial" w:cs="Arial" w:eastAsia="Arial" w:hAnsi="Arial"/>
          <w:sz w:val="16"/>
          <w:szCs w:val="16"/>
          <w:color w:val="auto"/>
        </w:rPr>
        <w:t>From the date hereof and continuing through the termination of this Agreement, make available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provided, however, that any information provided to Bank shall be subject to the confidentiality provisions set forth in Section 12.9.</w:t>
      </w:r>
    </w:p>
    <w:p>
      <w:pPr>
        <w:sectPr>
          <w:pgSz w:w="11900" w:h="16838" w:orient="portrait"/>
          <w:cols w:equalWidth="0" w:num="1">
            <w:col w:w="11240"/>
          </w:cols>
          <w:pgMar w:left="320" w:top="1417" w:right="339" w:bottom="1440" w:gutter="0" w:footer="0" w:header="0"/>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 Banking.</w:t>
      </w:r>
    </w:p>
    <w:p>
      <w:pPr>
        <w:spacing w:after="0" w:line="200" w:lineRule="exact"/>
        <w:rPr>
          <w:sz w:val="20"/>
          <w:szCs w:val="20"/>
          <w:color w:val="auto"/>
        </w:rPr>
      </w:pPr>
    </w:p>
    <w:p>
      <w:pPr>
        <w:sectPr>
          <w:pgSz w:w="11900" w:h="16838" w:orient="portrait"/>
          <w:cols w:equalWidth="0" w:num="2">
            <w:col w:w="900" w:space="400"/>
            <w:col w:w="9940"/>
          </w:cols>
          <w:pgMar w:left="320" w:top="1417" w:right="339" w:bottom="1440" w:gutter="0" w:footer="0" w:header="0"/>
          <w:type w:val="continuous"/>
        </w:sectPr>
      </w:pPr>
    </w:p>
    <w:p>
      <w:pPr>
        <w:spacing w:after="0" w:line="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bs.</w:t>
      </w:r>
      <w:r>
        <w:rPr>
          <w:sz w:val="20"/>
          <w:szCs w:val="20"/>
          <w:color w:val="auto"/>
        </w:rPr>
        <w:tab/>
      </w:r>
      <w:r>
        <w:rPr>
          <w:rFonts w:ascii="Arial" w:cs="Arial" w:eastAsia="Arial" w:hAnsi="Arial"/>
          <w:sz w:val="17"/>
          <w:szCs w:val="17"/>
          <w:color w:val="auto"/>
        </w:rPr>
        <w:t>Utilize Bank’s online banking platform for all matters requested by Bank which shall include, without limitation (and without</w:t>
      </w:r>
    </w:p>
    <w:p>
      <w:pPr>
        <w:sectPr>
          <w:pgSz w:w="11900" w:h="16838" w:orient="portrait"/>
          <w:cols w:equalWidth="0" w:num="1">
            <w:col w:w="11240"/>
          </w:cols>
          <w:pgMar w:left="320" w:top="1417" w:right="339" w:bottom="1440" w:gutter="0" w:footer="0" w:header="0"/>
          <w:type w:val="continuous"/>
        </w:sectPr>
      </w:pP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 provided, however, if Bank’s online banking platform is not operational then Borrower shall notify Bank and arrange with Bank for an alternative method of delivering the applicable information.</w:t>
      </w:r>
    </w:p>
    <w:p>
      <w:pPr>
        <w:spacing w:after="0" w:line="193"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bt. Comply with the terms of Bank’s Online Banking Agreement as in effect from time to time and ensure that all persons utilizing Bank’s online banking platform are duly authorized to do so by an Administrator. Bank shall be entitled to assume the authenticity, accuracy and completeness on any information, instruction or request for a Credit Extension submitted via Bank’s online banking platform and to further assume that any submissions or requests made via Bank’s online banking platform have been duly authorized by an Administrator.</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ao. Formation or Acquisition of Subsidiaries. </w:t>
      </w:r>
      <w:r>
        <w:rPr>
          <w:rFonts w:ascii="Arial" w:cs="Arial" w:eastAsia="Arial" w:hAnsi="Arial"/>
          <w:sz w:val="17"/>
          <w:szCs w:val="17"/>
          <w:color w:val="auto"/>
        </w:rPr>
        <w:t>Notwithstanding and without limiting the negative covenants contained in Sections 7.3 and</w:t>
      </w:r>
      <w:r>
        <w:rPr>
          <w:rFonts w:ascii="Arial" w:cs="Arial" w:eastAsia="Arial" w:hAnsi="Arial"/>
          <w:sz w:val="17"/>
          <w:szCs w:val="17"/>
          <w:b w:val="1"/>
          <w:bCs w:val="1"/>
          <w:color w:val="auto"/>
        </w:rPr>
        <w:t xml:space="preserve"> </w:t>
      </w:r>
      <w:r>
        <w:rPr>
          <w:rFonts w:ascii="Arial" w:cs="Arial" w:eastAsia="Arial" w:hAnsi="Arial"/>
          <w:sz w:val="17"/>
          <w:szCs w:val="17"/>
          <w:color w:val="auto"/>
        </w:rPr>
        <w:t>7.7 hereof, within thirty (30) days of the date that Borrower forms any direct or indirect Material Subsidiary or acquires any direct or indirect Material Subsidiary after the Effective Date (including, without limitation, pursuant to a Division), or if any Immaterial Subsidiary subsequently becomes a Material Subsidiary, Borrower shall (a) cause such Material Subsidiary to provide to Bank a joinder to this Agreement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Material Subsidiary), (b) provide to Bank appropriate certificates and powers and financing statements, pledging all of the direct or beneficial ownership interest in such new Material Subsidiary, in form and substance satisfactory to Bank; and (c) provide to Bank all other documentation in form and substance satisfactory to Bank,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ap. Further Assurances. </w:t>
      </w:r>
      <w:r>
        <w:rPr>
          <w:rFonts w:ascii="Arial" w:cs="Arial" w:eastAsia="Arial" w:hAnsi="Arial"/>
          <w:sz w:val="18"/>
          <w:szCs w:val="18"/>
          <w:color w:val="auto"/>
        </w:rPr>
        <w:t>Execute any further instruments and take further action as Bank reasonably requests to perfect or continue Bank’s</w:t>
      </w:r>
      <w:r>
        <w:rPr>
          <w:rFonts w:ascii="Arial" w:cs="Arial" w:eastAsia="Arial" w:hAnsi="Arial"/>
          <w:sz w:val="18"/>
          <w:szCs w:val="18"/>
          <w:b w:val="1"/>
          <w:bCs w:val="1"/>
          <w:color w:val="auto"/>
        </w:rPr>
        <w:t xml:space="preserve"> </w:t>
      </w:r>
      <w:r>
        <w:rPr>
          <w:rFonts w:ascii="Arial" w:cs="Arial" w:eastAsia="Arial" w:hAnsi="Arial"/>
          <w:sz w:val="18"/>
          <w:szCs w:val="18"/>
          <w:color w:val="auto"/>
        </w:rPr>
        <w:t>Lien 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83"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aq. Dispositions. </w:t>
      </w:r>
      <w:r>
        <w:rPr>
          <w:rFonts w:ascii="Arial" w:cs="Arial" w:eastAsia="Arial" w:hAnsi="Arial"/>
          <w:sz w:val="18"/>
          <w:szCs w:val="18"/>
          <w:color w:val="auto"/>
        </w:rPr>
        <w:t>Convey, sell, lease, transfer, assign, or otherwise dispose of (including, without limitation, pursuant to a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type w:val="continuous"/>
        </w:sectPr>
      </w:pPr>
    </w:p>
    <w:bookmarkStart w:id="69" w:name="page70"/>
    <w:bookmarkEnd w:id="69"/>
    <w:p>
      <w:pPr>
        <w:jc w:val="both"/>
        <w:spacing w:after="0" w:line="263" w:lineRule="auto"/>
        <w:rPr>
          <w:sz w:val="20"/>
          <w:szCs w:val="20"/>
          <w:color w:val="auto"/>
        </w:rPr>
      </w:pPr>
      <w:r>
        <w:rPr>
          <w:rFonts w:ascii="Arial" w:cs="Arial" w:eastAsia="Arial" w:hAnsi="Arial"/>
          <w:sz w:val="18"/>
          <w:szCs w:val="18"/>
          <w:color w:val="auto"/>
        </w:rPr>
        <w:t>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ar. Changes in Business, Control, or Business Locations. </w:t>
      </w:r>
      <w:r>
        <w:rPr>
          <w:rFonts w:ascii="Arial" w:cs="Arial" w:eastAsia="Arial" w:hAnsi="Arial"/>
          <w:sz w:val="18"/>
          <w:szCs w:val="18"/>
          <w:color w:val="auto"/>
        </w:rPr>
        <w:t>(a) Engage in or permit any of its Subsidiaries to engage in any business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businesses currently engaged in by Borrower and such Subsidiary, as applicable, or reasonably related thereto; (b) liquidate or dissolve; or (c) permit or suffer any Change in Control in regard to any Borrower.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such new offices or business locations contain less than One Million Dollars ($1,000,000) in Borrower’s assets or property) or deliver any portion of the Collateral valued, individually or in the aggregate, in excess of One Million Dollars ($1,000,000)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One Million Dollars ($1,000,000) of Borrower's assets or property, then Borrower shall use commercially reasonable efforts to cause the landlord of any such new offices or business locations, including warehouses, to execute and deliver a landlord consent in form and substance satisfactory to Bank in Bank’s reasonable discretion. If Borrower intends to deliver any portion of the Collateral valued, individually or in the aggregate, in excess of One Million Dollars ($1,000,000) to a bailee, and Bank and such bailee are not already parties to a bailee agreement governing both the Collateral and the location to which Borrower intends to deliver the Collateral, then Borrower shall use commercially reasonable efforts to cause such bailee to execute and deliver a bailee agreement in form and substance satisfactory to Bank in Bank’s reasonable discretion.</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as. Mergers or Acquisitions. </w:t>
      </w:r>
      <w:r>
        <w:rPr>
          <w:rFonts w:ascii="Arial" w:cs="Arial" w:eastAsia="Arial" w:hAnsi="Arial"/>
          <w:sz w:val="18"/>
          <w:szCs w:val="18"/>
          <w:color w:val="auto"/>
        </w:rPr>
        <w:t>Merge or consolidate, or permit any of its Subsidiaries to merge or consolidate, with any other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or permit any of its Subsidiaries to acquire, all or substantially all of the capital stock or property of another Person (including, without limitation, by the formation of any Subsidiary or pursuant to a Division), except for Permitted Acquisitions and Permitted Investments. A Subsidiary may merge or consolidate into another Subsidiary or into Borrower (if such Subsidiary is also a Borrower hereunder).</w:t>
      </w:r>
    </w:p>
    <w:p>
      <w:pPr>
        <w:sectPr>
          <w:pgSz w:w="11900" w:h="16838" w:orient="portrait"/>
          <w:cols w:equalWidth="0" w:num="1">
            <w:col w:w="11240"/>
          </w:cols>
          <w:pgMar w:left="320" w:top="1421" w:right="33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Create, incur, assume, or be liable for any Indebtedness, or permit any Subsidiary to do so, other than Permitted</w:t>
      </w:r>
    </w:p>
    <w:p>
      <w:pPr>
        <w:spacing w:after="0" w:line="35" w:lineRule="exact"/>
        <w:rPr>
          <w:sz w:val="20"/>
          <w:szCs w:val="20"/>
          <w:color w:val="auto"/>
        </w:rPr>
      </w:pPr>
    </w:p>
    <w:p>
      <w:pPr>
        <w:sectPr>
          <w:pgSz w:w="11900" w:h="16838" w:orient="portrait"/>
          <w:cols w:equalWidth="0" w:num="3">
            <w:col w:w="860" w:space="440"/>
            <w:col w:w="1060" w:space="80"/>
            <w:col w:w="8800"/>
          </w:cols>
          <w:pgMar w:left="320" w:top="14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Indebtedness.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b w:val="1"/>
          <w:bCs w:val="1"/>
          <w:color w:val="auto"/>
        </w:rPr>
        <w:t>au.</w:t>
      </w:r>
      <w:r>
        <w:rPr>
          <w:sz w:val="20"/>
          <w:szCs w:val="20"/>
          <w:color w:val="auto"/>
        </w:rPr>
        <w:tab/>
      </w:r>
      <w:r>
        <w:rPr>
          <w:rFonts w:ascii="Arial" w:cs="Arial" w:eastAsia="Arial" w:hAnsi="Arial"/>
          <w:sz w:val="16"/>
          <w:szCs w:val="16"/>
          <w:b w:val="1"/>
          <w:bCs w:val="1"/>
          <w:color w:val="auto"/>
        </w:rPr>
        <w:t xml:space="preserve">Encumbrance. </w:t>
      </w:r>
      <w:r>
        <w:rPr>
          <w:rFonts w:ascii="Arial" w:cs="Arial" w:eastAsia="Arial" w:hAnsi="Arial"/>
          <w:sz w:val="16"/>
          <w:szCs w:val="16"/>
          <w:color w:val="auto"/>
        </w:rPr>
        <w:t>Create, incur, allow, or suffer any Lien on any of its property, or assign or convey any right to receive income, including</w:t>
      </w:r>
    </w:p>
    <w:p>
      <w:pPr>
        <w:sectPr>
          <w:pgSz w:w="11900" w:h="16838" w:orient="portrait"/>
          <w:cols w:equalWidth="0" w:num="1">
            <w:col w:w="11240"/>
          </w:cols>
          <w:pgMar w:left="320" w:top="1421" w:right="339" w:bottom="1440" w:gutter="0" w:footer="0" w:header="0"/>
          <w:type w:val="continuous"/>
        </w:sectPr>
      </w:pP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sale of any Accounts, or permit any of its Subsidiaries to do so, except for Permitted Liens, permit any Collateral not to be subject to the first priority security interest granted herein (except for Liens permitted under clause (c) of the definition of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ectPr>
          <w:pgSz w:w="11900" w:h="16838" w:orient="portrait"/>
          <w:cols w:equalWidth="0" w:num="1">
            <w:col w:w="11240"/>
          </w:cols>
          <w:pgMar w:left="320" w:top="1421" w:right="33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av.</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6.8(b) hereof.</w:t>
      </w:r>
    </w:p>
    <w:p>
      <w:pPr>
        <w:spacing w:after="0" w:line="200" w:lineRule="exact"/>
        <w:rPr>
          <w:sz w:val="20"/>
          <w:szCs w:val="20"/>
          <w:color w:val="auto"/>
        </w:rPr>
      </w:pPr>
    </w:p>
    <w:p>
      <w:pPr>
        <w:sectPr>
          <w:pgSz w:w="11900" w:h="16838" w:orient="portrait"/>
          <w:cols w:equalWidth="0" w:num="2">
            <w:col w:w="880" w:space="400"/>
            <w:col w:w="9960"/>
          </w:cols>
          <w:pgMar w:left="320" w:top="1421" w:right="339" w:bottom="1440" w:gutter="0" w:footer="0" w:header="0"/>
          <w:type w:val="continuous"/>
        </w:sectPr>
      </w:pPr>
    </w:p>
    <w:p>
      <w:pPr>
        <w:spacing w:after="0" w:line="4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6"/>
          <w:szCs w:val="16"/>
          <w:b w:val="1"/>
          <w:bCs w:val="1"/>
          <w:color w:val="auto"/>
        </w:rPr>
        <w:t>aw.</w:t>
      </w:r>
      <w:r>
        <w:rPr>
          <w:sz w:val="20"/>
          <w:szCs w:val="20"/>
          <w:color w:val="auto"/>
        </w:rPr>
        <w:tab/>
      </w:r>
      <w:r>
        <w:rPr>
          <w:rFonts w:ascii="Arial" w:cs="Arial" w:eastAsia="Arial" w:hAnsi="Arial"/>
          <w:sz w:val="16"/>
          <w:szCs w:val="16"/>
          <w:b w:val="1"/>
          <w:bCs w:val="1"/>
          <w:color w:val="auto"/>
        </w:rPr>
        <w:t xml:space="preserve">Distributions; Investments. </w:t>
      </w:r>
      <w:r>
        <w:rPr>
          <w:rFonts w:ascii="Arial" w:cs="Arial" w:eastAsia="Arial" w:hAnsi="Arial"/>
          <w:sz w:val="16"/>
          <w:szCs w:val="16"/>
          <w:color w:val="auto"/>
        </w:rPr>
        <w:t>(a) Pay any dividends or make any distribution or payment or redeem, retire or purchase any capital stock</w:t>
      </w:r>
    </w:p>
    <w:p>
      <w:pPr>
        <w:sectPr>
          <w:pgSz w:w="11900" w:h="16838" w:orient="portrait"/>
          <w:cols w:equalWidth="0" w:num="1">
            <w:col w:w="11240"/>
          </w:cols>
          <w:pgMar w:left="320" w:top="1421" w:right="339" w:bottom="1440" w:gutter="0" w:footer="0" w:header="0"/>
          <w:type w:val="continuous"/>
        </w:sectPr>
      </w:pP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provided that Borrower may (i) convert any of its convertible securities into other securities pursuant to the terms of such convertible securities or otherwise in exchange thereof, (ii) pay dividends solely in common stock; (iii) withholding of shares otherwise issuable to employees or former employees upon the vesting of such employee’s restricted stock or restricted stock units in order to cover such employee’s tax liabilities; (iv) repurchase the stock of former or current employees or consultants pursuant to stock repurchase agreements so long as an Event of Default does not exist at the time of any such repurchase and would not exist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0" w:name="page71"/>
    <w:bookmarkEnd w:id="70"/>
    <w:p>
      <w:pPr>
        <w:jc w:val="both"/>
        <w:spacing w:after="0" w:line="271" w:lineRule="auto"/>
        <w:rPr>
          <w:sz w:val="20"/>
          <w:szCs w:val="20"/>
          <w:color w:val="auto"/>
        </w:rPr>
      </w:pPr>
      <w:r>
        <w:rPr>
          <w:rFonts w:ascii="Arial" w:cs="Arial" w:eastAsia="Arial" w:hAnsi="Arial"/>
          <w:sz w:val="17"/>
          <w:szCs w:val="17"/>
          <w:color w:val="auto"/>
        </w:rPr>
        <w:t>giving effect to any such repurchase, provided that the aggregate amount of all such repurchases does not exceed One Million Dollars ($1,000,000) per fiscal year; (v) repurchase the stock of former or current employees, officers, directors or consultants by the cancellation of indebtedness owed to Borrower by such former or current employees, officers, directors or consultants; (vi) purchase capital stock in connection with the exercise of stock options, warrants or other equity awards by way of cashless exercise or in connection with the satisfaction of withholding tax obligations, in either case, so long as no cash is paid by Borrower in connection therewith; and (vii) pay cash in lieu of the issuance of fractional shares arising out of stock dividends, splits, combinations or business combinations not otherwise prohibited hereunder or in connection with exercises or conversions of options, warrants and other convertible securities; or (b) directly or indirectly make any Investment (including, without limitation, by the formation of any Subsidiary) other than Permitted Investments, or permit any of its Subsidiaries to do so.</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ax.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(i) equity financing transactions in which Borrower’s stockholders or their Affiliates participate; (ii) commercially reasonable and customary compensation, indemnification and benefit arrangements with Borrower’s employees, officers, directors and managers; or (iii) transactions that are in the ordinary course of Borrower’s business, upon fair and reasonable terms that are no less favorable to Borrower than would be obtained in an arm’s length transaction with a non-affiliated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ay. Subordinated Debt. </w:t>
      </w:r>
      <w:r>
        <w:rPr>
          <w:rFonts w:ascii="Arial" w:cs="Arial" w:eastAsia="Arial" w:hAnsi="Arial"/>
          <w:sz w:val="18"/>
          <w:szCs w:val="18"/>
          <w:color w:val="auto"/>
        </w:rPr>
        <w:t>(a)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az. Compliance. </w:t>
      </w:r>
      <w:r>
        <w:rPr>
          <w:rFonts w:ascii="Arial" w:cs="Arial" w:eastAsia="Arial" w:hAnsi="Arial"/>
          <w:sz w:val="18"/>
          <w:szCs w:val="18"/>
          <w:color w:val="auto"/>
        </w:rPr>
        <w:t>Become an “investment company” or a company controlled by an “investment company”,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88"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ba. Payment Default. </w:t>
      </w:r>
      <w:r>
        <w:rPr>
          <w:rFonts w:ascii="Arial" w:cs="Arial" w:eastAsia="Arial" w:hAnsi="Arial"/>
          <w:sz w:val="18"/>
          <w:szCs w:val="18"/>
          <w:color w:val="auto"/>
        </w:rPr>
        <w:t>Borrower fails to (a) make any payment of principal or interest on any Credit Extension when due,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within three (3) Business Days after such Obligations are due and payable (which three (3) Business Day cure period shall not apply to payments due on the Revolving Line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Covenant Default.</w:t>
      </w:r>
    </w:p>
    <w:p>
      <w:pPr>
        <w:sectPr>
          <w:pgSz w:w="11900" w:h="16838" w:orient="portrait"/>
          <w:cols w:equalWidth="0" w:num="1">
            <w:col w:w="11240"/>
          </w:cols>
          <w:pgMar w:left="320" w:top="1421" w:right="339" w:bottom="1440" w:gutter="0" w:footer="0" w:header="0"/>
        </w:sect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any covenant in Section 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Borrower fails or neglects to perform any obligation in Sections 6.3, 6.4, 6.5, 6.6, 6.7, 6.8, 6.9, 6.10(b), 6.12, or 6.13 or violates</w:t>
      </w:r>
    </w:p>
    <w:p>
      <w:pPr>
        <w:spacing w:after="0" w:line="430" w:lineRule="exact"/>
        <w:rPr>
          <w:sz w:val="20"/>
          <w:szCs w:val="20"/>
          <w:color w:val="auto"/>
        </w:rPr>
      </w:pPr>
    </w:p>
    <w:p>
      <w:pPr>
        <w:sectPr>
          <w:pgSz w:w="11900" w:h="16838" w:orient="portrait"/>
          <w:cols w:equalWidth="0" w:num="2">
            <w:col w:w="1920" w:space="20"/>
            <w:col w:w="930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1" w:name="page72"/>
    <w:bookmarkEnd w:id="71"/>
    <w:p>
      <w:pPr>
        <w:jc w:val="both"/>
        <w:ind w:firstLine="1296"/>
        <w:spacing w:after="0" w:line="277" w:lineRule="auto"/>
        <w:rPr>
          <w:sz w:val="20"/>
          <w:szCs w:val="20"/>
          <w:color w:val="auto"/>
        </w:rPr>
      </w:pPr>
      <w:r>
        <w:rPr>
          <w:rFonts w:ascii="Arial" w:cs="Arial" w:eastAsia="Arial" w:hAnsi="Arial"/>
          <w:sz w:val="18"/>
          <w:szCs w:val="18"/>
          <w:color w:val="auto"/>
        </w:rPr>
        <w:t>bv. Borrower fails or neglects to perform, keep, or observe any obligation in Section 6.2 and has failed to cure the default within five (5) days after the occurrence thereof; or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bw.</w:t>
      </w:r>
      <w:r>
        <w:rPr>
          <w:sz w:val="20"/>
          <w:szCs w:val="20"/>
          <w:color w:val="auto"/>
        </w:rPr>
        <w:tab/>
      </w:r>
      <w:r>
        <w:rPr>
          <w:rFonts w:ascii="Arial" w:cs="Arial" w:eastAsia="Arial" w:hAnsi="Arial"/>
          <w:sz w:val="16"/>
          <w:szCs w:val="16"/>
          <w:color w:val="auto"/>
        </w:rPr>
        <w:t>Borrower fails or neglects to perform, keep, or observe any other term, provision, condition, covenant or agreement contained in</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ectPr>
          <w:pgSz w:w="11900" w:h="16838" w:orient="portrait"/>
          <w:cols w:equalWidth="0" w:num="1">
            <w:col w:w="11240"/>
          </w:cols>
          <w:pgMar w:left="320" w:top="1421" w:right="339" w:bottom="1440" w:gutter="0" w:footer="0" w:header="0"/>
        </w:sectPr>
      </w:pPr>
    </w:p>
    <w:p>
      <w:pPr>
        <w:spacing w:after="0" w:line="188"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00" w:lineRule="exact"/>
        <w:rPr>
          <w:sz w:val="20"/>
          <w:szCs w:val="20"/>
          <w:color w:val="auto"/>
        </w:rPr>
      </w:pPr>
    </w:p>
    <w:p>
      <w:pPr>
        <w:sectPr>
          <w:pgSz w:w="11900" w:h="16838" w:orient="portrait"/>
          <w:cols w:equalWidth="0" w:num="2">
            <w:col w:w="880" w:space="420"/>
            <w:col w:w="9940"/>
          </w:cols>
          <w:pgMar w:left="320" w:top="1421"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Attachment; Levy; Restraint on Business.</w:t>
      </w:r>
    </w:p>
    <w:p>
      <w:pPr>
        <w:spacing w:after="0" w:line="200" w:lineRule="exact"/>
        <w:rPr>
          <w:sz w:val="20"/>
          <w:szCs w:val="20"/>
          <w:color w:val="auto"/>
        </w:rPr>
      </w:pPr>
    </w:p>
    <w:p>
      <w:pPr>
        <w:sectPr>
          <w:pgSz w:w="11900" w:h="16838" w:orient="portrait"/>
          <w:cols w:equalWidth="0" w:num="2">
            <w:col w:w="900" w:space="400"/>
            <w:col w:w="9940"/>
          </w:cols>
          <w:pgMar w:left="320" w:top="1421" w:right="339" w:bottom="1440" w:gutter="0" w:footer="0" w:header="0"/>
          <w:type w:val="continuous"/>
        </w:sectPr>
      </w:pPr>
    </w:p>
    <w:p>
      <w:pPr>
        <w:spacing w:after="0" w:line="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bx.</w:t>
      </w:r>
      <w:r>
        <w:rPr>
          <w:sz w:val="20"/>
          <w:szCs w:val="20"/>
          <w:color w:val="auto"/>
        </w:rPr>
        <w:tab/>
      </w:r>
      <w:r>
        <w:rPr>
          <w:rFonts w:ascii="Arial" w:cs="Arial" w:eastAsia="Arial" w:hAnsi="Arial"/>
          <w:sz w:val="17"/>
          <w:szCs w:val="17"/>
          <w:color w:val="auto"/>
        </w:rPr>
        <w:t>(i) The service of process seeking to attach, by trustee or similar process, any funds of Borrower or of any entity under the</w:t>
      </w:r>
    </w:p>
    <w:p>
      <w:pPr>
        <w:sectPr>
          <w:pgSz w:w="11900" w:h="16838" w:orient="portrait"/>
          <w:cols w:equalWidth="0" w:num="1">
            <w:col w:w="11240"/>
          </w:cols>
          <w:pgMar w:left="320" w:top="1421" w:right="339" w:bottom="1440" w:gutter="0" w:footer="0" w:header="0"/>
          <w:type w:val="continuous"/>
        </w:sectPr>
      </w:pP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3"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by. (i)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b w:val="1"/>
          <w:bCs w:val="1"/>
          <w:color w:val="auto"/>
        </w:rPr>
        <w:t>be.</w:t>
      </w:r>
      <w:r>
        <w:rPr>
          <w:sz w:val="20"/>
          <w:szCs w:val="20"/>
          <w:color w:val="auto"/>
        </w:rPr>
        <w:tab/>
      </w:r>
      <w:r>
        <w:rPr>
          <w:rFonts w:ascii="Arial" w:cs="Arial" w:eastAsia="Arial" w:hAnsi="Arial"/>
          <w:sz w:val="17"/>
          <w:szCs w:val="17"/>
          <w:b w:val="1"/>
          <w:bCs w:val="1"/>
          <w:color w:val="auto"/>
        </w:rPr>
        <w:t xml:space="preserve">Insolvency. </w:t>
      </w:r>
      <w:r>
        <w:rPr>
          <w:rFonts w:ascii="Arial" w:cs="Arial" w:eastAsia="Arial" w:hAnsi="Arial"/>
          <w:sz w:val="17"/>
          <w:szCs w:val="17"/>
          <w:color w:val="auto"/>
        </w:rPr>
        <w:t>(a) Borrower is unable to pay its debts (including trade debts) as they become due or otherwise becomes insolvent; (b)</w:t>
      </w:r>
    </w:p>
    <w:p>
      <w:pPr>
        <w:spacing w:after="0" w:line="39"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bf. Other Agreements. </w:t>
      </w:r>
      <w:r>
        <w:rPr>
          <w:rFonts w:ascii="Arial" w:cs="Arial" w:eastAsia="Arial" w:hAnsi="Arial"/>
          <w:sz w:val="16"/>
          <w:szCs w:val="16"/>
          <w:color w:val="auto"/>
        </w:rPr>
        <w:t>There is, under any agreement to which Borrower or any Guarantor is a party with a third party or parties, (a) any</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Bank receiving written notice from the party asserting such breach or default of such cure or waiver of the breach or default under such other agreement, if at the time of such cure or waiver under such other agreement (x) Bank has not declared an Event of Default under this Agreement and/or exercised any rights with respect thereto;</w:t>
      </w:r>
    </w:p>
    <w:p>
      <w:pPr>
        <w:spacing w:after="0" w:line="1" w:lineRule="exact"/>
        <w:rPr>
          <w:sz w:val="20"/>
          <w:szCs w:val="20"/>
          <w:color w:val="auto"/>
        </w:rPr>
      </w:pPr>
    </w:p>
    <w:p>
      <w:pPr>
        <w:jc w:val="both"/>
        <w:ind w:firstLine="8"/>
        <w:spacing w:after="0" w:line="280" w:lineRule="auto"/>
        <w:tabs>
          <w:tab w:leader="none" w:pos="284"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Bank be materially less advantageous to Borrower or any Guarantor</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bg. Judgments; Penalties. </w:t>
      </w:r>
      <w:r>
        <w:rPr>
          <w:rFonts w:ascii="Arial" w:cs="Arial" w:eastAsia="Arial" w:hAnsi="Arial"/>
          <w:sz w:val="17"/>
          <w:szCs w:val="17"/>
          <w:color w:val="auto"/>
        </w:rPr>
        <w:t>One or more fines, penalties or final judgments, orders or decrees for the payment of money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of at least One Hundred Thousand Dollars ($100,000)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bh. Misrepresentations. </w:t>
      </w:r>
      <w:r>
        <w:rPr>
          <w:rFonts w:ascii="Arial" w:cs="Arial" w:eastAsia="Arial" w:hAnsi="Arial"/>
          <w:sz w:val="18"/>
          <w:szCs w:val="18"/>
          <w:color w:val="auto"/>
        </w:rPr>
        <w:t>Borrower or any Person acting for Borrower makes any representation, warranty, or other statement now or later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bi.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material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bj. Guaranty. </w:t>
      </w:r>
      <w:r>
        <w:rPr>
          <w:rFonts w:ascii="Arial" w:cs="Arial" w:eastAsia="Arial" w:hAnsi="Arial"/>
          <w:sz w:val="17"/>
          <w:szCs w:val="17"/>
          <w:color w:val="auto"/>
        </w:rPr>
        <w:t>(a) Any guaranty of any Obligations terminates or ceases for any reason to be in full force and effect; (b) any Guarantor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perform any obligation or covenant under any guaranty of the Obligations; (c) any circumstance described in Sections 8.3, 8.4, 8.5, 8.7, or 8.8 of this Agreement occurs with respect to any Guarantor, (d) the death, liquidation, winding up, or termination of existence of any Guarantor (except to the extent that Guarantor is (i) a Subsidiary of Borrower, (ii) a Borrower hereunder, and (iii) such winding up or termination is otherwise permitted under the terms of this Agreement);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bk. Governmental Approvals. </w:t>
      </w:r>
      <w:r>
        <w:rPr>
          <w:rFonts w:ascii="Arial" w:cs="Arial" w:eastAsia="Arial" w:hAnsi="Arial"/>
          <w:sz w:val="18"/>
          <w:szCs w:val="18"/>
          <w:color w:val="auto"/>
        </w:rPr>
        <w:t>Any Governmental Approval shall have been (a) revoked, rescinded, suspended, modified in a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materially adversely affect the status of or legal qualifications of Borrower or any of its Subsidiaries to hold any Governmental Approval in any other jurisdiction.</w:t>
      </w:r>
    </w:p>
    <w:p>
      <w:pPr>
        <w:spacing w:after="0" w:line="19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bl. Rights and Remedies. </w:t>
      </w:r>
      <w:r>
        <w:rPr>
          <w:rFonts w:ascii="Arial" w:cs="Arial" w:eastAsia="Arial" w:hAnsi="Arial"/>
          <w:sz w:val="18"/>
          <w:szCs w:val="18"/>
          <w:color w:val="auto"/>
        </w:rPr>
        <w:t>Upon the occurrence and during the continuance of an Event of Default, Bank may, without notice or demand, do</w:t>
      </w:r>
      <w:r>
        <w:rPr>
          <w:rFonts w:ascii="Arial" w:cs="Arial" w:eastAsia="Arial" w:hAnsi="Arial"/>
          <w:sz w:val="18"/>
          <w:szCs w:val="18"/>
          <w:b w:val="1"/>
          <w:bCs w:val="1"/>
          <w:color w:val="auto"/>
        </w:rPr>
        <w:t xml:space="preserve"> </w:t>
      </w:r>
      <w:r>
        <w:rPr>
          <w:rFonts w:ascii="Arial" w:cs="Arial" w:eastAsia="Arial" w:hAnsi="Arial"/>
          <w:sz w:val="18"/>
          <w:szCs w:val="18"/>
          <w:color w:val="auto"/>
        </w:rPr>
        <w:t>any or all of the following:</w:t>
      </w:r>
    </w:p>
    <w:p>
      <w:pPr>
        <w:spacing w:after="0" w:line="166"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bz. declare all Obligations immediately due and payable (but if an Event of Default described in Section 8.5 occurs all Obligations are immediately due and payable without any action by Bank);</w:t>
      </w:r>
    </w:p>
    <w:p>
      <w:pPr>
        <w:sectPr>
          <w:pgSz w:w="11900" w:h="16838" w:orient="portrait"/>
          <w:cols w:equalWidth="0" w:num="1">
            <w:col w:w="11240"/>
          </w:cols>
          <w:pgMar w:left="320" w:top="1421" w:right="339" w:bottom="1440" w:gutter="0" w:footer="0" w:header="0"/>
        </w:sectPr>
      </w:pP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Borrower and Bank;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stop advancing money or extending credit for Borrower’s benefit under this Agreement or under any other agreement between</w:t>
      </w:r>
    </w:p>
    <w:p>
      <w:pPr>
        <w:spacing w:after="0" w:line="430" w:lineRule="exact"/>
        <w:rPr>
          <w:sz w:val="20"/>
          <w:szCs w:val="20"/>
          <w:color w:val="auto"/>
        </w:rPr>
      </w:pPr>
    </w:p>
    <w:p>
      <w:pPr>
        <w:sectPr>
          <w:pgSz w:w="11900" w:h="16838" w:orient="portrait"/>
          <w:cols w:equalWidth="0" w:num="2">
            <w:col w:w="1500" w:space="440"/>
            <w:col w:w="9300"/>
          </w:cols>
          <w:pgMar w:left="320" w:top="1421" w:right="339" w:bottom="1440" w:gutter="0" w:footer="0" w:header="0"/>
          <w:type w:val="continuous"/>
        </w:sectPr>
      </w:pPr>
    </w:p>
    <w:p>
      <w:pPr>
        <w:spacing w:after="0" w:line="3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6"/>
          <w:szCs w:val="16"/>
          <w:color w:val="auto"/>
        </w:rPr>
        <w:t>cb.</w:t>
      </w:r>
      <w:r>
        <w:rPr>
          <w:sz w:val="20"/>
          <w:szCs w:val="20"/>
          <w:color w:val="auto"/>
        </w:rPr>
        <w:tab/>
      </w:r>
      <w:r>
        <w:rPr>
          <w:rFonts w:ascii="Arial" w:cs="Arial" w:eastAsia="Arial" w:hAnsi="Arial"/>
          <w:sz w:val="16"/>
          <w:szCs w:val="16"/>
          <w:color w:val="auto"/>
        </w:rPr>
        <w:t>demand that Borrower (i) deposit cash with Bank in an amount equal to at least (A) one hundred five percent (105.0%) of the</w:t>
      </w:r>
    </w:p>
    <w:p>
      <w:pPr>
        <w:sectPr>
          <w:pgSz w:w="11900" w:h="16838" w:orient="portrait"/>
          <w:cols w:equalWidth="0" w:num="1">
            <w:col w:w="11240"/>
          </w:cols>
          <w:pgMar w:left="320" w:top="1421" w:right="339" w:bottom="1440" w:gutter="0" w:footer="0" w:header="0"/>
          <w:type w:val="continuous"/>
        </w:sectPr>
      </w:pP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color w:val="auto"/>
        </w:rPr>
        <w:t>and pay such amounts, and (ii) pay in advance all letter of credit fees scheduled to be paid or payable over the remaining term of any Letters of Credit;</w:t>
      </w:r>
    </w:p>
    <w:p>
      <w:pPr>
        <w:spacing w:after="0" w:line="248" w:lineRule="exact"/>
        <w:rPr>
          <w:sz w:val="20"/>
          <w:szCs w:val="20"/>
          <w:color w:val="auto"/>
        </w:rPr>
      </w:pPr>
    </w:p>
    <w:p>
      <w:pPr>
        <w:ind w:left="1940" w:hanging="636"/>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cd. 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ce. 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cf. apply to the Obligations any (i) balances and deposits of Borrower it holds, or (ii) amount held by Bank owing to or for the credit or the account of Borrower;</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6"/>
          <w:szCs w:val="16"/>
          <w:color w:val="auto"/>
        </w:rPr>
        <w:t>cg.</w:t>
      </w:r>
      <w:r>
        <w:rPr>
          <w:sz w:val="20"/>
          <w:szCs w:val="20"/>
          <w:color w:val="auto"/>
        </w:rPr>
        <w:tab/>
      </w:r>
      <w:r>
        <w:rPr>
          <w:rFonts w:ascii="Arial" w:cs="Arial" w:eastAsia="Arial" w:hAnsi="Arial"/>
          <w:sz w:val="16"/>
          <w:szCs w:val="16"/>
          <w:color w:val="auto"/>
        </w:rPr>
        <w:t>ship, reclaim, recover, store, finish, maintain, repair, prepare for sale, advertise for sale, and sell the Collateral. Bank is hereby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193"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ch. place a “hold” on any account maintained with Bank and/or deliver a notice of exclusive control, any entitlement order, or other directions or instructions pursuant to any Control Agreement or similar agreements providing control of any Collateral;</w:t>
      </w:r>
    </w:p>
    <w:p>
      <w:pPr>
        <w:sectPr>
          <w:pgSz w:w="11900" w:h="16838" w:orient="portrait"/>
          <w:cols w:equalWidth="0" w:num="1">
            <w:col w:w="11240"/>
          </w:cols>
          <w:pgMar w:left="320" w:top="1421" w:right="339" w:bottom="1440" w:gutter="0" w:footer="0" w:header="0"/>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demand and receive possession of Borrower’s Books; and</w:t>
      </w:r>
    </w:p>
    <w:p>
      <w:pPr>
        <w:spacing w:after="0" w:line="222" w:lineRule="exact"/>
        <w:rPr>
          <w:sz w:val="20"/>
          <w:szCs w:val="20"/>
          <w:color w:val="auto"/>
        </w:rPr>
      </w:pPr>
    </w:p>
    <w:p>
      <w:pPr>
        <w:sectPr>
          <w:pgSz w:w="11900" w:h="16838" w:orient="portrait"/>
          <w:cols w:equalWidth="0" w:num="2">
            <w:col w:w="1480" w:space="480"/>
            <w:col w:w="9280"/>
          </w:cols>
          <w:pgMar w:left="320" w:top="1421" w:right="339" w:bottom="1440" w:gutter="0" w:footer="0" w:header="0"/>
          <w:type w:val="continuous"/>
        </w:sectPr>
      </w:pPr>
    </w:p>
    <w:p>
      <w:pPr>
        <w:spacing w:after="0" w:line="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cj. 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b w:val="1"/>
          <w:bCs w:val="1"/>
          <w:color w:val="auto"/>
        </w:rPr>
        <w:t>bm.</w:t>
      </w:r>
      <w:r>
        <w:rPr>
          <w:sz w:val="20"/>
          <w:szCs w:val="20"/>
          <w:color w:val="auto"/>
        </w:rPr>
        <w:tab/>
      </w:r>
      <w:r>
        <w:rPr>
          <w:rFonts w:ascii="Arial" w:cs="Arial" w:eastAsia="Arial" w:hAnsi="Arial"/>
          <w:sz w:val="16"/>
          <w:szCs w:val="16"/>
          <w:b w:val="1"/>
          <w:bCs w:val="1"/>
          <w:color w:val="auto"/>
        </w:rPr>
        <w:t xml:space="preserve">Power of Attorney. </w:t>
      </w:r>
      <w:r>
        <w:rPr>
          <w:rFonts w:ascii="Arial" w:cs="Arial" w:eastAsia="Arial" w:hAnsi="Arial"/>
          <w:sz w:val="16"/>
          <w:szCs w:val="16"/>
          <w:color w:val="auto"/>
        </w:rPr>
        <w:t>Borrower hereby irrevocably appoints Bank as its lawful attorney-in-fact, exercisable following the occurrence of an</w:t>
      </w:r>
    </w:p>
    <w:p>
      <w:pPr>
        <w:sectPr>
          <w:pgSz w:w="11900" w:h="16838" w:orient="portrait"/>
          <w:cols w:equalWidth="0" w:num="1">
            <w:col w:w="11240"/>
          </w:cols>
          <w:pgMar w:left="320" w:top="1421" w:right="339" w:bottom="1440" w:gutter="0" w:footer="0" w:header="0"/>
          <w:type w:val="continuous"/>
        </w:sectPr>
      </w:pPr>
    </w:p>
    <w:p>
      <w:pPr>
        <w:spacing w:after="0" w:line="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(d) 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the Loan Documents have been terminated. Bank’s foregoing appointment as Borrower’s attorney in fact, and all of Bank’s rights and powers, coupled with an interest, are irrevocable until all Obligations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inchoate indemnity obligations) have been fully repaid and performed and the Loan Documents have been terminated.</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bn. Protective Payments. </w:t>
      </w:r>
      <w:r>
        <w:rPr>
          <w:rFonts w:ascii="Arial" w:cs="Arial" w:eastAsia="Arial" w:hAnsi="Arial"/>
          <w:sz w:val="17"/>
          <w:szCs w:val="17"/>
          <w:color w:val="auto"/>
        </w:rPr>
        <w:t>If Borrower fails to obtain the insurance called for by Section 6.7 or fails to pay any premium thereon or fails to</w:t>
      </w:r>
      <w:r>
        <w:rPr>
          <w:rFonts w:ascii="Arial" w:cs="Arial" w:eastAsia="Arial" w:hAnsi="Arial"/>
          <w:sz w:val="17"/>
          <w:szCs w:val="17"/>
          <w:b w:val="1"/>
          <w:bCs w:val="1"/>
          <w:color w:val="auto"/>
        </w:rPr>
        <w:t xml:space="preserve"> </w:t>
      </w:r>
      <w:r>
        <w:rPr>
          <w:rFonts w:ascii="Arial" w:cs="Arial" w:eastAsia="Arial" w:hAnsi="Arial"/>
          <w:sz w:val="17"/>
          <w:szCs w:val="17"/>
          <w:color w:val="auto"/>
        </w:rPr>
        <w:t>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bo. Application of Payments and Proceeds. </w:t>
      </w:r>
      <w:r>
        <w:rPr>
          <w:rFonts w:ascii="Arial" w:cs="Arial" w:eastAsia="Arial" w:hAnsi="Arial"/>
          <w:sz w:val="17"/>
          <w:szCs w:val="17"/>
          <w:color w:val="auto"/>
        </w:rPr>
        <w:t>Bank shall have the right to apply in any order any funds in its possession, whether from</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bp. Bank’s Liability for Collateral. </w:t>
      </w:r>
      <w:r>
        <w:rPr>
          <w:rFonts w:ascii="Arial" w:cs="Arial" w:eastAsia="Arial" w:hAnsi="Arial"/>
          <w:sz w:val="18"/>
          <w:szCs w:val="18"/>
          <w:color w:val="auto"/>
        </w:rPr>
        <w:t>So long as Bank complies with reasonable banking practices regarding the safekeeping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bq. No Waiver; Remedies Cumulative. </w:t>
      </w:r>
      <w:r>
        <w:rPr>
          <w:rFonts w:ascii="Arial" w:cs="Arial" w:eastAsia="Arial" w:hAnsi="Arial"/>
          <w:sz w:val="17"/>
          <w:szCs w:val="17"/>
          <w:color w:val="auto"/>
        </w:rPr>
        <w:t>Bank’s failure, at any time or times, to require strict performance by Borrower of any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br.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bs. Borrower Liability. </w:t>
      </w:r>
      <w:r>
        <w:rPr>
          <w:rFonts w:ascii="Arial" w:cs="Arial" w:eastAsia="Arial" w:hAnsi="Arial"/>
          <w:sz w:val="16"/>
          <w:szCs w:val="16"/>
          <w:color w:val="auto"/>
        </w:rPr>
        <w:t>Any Borrower may, acting singly, request Credit Extensions hereunder. Each Borrower hereby appoints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Bank and such payment shall be promptly delivered to Bank for application to the Obligations, whether matured or unmatured.</w:t>
      </w:r>
    </w:p>
    <w:p>
      <w:pPr>
        <w:spacing w:after="0" w:line="188"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6"/>
          <w:szCs w:val="16"/>
          <w:color w:val="auto"/>
        </w:rPr>
        <w:t>c/o Magnite, Inc.</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12181 Bluff Creek,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20"/>
        <w:spacing w:after="0"/>
        <w:rPr>
          <w:sz w:val="20"/>
          <w:szCs w:val="20"/>
          <w:color w:val="auto"/>
        </w:rPr>
      </w:pPr>
      <w:r>
        <w:rPr>
          <w:rFonts w:ascii="Arial" w:cs="Arial" w:eastAsia="Arial" w:hAnsi="Arial"/>
          <w:sz w:val="18"/>
          <w:szCs w:val="18"/>
          <w:color w:val="auto"/>
        </w:rPr>
        <w:t>Playa Vista, CA 90094</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Chief Accounting Officer and General Counsel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legal@rubiconproject.com</w:t>
      </w:r>
    </w:p>
    <w:p>
      <w:pPr>
        <w:spacing w:after="0" w:line="9"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If to Bank:</w:t>
      </w:r>
      <w:r>
        <w:rPr>
          <w:sz w:val="20"/>
          <w:szCs w:val="20"/>
          <w:color w:val="auto"/>
        </w:rPr>
        <w:tab/>
      </w:r>
      <w:r>
        <w:rPr>
          <w:rFonts w:ascii="Arial" w:cs="Arial" w:eastAsia="Arial" w:hAnsi="Arial"/>
          <w:sz w:val="16"/>
          <w:szCs w:val="16"/>
          <w:color w:val="auto"/>
        </w:rPr>
        <w:t>Silicon Valley Bank</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1901 Main Street, #3000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Andy Riggs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ariggs@svb.com</w:t>
      </w:r>
    </w:p>
    <w:p>
      <w:pPr>
        <w:spacing w:after="0" w:line="9"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76" w:name="page77"/>
    <w:bookmarkEnd w:id="76"/>
    <w:p>
      <w:pPr>
        <w:jc w:val="both"/>
        <w:spacing w:after="0" w:line="266" w:lineRule="auto"/>
        <w:rPr>
          <w:sz w:val="20"/>
          <w:szCs w:val="20"/>
          <w:color w:val="auto"/>
        </w:rPr>
      </w:pPr>
      <w:r>
        <w:rPr>
          <w:rFonts w:ascii="Arial" w:cs="Arial" w:eastAsia="Arial" w:hAnsi="Arial"/>
          <w:sz w:val="18"/>
          <w:szCs w:val="18"/>
          <w:b w:val="1"/>
          <w:bCs w:val="1"/>
          <w:color w:val="auto"/>
        </w:rPr>
        <w:t>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bt. Termination Prior to Maturity Date; Survival. </w:t>
      </w:r>
      <w:r>
        <w:rPr>
          <w:rFonts w:ascii="Arial" w:cs="Arial" w:eastAsia="Arial" w:hAnsi="Arial"/>
          <w:sz w:val="17"/>
          <w:szCs w:val="17"/>
          <w:color w:val="auto"/>
        </w:rPr>
        <w:t>All covenants, representations and warranties made in this Agreement shall continue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force until this Agreement has terminated pursuant to its terms and all Obligations have been satisfied (other than inchoate indemnity obligations).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bu. Successors and Assigns. </w:t>
      </w:r>
      <w:r>
        <w:rPr>
          <w:rFonts w:ascii="Arial" w:cs="Arial" w:eastAsia="Arial" w:hAnsi="Arial"/>
          <w:sz w:val="17"/>
          <w:szCs w:val="17"/>
          <w:color w:val="auto"/>
        </w:rPr>
        <w:t>This Agreement binds and is for the benefit of the successors and permitted assigns of each party.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bv. Indemnification. </w:t>
      </w:r>
      <w:r>
        <w:rPr>
          <w:rFonts w:ascii="Arial" w:cs="Arial" w:eastAsia="Arial" w:hAnsi="Arial"/>
          <w:sz w:val="18"/>
          <w:szCs w:val="18"/>
          <w:color w:val="auto"/>
        </w:rPr>
        <w:t>Borrower agrees to indemnify, defend and hold Bank and its directors, officers, employees, agents, attorneys,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ectPr>
          <w:pgSz w:w="11900" w:h="16838" w:orient="portrait"/>
          <w:cols w:equalWidth="0" w:num="1">
            <w:col w:w="11240"/>
          </w:cols>
          <w:pgMar w:left="320" w:top="1421" w:right="3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bw.</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00" w:lineRule="exact"/>
        <w:rPr>
          <w:sz w:val="20"/>
          <w:szCs w:val="20"/>
          <w:color w:val="auto"/>
        </w:rPr>
      </w:pPr>
    </w:p>
    <w:p>
      <w:pPr>
        <w:sectPr>
          <w:pgSz w:w="11900" w:h="16838" w:orient="portrait"/>
          <w:cols w:equalWidth="0" w:num="2">
            <w:col w:w="920" w:space="360"/>
            <w:col w:w="9960"/>
          </w:cols>
          <w:pgMar w:left="320" w:top="1421"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bx.</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of any provision.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Agreement is severable from every other provision in determining the enforceability</w:t>
      </w:r>
    </w:p>
    <w:p>
      <w:pPr>
        <w:spacing w:after="0" w:line="445" w:lineRule="exact"/>
        <w:rPr>
          <w:sz w:val="20"/>
          <w:szCs w:val="20"/>
          <w:color w:val="auto"/>
        </w:rPr>
      </w:pPr>
    </w:p>
    <w:p>
      <w:pPr>
        <w:sectPr>
          <w:pgSz w:w="11900" w:h="16838" w:orient="portrait"/>
          <w:cols w:equalWidth="0" w:num="2">
            <w:col w:w="1240" w:space="60"/>
            <w:col w:w="9940"/>
          </w:cols>
          <w:pgMar w:left="320" w:top="1421" w:right="339" w:bottom="1440" w:gutter="0" w:footer="0" w:header="0"/>
          <w:type w:val="continuous"/>
        </w:sectPr>
      </w:pPr>
    </w:p>
    <w:p>
      <w:pPr>
        <w:spacing w:after="0" w:line="1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7"/>
          <w:szCs w:val="17"/>
          <w:b w:val="1"/>
          <w:bCs w:val="1"/>
          <w:color w:val="auto"/>
        </w:rPr>
        <w:t>by.</w:t>
      </w:r>
      <w:r>
        <w:rPr>
          <w:sz w:val="20"/>
          <w:szCs w:val="20"/>
          <w:color w:val="auto"/>
        </w:rPr>
        <w:tab/>
      </w:r>
      <w:r>
        <w:rPr>
          <w:rFonts w:ascii="Arial" w:cs="Arial" w:eastAsia="Arial" w:hAnsi="Arial"/>
          <w:sz w:val="17"/>
          <w:szCs w:val="17"/>
          <w:b w:val="1"/>
          <w:bCs w:val="1"/>
          <w:color w:val="auto"/>
        </w:rPr>
        <w:t xml:space="preserve">Correction of Loan Documents. </w:t>
      </w:r>
      <w:r>
        <w:rPr>
          <w:rFonts w:ascii="Arial" w:cs="Arial" w:eastAsia="Arial" w:hAnsi="Arial"/>
          <w:sz w:val="17"/>
          <w:szCs w:val="17"/>
          <w:color w:val="auto"/>
        </w:rPr>
        <w:t>Bank may correct patent errors and fill in any blanks in the Loan Documents consistent with the</w:t>
      </w:r>
    </w:p>
    <w:p>
      <w:pPr>
        <w:sectPr>
          <w:pgSz w:w="11900" w:h="16838" w:orient="portrait"/>
          <w:cols w:equalWidth="0" w:num="1">
            <w:col w:w="11240"/>
          </w:cols>
          <w:pgMar w:left="320" w:top="1421" w:right="339" w:bottom="1440" w:gutter="0" w:footer="0" w:header="0"/>
          <w:type w:val="continuous"/>
        </w:sectPr>
      </w:pPr>
    </w:p>
    <w:p>
      <w:pPr>
        <w:spacing w:after="0" w:line="39"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agreement of the parties, so long as Bank provides Borrower with written notice of such correction and allows Borrower at least ten (10) days to object to such correction. In the event of such objection, such correction shall not be made except by an amendment signed by both Bank and Borrower.</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bz. Amendments in Writing; Waiver; Integration. </w:t>
      </w:r>
      <w:r>
        <w:rPr>
          <w:rFonts w:ascii="Arial" w:cs="Arial" w:eastAsia="Arial" w:hAnsi="Arial"/>
          <w:sz w:val="18"/>
          <w:szCs w:val="18"/>
          <w:color w:val="auto"/>
        </w:rPr>
        <w:t>No purported amendment or modification of any Loan Document, or waiver, discharge</w:t>
      </w:r>
      <w:r>
        <w:rPr>
          <w:rFonts w:ascii="Arial" w:cs="Arial" w:eastAsia="Arial" w:hAnsi="Arial"/>
          <w:sz w:val="18"/>
          <w:szCs w:val="18"/>
          <w:b w:val="1"/>
          <w:bCs w:val="1"/>
          <w:color w:val="auto"/>
        </w:rPr>
        <w:t xml:space="preserve"> </w:t>
      </w:r>
      <w:r>
        <w:rPr>
          <w:rFonts w:ascii="Arial" w:cs="Arial" w:eastAsia="Arial" w:hAnsi="Arial"/>
          <w:sz w:val="18"/>
          <w:szCs w:val="18"/>
          <w:color w:val="auto"/>
        </w:rPr>
        <w:t>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ca.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b w:val="1"/>
          <w:bCs w:val="1"/>
          <w:color w:val="auto"/>
        </w:rPr>
        <w:t>cb.</w:t>
      </w:r>
      <w:r>
        <w:rPr>
          <w:sz w:val="20"/>
          <w:szCs w:val="20"/>
          <w:color w:val="auto"/>
        </w:rPr>
        <w:tab/>
      </w: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In handling any confidential information, which shall include all information about Borrower provided by Borrower to</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Bank hereunder and any other information the nature of which should reasonably be understood to be confidential, Bank shall exercise the same degree of 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78" w:name="page79"/>
    <w:bookmarkEnd w:id="78"/>
    <w:p>
      <w:pPr>
        <w:jc w:val="both"/>
        <w:ind w:right="20" w:firstLine="656"/>
        <w:spacing w:after="0" w:line="266" w:lineRule="auto"/>
        <w:tabs>
          <w:tab w:leader="none" w:pos="128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Attorneys’ Fees, Costs and Expenses. </w:t>
      </w:r>
      <w:r>
        <w:rPr>
          <w:rFonts w:ascii="Arial" w:cs="Arial" w:eastAsia="Arial" w:hAnsi="Arial"/>
          <w:sz w:val="18"/>
          <w:szCs w:val="18"/>
          <w:color w:val="auto"/>
        </w:rPr>
        <w:t>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cd. Electronic Execution of Documents. </w:t>
      </w:r>
      <w:r>
        <w:rPr>
          <w:rFonts w:ascii="Arial" w:cs="Arial" w:eastAsia="Arial" w:hAnsi="Arial"/>
          <w:sz w:val="17"/>
          <w:szCs w:val="17"/>
          <w:color w:val="auto"/>
        </w:rPr>
        <w:t>The words “execution,” “signed,” “signature” and words of like import in any Loan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ce. Right of Setoff. </w:t>
      </w:r>
      <w:r>
        <w:rPr>
          <w:rFonts w:ascii="Arial" w:cs="Arial" w:eastAsia="Arial" w:hAnsi="Arial"/>
          <w:sz w:val="17"/>
          <w:szCs w:val="17"/>
          <w:color w:val="auto"/>
        </w:rPr>
        <w:t>Borrower hereby grants to Bank a Lien and a right of setoff as security for all Obligations to Bank, whether now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or 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ectPr>
          <w:pgSz w:w="11900" w:h="16838" w:orient="portrait"/>
          <w:cols w:equalWidth="0" w:num="1">
            <w:col w:w="11240"/>
          </w:cols>
          <w:pgMar w:left="320" w:top="1417" w:right="339" w:bottom="1440" w:gutter="0" w:footer="0" w:header="0"/>
        </w:sectPr>
      </w:pPr>
    </w:p>
    <w:p>
      <w:pPr>
        <w:spacing w:after="0" w:line="172"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cf.</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Captions. </w:t>
      </w:r>
      <w:r>
        <w:rPr>
          <w:rFonts w:ascii="Arial" w:cs="Arial" w:eastAsia="Arial" w:hAnsi="Arial"/>
          <w:sz w:val="16"/>
          <w:szCs w:val="16"/>
          <w:color w:val="auto"/>
        </w:rPr>
        <w:t>The headings used in this Agreement are for convenience only and shall not affect the interpretation of this Agreement.</w:t>
      </w:r>
    </w:p>
    <w:p>
      <w:pPr>
        <w:spacing w:after="0" w:line="200" w:lineRule="exact"/>
        <w:rPr>
          <w:sz w:val="20"/>
          <w:szCs w:val="20"/>
          <w:color w:val="auto"/>
        </w:rPr>
      </w:pPr>
    </w:p>
    <w:p>
      <w:pPr>
        <w:sectPr>
          <w:pgSz w:w="11900" w:h="16838" w:orient="portrait"/>
          <w:cols w:equalWidth="0" w:num="2">
            <w:col w:w="840" w:space="460"/>
            <w:col w:w="9940"/>
          </w:cols>
          <w:pgMar w:left="320" w:top="1417" w:right="339" w:bottom="1440" w:gutter="0" w:footer="0" w:header="0"/>
          <w:type w:val="continuous"/>
        </w:sectPr>
      </w:pPr>
    </w:p>
    <w:p>
      <w:pPr>
        <w:spacing w:after="0" w:line="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b w:val="1"/>
          <w:bCs w:val="1"/>
          <w:color w:val="auto"/>
        </w:rPr>
        <w:t>cg.</w:t>
      </w:r>
      <w:r>
        <w:rPr>
          <w:sz w:val="20"/>
          <w:szCs w:val="20"/>
          <w:color w:val="auto"/>
        </w:rPr>
        <w:tab/>
      </w:r>
      <w:r>
        <w:rPr>
          <w:rFonts w:ascii="Arial" w:cs="Arial" w:eastAsia="Arial" w:hAnsi="Arial"/>
          <w:sz w:val="16"/>
          <w:szCs w:val="16"/>
          <w:b w:val="1"/>
          <w:bCs w:val="1"/>
          <w:color w:val="auto"/>
        </w:rPr>
        <w:t xml:space="preserve">Construction of Agreement. </w:t>
      </w:r>
      <w:r>
        <w:rPr>
          <w:rFonts w:ascii="Arial" w:cs="Arial" w:eastAsia="Arial" w:hAnsi="Arial"/>
          <w:sz w:val="16"/>
          <w:szCs w:val="16"/>
          <w:color w:val="auto"/>
        </w:rPr>
        <w:t>The parties mutually acknowledge that they and their attorneys have participated in the preparation and</w:t>
      </w:r>
    </w:p>
    <w:p>
      <w:pPr>
        <w:sectPr>
          <w:pgSz w:w="11900" w:h="16838" w:orient="portrait"/>
          <w:cols w:equalWidth="0" w:num="1">
            <w:col w:w="11240"/>
          </w:cols>
          <w:pgMar w:left="320" w:top="1417" w:right="339" w:bottom="1440" w:gutter="0" w:footer="0" w:header="0"/>
          <w:type w:val="continuous"/>
        </w:sectPr>
      </w:pP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ch. Relationship. </w:t>
      </w:r>
      <w:r>
        <w:rPr>
          <w:rFonts w:ascii="Arial" w:cs="Arial" w:eastAsia="Arial" w:hAnsi="Arial"/>
          <w:sz w:val="18"/>
          <w:szCs w:val="18"/>
          <w:color w:val="auto"/>
        </w:rPr>
        <w:t>The relationship of the parties to this Agreement is determined solely by the provisions of this Agreement. The parties do</w:t>
      </w:r>
      <w:r>
        <w:rPr>
          <w:rFonts w:ascii="Arial" w:cs="Arial" w:eastAsia="Arial" w:hAnsi="Arial"/>
          <w:sz w:val="18"/>
          <w:szCs w:val="18"/>
          <w:b w:val="1"/>
          <w:bCs w:val="1"/>
          <w:color w:val="auto"/>
        </w:rPr>
        <w:t xml:space="preserve"> </w:t>
      </w:r>
      <w:r>
        <w:rPr>
          <w:rFonts w:ascii="Arial" w:cs="Arial" w:eastAsia="Arial" w:hAnsi="Arial"/>
          <w:sz w:val="18"/>
          <w:szCs w:val="18"/>
          <w:color w:val="auto"/>
        </w:rPr>
        <w:t>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ci.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cj. No Novation</w:t>
      </w:r>
      <w:r>
        <w:rPr>
          <w:rFonts w:ascii="Arial" w:cs="Arial" w:eastAsia="Arial" w:hAnsi="Arial"/>
          <w:sz w:val="16"/>
          <w:szCs w:val="16"/>
          <w:color w:val="auto"/>
        </w:rPr>
        <w:t>. Nothing contained herein shall in any way impair the Prior Loan Agreement and the other Loan Documents now held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nor affect or impair any rights, powers, or remedies under the Prior Loan Agreement or any Loan Document, it being the intent of the parties hereto that this Agreement shall not constitute a novation of the Prior Loan Agreement or an accord and satisfaction of the Obligations. Except as expressly provided for in this Agreement, the Loan Documents are hereby ratified and reaffirmed and shall remain in full force and effect. Borrower hereby ratifies and reaffirms the validity and enforceability of all of the liens and security interests heretofore granted pursuant to the Loan Documents, as collateral security for the Obligations, and acknowledges that all of such liens and security interests, and all Collateral heretofore pledged as security for the Obligations, continues to be and remains in full force and effect as Collateral for the Obligations from and after the date of this Agreement.</w:t>
      </w:r>
    </w:p>
    <w:p>
      <w:pPr>
        <w:spacing w:after="0" w:line="161"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ck. Definitions. </w:t>
      </w:r>
      <w:r>
        <w:rPr>
          <w:rFonts w:ascii="Arial" w:cs="Arial" w:eastAsia="Arial" w:hAnsi="Arial"/>
          <w:sz w:val="18"/>
          <w:szCs w:val="18"/>
          <w:color w:val="auto"/>
        </w:rPr>
        <w:t>As used in the Loan Documents, the word “shall” is mandatory, the word “may” is permissive, the word “or”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the words “includes” and “including” are not limiting,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type w:val="continuous"/>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includes the plural, and numbers denoting amounts that are set off in brackets are negative. As used in this Agreement, the following capitalized terms have the following meanings: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is defined in Section 3.7(a).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EBITDA</w:t>
      </w:r>
      <w:r>
        <w:rPr>
          <w:rFonts w:ascii="Arial" w:cs="Arial" w:eastAsia="Arial" w:hAnsi="Arial"/>
          <w:sz w:val="16"/>
          <w:szCs w:val="16"/>
          <w:color w:val="auto"/>
        </w:rPr>
        <w:t>” shall mean (a) Net Income, plus (b) Interest Expense, plus (c) to the extent deducted in the calculation of Net Income, depreciation expense and amortization expense, plus (d) income tax expense, plus (e) impairment charges, plus (f) non-cash stock compensation expense, plus (g) other non-cash expenses less any non-cash gains, plus (h) other non-recurring expenses agreed to in writing by Bank, minus (i) interest income.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is an individual that is named:</w:t>
      </w:r>
    </w:p>
    <w:p>
      <w:pPr>
        <w:spacing w:after="0" w:line="229"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ck. as an “Administrator” in the “SVB Online Services” form completed by Borrower with the authority to determine who will be authorized to use SVB Online Services (as defined in Bank’s Online Banking Agreement as in effect from time to time) on behalf of Borrower; and</w:t>
      </w:r>
    </w:p>
    <w:p>
      <w:pPr>
        <w:sectPr>
          <w:pgSz w:w="11900" w:h="16838" w:orient="portrait"/>
          <w:cols w:equalWidth="0" w:num="1">
            <w:col w:w="11240"/>
          </w:cols>
          <w:pgMar w:left="320" w:top="1421" w:right="339" w:bottom="1440" w:gutter="0" w:footer="0" w:header="0"/>
        </w:sectPr>
      </w:pP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as an Authorized Signer of Borrower in an approval by the Board.</w:t>
      </w:r>
    </w:p>
    <w:p>
      <w:pPr>
        <w:spacing w:after="0" w:line="222" w:lineRule="exact"/>
        <w:rPr>
          <w:sz w:val="20"/>
          <w:szCs w:val="20"/>
          <w:color w:val="auto"/>
        </w:rPr>
      </w:pPr>
    </w:p>
    <w:p>
      <w:pPr>
        <w:sectPr>
          <w:pgSz w:w="11900" w:h="16838" w:orient="portrait"/>
          <w:cols w:equalWidth="0" w:num="2">
            <w:col w:w="1480" w:space="480"/>
            <w:col w:w="9280"/>
          </w:cols>
          <w:pgMar w:left="320" w:top="1421" w:right="3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ASU</w:t>
      </w:r>
      <w:r>
        <w:rPr>
          <w:rFonts w:ascii="Arial" w:cs="Arial" w:eastAsia="Arial" w:hAnsi="Arial"/>
          <w:sz w:val="18"/>
          <w:szCs w:val="18"/>
          <w:color w:val="auto"/>
        </w:rPr>
        <w:t>” is defined in Section 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Advances, minus (c) the aggregate Dollar Equivalent amount of all outstanding Letters of Credit (including drawn but unreimbursed Letters of Credit) plus an amount equal to the Letter of Credit Reserve, minus (d) any amounts used for Cash Management Services, minus (e) the FX Reduction Amount.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type w:val="continuous"/>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(including, without limitation, those incurred in connection with appeals or Insolvency Proceedings) or otherwise incurred with respect to Borrower or any Guarantor.</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Sublimit</w:t>
      </w:r>
      <w:r>
        <w:rPr>
          <w:rFonts w:ascii="Arial" w:cs="Arial" w:eastAsia="Arial" w:hAnsi="Arial"/>
          <w:sz w:val="18"/>
          <w:szCs w:val="18"/>
          <w:color w:val="auto"/>
        </w:rPr>
        <w:t>” is Ten Million Dollars ($10,000,000).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Bell</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 or equivalent governing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is eighty-five percent (85%)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percentage in its good faith business judgment to mitigate the impact of events, conditions, contingencies, or risks which may adversely affect the Collateral or its value.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 Statement</w:t>
      </w:r>
      <w:r>
        <w:rPr>
          <w:rFonts w:ascii="Arial" w:cs="Arial" w:eastAsia="Arial" w:hAnsi="Arial"/>
          <w:sz w:val="16"/>
          <w:szCs w:val="16"/>
          <w:color w:val="auto"/>
        </w:rPr>
        <w:t>” is that certain report of the value of certain Collateral in the form specified by Bank to Borrower from time to time.</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Expenditures</w:t>
      </w:r>
      <w:r>
        <w:rPr>
          <w:rFonts w:ascii="Arial" w:cs="Arial" w:eastAsia="Arial" w:hAnsi="Arial"/>
          <w:sz w:val="18"/>
          <w:szCs w:val="18"/>
          <w:color w:val="auto"/>
        </w:rPr>
        <w:t>” means current period unfinanced cash expenditures that are capitalized and amortized over a period of time in accordance with GAAP, including but not limited to capitalized cash expenditures for capital equipment, capitalized manufacturing and labor costs as they relate to inventory, and capitalized cash expenditures for software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Burn</w:t>
      </w:r>
      <w:r>
        <w:rPr>
          <w:rFonts w:ascii="Arial" w:cs="Arial" w:eastAsia="Arial" w:hAnsi="Arial"/>
          <w:sz w:val="18"/>
          <w:szCs w:val="18"/>
          <w:color w:val="auto"/>
        </w:rPr>
        <w:t>” is, for any period, (a) Adjusted EBITDA, minus (b) Capitalized Expenditures.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Services</w:t>
      </w:r>
      <w:r>
        <w:rPr>
          <w:rFonts w:ascii="Arial" w:cs="Arial" w:eastAsia="Arial" w:hAnsi="Arial"/>
          <w:sz w:val="18"/>
          <w:szCs w:val="18"/>
          <w:color w:val="auto"/>
        </w:rPr>
        <w:t>” is defined in Section 2.1.4.</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fifty percent (50%) or more of the ordinary voting power for the election of directors of Magnite (determined on a fully diluted basis) other than by the sale of Magnite’s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Board of Magnite cease to be composed of individuals (i) who were members of the Board on the first day of such period, (ii) whose election or nomination to the Board was approved by individuals referred to in clause (i) above constituting at the time of such election or nomination at least a majority of the Board or (iii) whose election or nomination to the Board was approved by individuals referred to in clauses (i) and (ii) above constituting at the time of such election or nomination at least a majority of the Board; or (c) at any time, Borrower shall cease to own and control, of record and beneficially, directly or indirectly, one hundred percent (100%) of each class of outstanding capital stock of each subsidiary of Borrower free and clear of all Liens (except Liens created by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82" w:name="page83"/>
    <w:bookmarkEnd w:id="82"/>
    <w:p>
      <w:pPr>
        <w:jc w:val="both"/>
        <w:spacing w:after="0" w:line="273" w:lineRule="auto"/>
        <w:rPr>
          <w:sz w:val="20"/>
          <w:szCs w:val="20"/>
          <w:color w:val="auto"/>
        </w:rPr>
      </w:pPr>
      <w:r>
        <w:rPr>
          <w:rFonts w:ascii="Arial" w:cs="Arial" w:eastAsia="Arial" w:hAnsi="Arial"/>
          <w:sz w:val="17"/>
          <w:szCs w:val="17"/>
          <w:color w:val="auto"/>
        </w:rPr>
        <w:t>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Continuation Date</w:t>
      </w:r>
      <w:r>
        <w:rPr>
          <w:rFonts w:ascii="Arial" w:cs="Arial" w:eastAsia="Arial" w:hAnsi="Arial"/>
          <w:sz w:val="18"/>
          <w:szCs w:val="18"/>
          <w:color w:val="auto"/>
        </w:rPr>
        <w:t>” means any date on which Borrower continues a LIBOR Advance into another Interest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means any date on which Borrower converts a Prime Rate Advance to a LIBOR Advance or a LIBOR Advance to a Prime Rate Advance.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any Overadvance, Letter of Credit, amount utilized for Cash Management Services, or any other extension of credit by Bank for Borrower’s benefit.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CTV</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account number ending 640 (last three digits) maintained by Borrower with Bank (provided, however, if no such account number is included, then the Designated Deposit Account shall be any deposit account of Borrower maintained with Bank as chosen by Bank).</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is, at any time, (a) with respect to any amount denominated in Dollars, such amount, and (b) with respect to any amount denominated in a Foreign Currency, the equivalent amount therefor in Dollars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color w:val="auto"/>
        </w:rPr>
        <w:t>determined by Bank at such time on the basis of the then-prevailing rate of exchange in San Francisco, California, for sales of the Foreign Currency for transfer to the country issuing such Foreign Currency.</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Accounts</w:t>
      </w:r>
      <w:r>
        <w:rPr>
          <w:rFonts w:ascii="Arial" w:cs="Arial" w:eastAsia="Arial" w:hAnsi="Arial"/>
          <w:sz w:val="18"/>
          <w:szCs w:val="18"/>
          <w:color w:val="auto"/>
        </w:rPr>
        <w:t>” means Accounts owing to Borrower which arise in the ordinary course of Borrower’s business that meet all Borrower’s representations and warranties in Section 5.3, that have been, at the option of Bank, confirmed in accordance with Section 6.3(e) of this Agreement, and are due and owing from Account Debtors deemed creditworthy by Bank in its good faith business judgment. Bank reserves the right at any time after the Effective Date to adjust any of the criteria set forth below and to establish new criteria in its good faith business judgment after notice to Borrower. Unless Bank otherwise agrees in writing, Eligible Accounts shall not include:</w:t>
      </w:r>
    </w:p>
    <w:p>
      <w:pPr>
        <w:spacing w:after="0" w:line="187" w:lineRule="exact"/>
        <w:rPr>
          <w:sz w:val="20"/>
          <w:szCs w:val="20"/>
          <w:color w:val="auto"/>
        </w:rPr>
      </w:pPr>
    </w:p>
    <w:p>
      <w:pPr>
        <w:ind w:left="1940" w:hanging="636"/>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Accounts (i) for which the Account Debtor is Borrower’s Affiliate, officer, employee, investor, or agent, or (ii) that are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intercompany Accounts;</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Accounts that the Account Debtor has not paid within ninety (90) days of invoice date regardless of invoice payment period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terms;</w:t>
      </w:r>
    </w:p>
    <w:p>
      <w:pPr>
        <w:spacing w:after="0" w:line="210" w:lineRule="exact"/>
        <w:rPr>
          <w:rFonts w:ascii="Arial" w:cs="Arial" w:eastAsia="Arial" w:hAnsi="Arial"/>
          <w:sz w:val="17"/>
          <w:szCs w:val="17"/>
          <w:color w:val="auto"/>
        </w:rPr>
      </w:pPr>
    </w:p>
    <w:p>
      <w:pPr>
        <w:ind w:left="1940" w:hanging="636"/>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225" w:lineRule="exact"/>
        <w:rPr>
          <w:rFonts w:ascii="Arial" w:cs="Arial" w:eastAsia="Arial" w:hAnsi="Arial"/>
          <w:sz w:val="18"/>
          <w:szCs w:val="18"/>
          <w:color w:val="auto"/>
        </w:rPr>
      </w:pPr>
    </w:p>
    <w:p>
      <w:pPr>
        <w:ind w:firstLine="1304"/>
        <w:spacing w:after="0" w:line="277" w:lineRule="auto"/>
        <w:tabs>
          <w:tab w:leader="none" w:pos="194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Accounts owing from an Account Debtor if fifty percent (50%) or more of the Accounts owing from such Account Debtor have not been paid within ninety (90) days of invoice date;</w:t>
      </w:r>
    </w:p>
    <w:p>
      <w:pPr>
        <w:spacing w:after="0" w:line="170" w:lineRule="exact"/>
        <w:rPr>
          <w:rFonts w:ascii="Arial" w:cs="Arial" w:eastAsia="Arial" w:hAnsi="Arial"/>
          <w:sz w:val="18"/>
          <w:szCs w:val="18"/>
          <w:color w:val="auto"/>
        </w:rPr>
      </w:pPr>
    </w:p>
    <w:p>
      <w:pPr>
        <w:jc w:val="both"/>
        <w:ind w:firstLine="1304"/>
        <w:spacing w:after="0" w:line="272" w:lineRule="auto"/>
        <w:tabs>
          <w:tab w:leader="none" w:pos="193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Accounts owing from an Account Debtor (i) which does not have its principal place of business in the United States or (ii) whose billing address (as set forth in the applicable invoice for such Account) is not in the United States, unless in the case of both (i) and (ii) such Accounts are otherwise Eligible Accounts and (A) are covered in full by credit insurance (which respect to which Bank is the beneficiary) satisfactory to Bank from an insurer with investment grade debt ratings (unless otherwise approved by Bank in writing), less any deductible, (B) are supported by letter(s) of credit acceptable to Bank, (C) are Accounts owing from Microsoft, Yahoo, AOL, Google, Criteo or AdForm, or (D) are otherwise approved of in writing by Bank; provided, however, that Accounts described in clause (A) through (D) above shall not be deemed to be Eligible Accounts to the extent that such Accounts, in the aggregate, represent more than twenty percent (20%) of the Borrowing Base;</w:t>
      </w:r>
    </w:p>
    <w:p>
      <w:pPr>
        <w:spacing w:after="0" w:line="177" w:lineRule="exact"/>
        <w:rPr>
          <w:rFonts w:ascii="Arial" w:cs="Arial" w:eastAsia="Arial" w:hAnsi="Arial"/>
          <w:sz w:val="17"/>
          <w:szCs w:val="17"/>
          <w:color w:val="auto"/>
        </w:rPr>
      </w:pPr>
    </w:p>
    <w:p>
      <w:pPr>
        <w:ind w:left="1940" w:hanging="636"/>
        <w:spacing w:after="0"/>
        <w:tabs>
          <w:tab w:leader="none" w:pos="19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Accounts billed from and/or payable to Borrower outside of the United States (sometimes called foreign invoiced accounts);</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Accounts in which Bank does not have a first priority, perfected security interest under all applicable laws;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Accounts billed and/or payable in a Currency other than Dollars (other than Accounts which are Eligible Accounts under clause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above), unless approved by Bank in writing on a case by case basis;</w:t>
      </w:r>
    </w:p>
    <w:p>
      <w:pPr>
        <w:spacing w:after="0" w:line="210" w:lineRule="exact"/>
        <w:rPr>
          <w:rFonts w:ascii="Arial" w:cs="Arial" w:eastAsia="Arial" w:hAnsi="Arial"/>
          <w:sz w:val="18"/>
          <w:szCs w:val="18"/>
          <w:color w:val="auto"/>
        </w:rPr>
      </w:pPr>
    </w:p>
    <w:p>
      <w:pPr>
        <w:jc w:val="both"/>
        <w:ind w:firstLine="1304"/>
        <w:spacing w:after="0" w:line="257" w:lineRule="auto"/>
        <w:tabs>
          <w:tab w:leader="none" w:pos="193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Accounts owing from an Account Debtor to the extent that Borrower is indebted or obligated in any manner to the Account Debtor (as creditor, lessor, supplier or otherwise - sometimes called “contra” accounts, accounts payable, customer deposits or credit accounts), provided that Accounts owing from any publisher (to the extent the amounts thereunder are not aged more than thirty (30) days) shall not be offset under this clause (i), so long as Borrower provides appropriate payment tracking reports showing that such publisher’s obligations are met within thirty (30) days of their respective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4" w:name="page85"/>
    <w:bookmarkEnd w:id="84"/>
    <w:p>
      <w:pPr>
        <w:ind w:firstLine="1304"/>
        <w:spacing w:after="0" w:line="277" w:lineRule="auto"/>
        <w:tabs>
          <w:tab w:leader="none" w:pos="19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with or in respect of accruals for marketing allowances, incentive rebates, price protection, cooperative advertising and other similar marketing credits, unless otherwise approved by Bank in writing;</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183" w:lineRule="exact"/>
        <w:rPr>
          <w:rFonts w:ascii="Arial" w:cs="Arial" w:eastAsia="Arial" w:hAnsi="Arial"/>
          <w:sz w:val="18"/>
          <w:szCs w:val="18"/>
          <w:color w:val="auto"/>
        </w:rPr>
      </w:pPr>
    </w:p>
    <w:p>
      <w:pPr>
        <w:ind w:right="20" w:firstLine="1304"/>
        <w:spacing w:after="0" w:line="277" w:lineRule="auto"/>
        <w:tabs>
          <w:tab w:leader="none" w:pos="19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with customer deposits and/or with respect to which Borrower has received an upfront payment, to the extent of such customer deposit and/or upfront payment;</w:t>
      </w:r>
    </w:p>
    <w:p>
      <w:pPr>
        <w:spacing w:after="0" w:line="170" w:lineRule="exact"/>
        <w:rPr>
          <w:rFonts w:ascii="Arial" w:cs="Arial" w:eastAsia="Arial" w:hAnsi="Arial"/>
          <w:sz w:val="18"/>
          <w:szCs w:val="18"/>
          <w:color w:val="auto"/>
        </w:rPr>
      </w:pPr>
    </w:p>
    <w:p>
      <w:pPr>
        <w:ind w:right="20" w:firstLine="1304"/>
        <w:spacing w:after="0" w:line="277" w:lineRule="auto"/>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or other terms if Account Debtor’s payment may be conditional;</w:t>
      </w:r>
    </w:p>
    <w:p>
      <w:pPr>
        <w:spacing w:after="0" w:line="170" w:lineRule="exact"/>
        <w:rPr>
          <w:rFonts w:ascii="Arial" w:cs="Arial" w:eastAsia="Arial" w:hAnsi="Arial"/>
          <w:sz w:val="18"/>
          <w:szCs w:val="18"/>
          <w:color w:val="auto"/>
        </w:rPr>
      </w:pPr>
    </w:p>
    <w:p>
      <w:pPr>
        <w:ind w:firstLine="1304"/>
        <w:spacing w:after="0" w:line="277"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pre-billings);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83" w:lineRule="exact"/>
        <w:rPr>
          <w:rFonts w:ascii="Arial" w:cs="Arial" w:eastAsia="Arial" w:hAnsi="Arial"/>
          <w:sz w:val="18"/>
          <w:szCs w:val="18"/>
          <w:color w:val="auto"/>
        </w:rPr>
      </w:pPr>
    </w:p>
    <w:p>
      <w:pPr>
        <w:ind w:right="20" w:firstLine="1304"/>
        <w:spacing w:after="0" w:line="277"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9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Accounts that represent non-trade receivables or that are derived by means other than in the ordinary course of Borrower’s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firstLine="1304"/>
        <w:spacing w:after="0" w:line="277"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for which Borrower has permitted Account Debtor’s payment to extend beyond ninety (90) days (including Accounts with a due date that is more than ninety (90) days from invoice date);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 payment deductions taken by an Account Debtor;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Accounts arising from product returns and/or exchanges (sometimes called “warranty” or “RMA” accounts);</w:t>
      </w:r>
    </w:p>
    <w:p>
      <w:pPr>
        <w:spacing w:after="0" w:line="225" w:lineRule="exact"/>
        <w:rPr>
          <w:rFonts w:ascii="Arial" w:cs="Arial" w:eastAsia="Arial" w:hAnsi="Arial"/>
          <w:sz w:val="18"/>
          <w:szCs w:val="18"/>
          <w:color w:val="auto"/>
        </w:rPr>
      </w:pPr>
    </w:p>
    <w:p>
      <w:pPr>
        <w:ind w:firstLine="1304"/>
        <w:spacing w:after="0" w:line="308" w:lineRule="auto"/>
        <w:tabs>
          <w:tab w:leader="none" w:pos="19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5" w:name="page86"/>
    <w:bookmarkEnd w:id="85"/>
    <w:p>
      <w:pPr>
        <w:ind w:firstLine="1304"/>
        <w:spacing w:after="0" w:line="277" w:lineRule="auto"/>
        <w:tabs>
          <w:tab w:leader="none" w:pos="19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Accounts owing from an Account Debtor with respect to which Borrower has received Deferred Revenue (but only to the extent of such Deferred Revenue);</w:t>
      </w:r>
    </w:p>
    <w:p>
      <w:pPr>
        <w:spacing w:after="0" w:line="170" w:lineRule="exact"/>
        <w:rPr>
          <w:rFonts w:ascii="Arial" w:cs="Arial" w:eastAsia="Arial" w:hAnsi="Arial"/>
          <w:sz w:val="18"/>
          <w:szCs w:val="18"/>
          <w:color w:val="auto"/>
        </w:rPr>
      </w:pPr>
    </w:p>
    <w:p>
      <w:pPr>
        <w:ind w:firstLine="1304"/>
        <w:spacing w:after="0" w:line="277" w:lineRule="auto"/>
        <w:tabs>
          <w:tab w:leader="none" w:pos="19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Accounts owing from an Account Debtor, whose total obligations to Borrower exceed twenty-five percent (25.0%) of all Accounts, for the amounts that exceed that percentage, unless Bank approves in writing; and</w:t>
      </w:r>
    </w:p>
    <w:p>
      <w:pPr>
        <w:spacing w:after="0" w:line="170" w:lineRule="exact"/>
        <w:rPr>
          <w:sz w:val="20"/>
          <w:szCs w:val="20"/>
          <w:color w:val="auto"/>
        </w:rPr>
      </w:pPr>
    </w:p>
    <w:p>
      <w:pPr>
        <w:ind w:firstLine="1304"/>
        <w:spacing w:after="0" w:line="277" w:lineRule="auto"/>
        <w:tabs>
          <w:tab w:leader="none" w:pos="19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Accounts for which Bank in its good faith business judgment determines collection to be doubtful, including, without limitation, accounts represented by “refreshed” or “recycled” invoices.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is defined in Section 6.8(b).</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each of (a) the following Bank email address: S43da5@svb.com, or such other means of collecting information approved and designated by Bank after providing notice thereof to Borrower from time to time, and (b) Bank’s online banking platform as described in Section 6.12.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Business Day</w:t>
      </w:r>
      <w:r>
        <w:rPr>
          <w:rFonts w:ascii="Arial" w:cs="Arial" w:eastAsia="Arial" w:hAnsi="Arial"/>
          <w:sz w:val="18"/>
          <w:szCs w:val="18"/>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defined in Section 2.1.3.</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Reduction Amount</w:t>
      </w:r>
      <w:r>
        <w:rPr>
          <w:rFonts w:ascii="Arial" w:cs="Arial" w:eastAsia="Arial" w:hAnsi="Arial"/>
          <w:sz w:val="18"/>
          <w:szCs w:val="18"/>
          <w:color w:val="auto"/>
        </w:rPr>
        <w:t>” means, with respect to a given FX Contract, the notional amount thereof multiplied by the currency exchange risk factor for the currencies involved in the FX Contract, multiplied by the current foreign exchange spot rates, in each instance as determined and calculated by Bank in its sole discretion.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tort or otherwise), insurance policies (including without limitation key man, property damage, and business interruption insurance), payments of insurance and rights to payment of any kind.</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Hopper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is any Subsidiary of Borrower which is not a Material Subsidiary.</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 For purposes of clarification, operating lease obligations shall not be deemed to be “Indebtedness” 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initial inspection of Borrower’s Accounts, the Collateral, and Borrower’s Books, with results satisfactory to Bank in its sole and absolute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940" w:hanging="636"/>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operating manuals;</w:t>
      </w:r>
    </w:p>
    <w:p>
      <w:pPr>
        <w:spacing w:after="0" w:line="210" w:lineRule="exact"/>
        <w:rPr>
          <w:rFonts w:ascii="Arial" w:cs="Arial" w:eastAsia="Arial" w:hAnsi="Arial"/>
          <w:sz w:val="16"/>
          <w:szCs w:val="16"/>
          <w:color w:val="auto"/>
        </w:rPr>
      </w:pPr>
    </w:p>
    <w:p>
      <w:pPr>
        <w:ind w:left="1940" w:hanging="636"/>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right="240" w:firstLine="1304"/>
        <w:spacing w:after="0" w:line="308" w:lineRule="auto"/>
        <w:tabs>
          <w:tab w:leader="none" w:pos="19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87" w:name="page88"/>
    <w:bookmarkEnd w:id="87"/>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with respect to any LIBOR Advance, the last day of each Interest Period applicable to such LIBOR Advance and, with respect to Prime Rate Advances, the Payment Date.</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means, as to any LIBOR Advance, the period commencing on the date of such LIBOR Advance, or on the conversion/continuation date on which the LIBOR Advance is converted into or continued as a LIBOR Advance, and ending on the date that is one (1), two</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 or three (3) months thereafter, in each case as Borrower may elect in the applicable Notice of Borrowing or Notice of Conversion/Continuation; provided, however, that (a) no Interest Period with respect to any LIBOR Advance shall end later than the Revolving Line Maturity Date, (b) the last day of an Interest Period shall be determined in accordance with the practices of the LIBOR interbank market as from time to time in effect, (c) if any Interest Period would otherwise end on a day that is not a Business Day, that Interest Period shall be extended to the following Business Day unless, in the case of a LIBOR Advance, the result of such extension would be to carry such Interest Period into another calendar month, in which event such Interest Period shall end on the preceding Business Day, (d) any Interest Period pertaining to a LIBOR Advance that begins on the last Business Day of a calendar month (or on a day for which there is no numerically corresponding day in the calendar month at the end of such Interest Period) shall end on the last Business Day of the calendar month at the end of such Interest Period, and (e) interest shall accrue from and include the first Business Day of an Interest Period but exclude the last Business Day of such Interest Period.</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each date for calculating the LIBOR for purposes of determining the interest rate in respect of an Interest Period. The Interest Rate Determination Date shall be the second Business Day prior to the first day of the related Interest Period for a LIBOR Advance.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 standby letter of credit issued by Bank or another institution based upon an application, guarantee, indemnity or similar agreement on the part of Bank as set forth in Section 2.1.2.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is defined in Section 2.1.2(b).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Reserve</w:t>
      </w:r>
      <w:r>
        <w:rPr>
          <w:rFonts w:ascii="Arial" w:cs="Arial" w:eastAsia="Arial" w:hAnsi="Arial"/>
          <w:sz w:val="18"/>
          <w:szCs w:val="18"/>
          <w:color w:val="auto"/>
        </w:rPr>
        <w:t>” is defined in Section 2.1.2(e).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any Interest Rate Determination Date with respect to an Interest Period for any Advance to be made, continued as or converted into a LIBOR Advance, the rate of interest per annum determined by Bank to be the per annum rate of interest at which deposits in Dollars are offered to Bank in the London interbank market (rounded upward, if necessary, to the nearest 0.00001%) in which Bank customarily participates at 11:00 a.m. (local time in such interbank market) two (2) Business Days prior to the first day of such Interest Period for a period approximately equal to such Interest Period and in an amount approximately equal to the amount of such Advance; provided that, in the event such rate of interest is less than zero, such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Advance</w:t>
      </w:r>
      <w:r>
        <w:rPr>
          <w:rFonts w:ascii="Arial" w:cs="Arial" w:eastAsia="Arial" w:hAnsi="Arial"/>
          <w:sz w:val="18"/>
          <w:szCs w:val="18"/>
          <w:color w:val="auto"/>
        </w:rPr>
        <w:t>” means an Advance that bears interest based at the LIBOR Rate.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means, for each Interest Period in respect of LIBOR Advances comprising part of the same Advances, an interest rate per annum (rounded upward, if necessary, to the nearest 0.00001%) equal to LIBOR for such Interest Period divided by one (1) minus the Reserve Requirement for such Interest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 Margin</w:t>
      </w:r>
      <w:r>
        <w:rPr>
          <w:rFonts w:ascii="Arial" w:cs="Arial" w:eastAsia="Arial" w:hAnsi="Arial"/>
          <w:sz w:val="18"/>
          <w:szCs w:val="18"/>
          <w:color w:val="auto"/>
        </w:rPr>
        <w:t>” is two and one-quarter percent (2.25%).</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Liquidity</w:t>
      </w:r>
      <w:r>
        <w:rPr>
          <w:rFonts w:ascii="Arial" w:cs="Arial" w:eastAsia="Arial" w:hAnsi="Arial"/>
          <w:sz w:val="17"/>
          <w:szCs w:val="17"/>
          <w:color w:val="auto"/>
        </w:rPr>
        <w:t>” is, at any time, the sum of (a) the aggregate amount of unrestricted and unencumbered cash and Cash Equivalents held at such time by Borrower in Collateral Accounts maintained with Bank or its Affiliates, plus (b) accounts receivable, minus (c) Publisher Payables.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Ratio</w:t>
      </w:r>
      <w:r>
        <w:rPr>
          <w:rFonts w:ascii="Arial" w:cs="Arial" w:eastAsia="Arial" w:hAnsi="Arial"/>
          <w:sz w:val="18"/>
          <w:szCs w:val="18"/>
          <w:color w:val="auto"/>
        </w:rPr>
        <w:t>” is (a) Liquidity, divided by (b) all Obligations.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Magnite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financial condition of Borrower; or (c) a material impairment of the prospect of repayment of any portion of the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is any direct or indirect Domestic Subsidiary of Borrower that has assets or annual revenue in excess of Five Hundred Thousand Dollars ($500,000) or is a Borrower hereunder.</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Income</w:t>
      </w:r>
      <w:r>
        <w:rPr>
          <w:rFonts w:ascii="Arial" w:cs="Arial" w:eastAsia="Arial" w:hAnsi="Arial"/>
          <w:sz w:val="17"/>
          <w:szCs w:val="17"/>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means a notice given by Borrower to Bank in accordance with Section 3.4(a),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with appropriate insertions.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Conversion/Continuation</w:t>
      </w:r>
      <w:r>
        <w:rPr>
          <w:rFonts w:ascii="Arial" w:cs="Arial" w:eastAsia="Arial" w:hAnsi="Arial"/>
          <w:sz w:val="18"/>
          <w:szCs w:val="18"/>
          <w:color w:val="auto"/>
        </w:rPr>
        <w:t xml:space="preserve">” means a notice given by Borrower to Bank in accordance with Section 3.5,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with appropriate insertions.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the Unused Revolving Line Facility Fee,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60" w:lineRule="auto"/>
        <w:tabs>
          <w:tab w:leader="none" w:pos="2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defined in Section 3.7(b).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last calendar day of each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any merger or consolidation with any other Person, or the acquisition of all or substantially all of the capital stock or property of another Person that meets the following requirements: (a) Bank shall receive at least twenty (20) days' prior written notice of each such Permitted Acquisition, which notice shall include a reasonably detailed description of the transaction, and such other financial information, financial analysis, documentation or other information relating to such transaction as Bank shall reasonably request; (b) the total consideration for all such transactions, including cash and the value of any non-cash consideration, does not in the aggregate exceed Five Million Dollars ($5,000,000) in any twelve month period; (c) the total cash consideration for all such transactions does not in the aggregate exceed Three Million Dollars ($3,000,000) in any twelve month period; (d) no Event of Default has occurred and is continuing or would exist after giving effect to each such transaction; (e) Borrower is the surviving legal entity; (f) Borrower shall demonstrate compliance, both before and after (on a pro forma basis) giving effect to such transaction, with the terms of this Agreement; (g) the credit risk to Bank, in its sole discretion, shall not be increased as a result of the Permitted Acquisition; (h) such transaction shall only involve assets located in the United States and comprising a business, or those assets of a business, of the type engaged in by Borrower and its Subsidiaries as of the date hereof (or any business reasonably related or ancillary thereto or a reasonable extension thereof, as determined in good faith by the board of directors); (i) such transaction shall be consensual and shall have been approved by the target’s board of directors; and (j) if the target is not merged with and into Borrower then, simultaneously with the closing of the Permitted Acquisition, the target must, if requested by Bank, become a "Borrower" under this Agreement and the other Loan Documents and become subject to all rights and obligations of this Agreement and the other Loan Documents, and must, if requested by Bank, execute and deliver to Bank a joinder agreement acceptable to Bank as well as such other documents and agreements as required by Bank in connection with the target becoming a Borrower and granting a Lien in favor of Bank on the Collateral.</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940" w:hanging="636"/>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25" w:lineRule="exact"/>
        <w:rPr>
          <w:rFonts w:ascii="Arial" w:cs="Arial" w:eastAsia="Arial" w:hAnsi="Arial"/>
          <w:sz w:val="18"/>
          <w:szCs w:val="18"/>
          <w:color w:val="auto"/>
        </w:rPr>
      </w:pPr>
    </w:p>
    <w:p>
      <w:pPr>
        <w:ind w:firstLine="1304"/>
        <w:spacing w:after="0" w:line="277"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unsecured Indebtedness incurred on corporate credit cards with institutions other than Bank in the ordinary course of business in an aggregate outstanding amount not to exceed Five Hundred Thousand Dollars ($500,000)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90" w:name="page91"/>
    <w:bookmarkEnd w:id="90"/>
    <w:p>
      <w:pPr>
        <w:ind w:firstLine="1304"/>
        <w:spacing w:after="0" w:line="277" w:lineRule="auto"/>
        <w:tabs>
          <w:tab w:leader="none" w:pos="1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by Section 7.4 not exceeding Five Hundred Thousand Dollars ($500,000) in the aggregate outstanding at any time;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Investments (including, without limitation, Subsidiaries) existing on the Effective Date which are shown on the Perfection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firstLine="1304"/>
        <w:spacing w:after="0" w:line="308" w:lineRule="auto"/>
        <w:tabs>
          <w:tab w:leader="none" w:pos="1944"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Investments consisting of cash and Cash Equivalents and any Investments permitted by borrower’s investment policy, as amended from time to time, provided that such investment policy (and any such amendment thereto) has been approved in writing by Bank;</w:t>
      </w:r>
    </w:p>
    <w:p>
      <w:pPr>
        <w:spacing w:after="0" w:line="146" w:lineRule="exact"/>
        <w:rPr>
          <w:rFonts w:ascii="Arial" w:cs="Arial" w:eastAsia="Arial" w:hAnsi="Arial"/>
          <w:sz w:val="17"/>
          <w:szCs w:val="17"/>
          <w:color w:val="auto"/>
        </w:rPr>
      </w:pPr>
    </w:p>
    <w:p>
      <w:pPr>
        <w:ind w:firstLine="1304"/>
        <w:spacing w:after="0" w:line="277" w:lineRule="auto"/>
        <w:tabs>
          <w:tab w:leader="none" w:pos="19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right="20" w:firstLine="1304"/>
        <w:spacing w:after="0" w:line="277"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deposit accounts (but only to the extent that Borrower is permitted to maintain such accounts pursuant to Section 6.8 of this Agreement) in which Bank has a first priority perfected security interest;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right="20" w:firstLine="1304"/>
        <w:spacing w:after="0" w:line="277" w:lineRule="auto"/>
        <w:tabs>
          <w:tab w:leader="none" w:pos="19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(i) by Borrower in other Borrowers, (ii) by Borrower in Subsidiaries who are not Borrowers in an aggregate amount not to exceed Three Million Dollars ($3,000,000) in any fiscal year, and (iii) by Subsidiaries who are not Borrowers in other Subsidiaries who are not Borrowers or in Borrower;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firstLine="1304"/>
        <w:spacing w:after="0" w:line="308" w:lineRule="auto"/>
        <w:tabs>
          <w:tab w:leader="none" w:pos="19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304"/>
        <w:spacing w:after="0" w:line="308" w:lineRule="auto"/>
        <w:tabs>
          <w:tab w:leader="none" w:pos="193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Three Million Dollars ($3,000,000) in the aggregate in any fiscal year;</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91" w:name="page92"/>
    <w:bookmarkEnd w:id="91"/>
    <w:p>
      <w:pPr>
        <w:ind w:firstLine="1304"/>
        <w:spacing w:after="0" w:line="342" w:lineRule="auto"/>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intercompany advances or loans not exceeding Five Hundred Thousand Dollars ($500,000) in the aggregate outstanding at any time, repaid within one hundred eighty (180) days, in connection with the settlement of transfer pricing arrangements in the ordinary course of business;</w:t>
      </w:r>
    </w:p>
    <w:p>
      <w:pPr>
        <w:spacing w:after="0" w:line="123" w:lineRule="exact"/>
        <w:rPr>
          <w:rFonts w:ascii="Arial" w:cs="Arial" w:eastAsia="Arial" w:hAnsi="Arial"/>
          <w:sz w:val="16"/>
          <w:szCs w:val="16"/>
          <w:color w:val="auto"/>
        </w:rPr>
      </w:pPr>
    </w:p>
    <w:p>
      <w:pPr>
        <w:jc w:val="both"/>
        <w:ind w:firstLine="1304"/>
        <w:spacing w:after="0" w:line="257"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consisting of “transfer pricing”, “cost sharing” and “cost plus” arrangements in the ordinary course of business by Borrower in its Subsidiaries for operating expenses, provided that (i) no Event of Default has occurred and is continuing or would result therefrom, (ii) the amount charged to Borrower is not more than twenty-five percent (25%) above such Subsidiary’s cost, and (iii) the other terms of such arrangements are upon fair and reasonable terms that are no less favorable to Borrower than would be obtained in an arm’s length transaction with a non-affiliated Person; and</w:t>
      </w:r>
    </w:p>
    <w:p>
      <w:pPr>
        <w:spacing w:after="0" w:line="187" w:lineRule="exact"/>
        <w:rPr>
          <w:rFonts w:ascii="Arial" w:cs="Arial" w:eastAsia="Arial" w:hAnsi="Arial"/>
          <w:sz w:val="18"/>
          <w:szCs w:val="18"/>
          <w:color w:val="auto"/>
        </w:rPr>
      </w:pPr>
    </w:p>
    <w:p>
      <w:pPr>
        <w:ind w:firstLine="1304"/>
        <w:spacing w:after="0" w:line="277"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in an amount not to exceed Five Hundred Thousand Dollars ($500,000) in the aggregate in any twelve (12) month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940" w:hanging="636"/>
        <w:spacing w:after="0"/>
        <w:tabs>
          <w:tab w:leader="none" w:pos="1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Liens existing on the Effective Date which are shown on the Perfection Certificate or arising under this Agreement or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w:t>
      </w:r>
    </w:p>
    <w:p>
      <w:pPr>
        <w:spacing w:after="0" w:line="211" w:lineRule="exact"/>
        <w:rPr>
          <w:sz w:val="20"/>
          <w:szCs w:val="20"/>
          <w:color w:val="auto"/>
        </w:rPr>
      </w:pPr>
    </w:p>
    <w:p>
      <w:pPr>
        <w:jc w:val="both"/>
        <w:ind w:firstLine="1304"/>
        <w:spacing w:after="0" w:line="263" w:lineRule="auto"/>
        <w:tabs>
          <w:tab w:leader="none" w:pos="19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934" w:val="left"/>
        </w:tabs>
        <w:numPr>
          <w:ilvl w:val="0"/>
          <w:numId w:val="73"/>
        </w:numPr>
        <w:rPr>
          <w:rFonts w:ascii="Arial" w:cs="Arial" w:eastAsia="Arial" w:hAnsi="Arial"/>
          <w:sz w:val="17"/>
          <w:szCs w:val="17"/>
          <w:color w:val="auto"/>
        </w:rPr>
      </w:pPr>
      <w:r>
        <w:rPr>
          <w:rFonts w:ascii="Arial" w:cs="Arial" w:eastAsia="Arial" w:hAnsi="Arial"/>
          <w:sz w:val="17"/>
          <w:szCs w:val="17"/>
          <w:color w:val="auto"/>
        </w:rPr>
        <w:t>purchase money Liens or capital leases (i) on Equipment or software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65" w:lineRule="exact"/>
        <w:rPr>
          <w:rFonts w:ascii="Arial" w:cs="Arial" w:eastAsia="Arial" w:hAnsi="Arial"/>
          <w:sz w:val="17"/>
          <w:szCs w:val="17"/>
          <w:color w:val="auto"/>
        </w:rPr>
      </w:pPr>
    </w:p>
    <w:p>
      <w:pPr>
        <w:jc w:val="both"/>
        <w:ind w:firstLine="1304"/>
        <w:spacing w:after="0" w:line="286" w:lineRule="auto"/>
        <w:tabs>
          <w:tab w:leader="none" w:pos="1944" w:val="left"/>
        </w:tabs>
        <w:numPr>
          <w:ilvl w:val="0"/>
          <w:numId w:val="73"/>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which are not delinquent or remain payable without penalty or which are being contested in good faith and by appropriate proceedings which proceedings have the effect of preventing the forfeiture or sale of the property subject thereto;</w:t>
      </w:r>
    </w:p>
    <w:p>
      <w:pPr>
        <w:spacing w:after="0" w:line="165" w:lineRule="exact"/>
        <w:rPr>
          <w:rFonts w:ascii="Arial" w:cs="Arial" w:eastAsia="Arial" w:hAnsi="Arial"/>
          <w:sz w:val="17"/>
          <w:szCs w:val="17"/>
          <w:color w:val="auto"/>
        </w:rPr>
      </w:pPr>
    </w:p>
    <w:p>
      <w:pPr>
        <w:ind w:firstLine="1304"/>
        <w:spacing w:after="0" w:line="277" w:lineRule="auto"/>
        <w:tabs>
          <w:tab w:leader="none" w:pos="19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1941" w:val="left"/>
        </w:tabs>
        <w:numPr>
          <w:ilvl w:val="0"/>
          <w:numId w:val="73"/>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9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Sections 8.4 and 8.7; and</w:t>
      </w:r>
    </w:p>
    <w:p>
      <w:pPr>
        <w:spacing w:after="0" w:line="210" w:lineRule="exact"/>
        <w:rPr>
          <w:rFonts w:ascii="Arial" w:cs="Arial" w:eastAsia="Arial" w:hAnsi="Arial"/>
          <w:sz w:val="16"/>
          <w:szCs w:val="16"/>
          <w:color w:val="auto"/>
        </w:rPr>
      </w:pPr>
    </w:p>
    <w:p>
      <w:pPr>
        <w:ind w:firstLine="1304"/>
        <w:spacing w:after="0" w:line="277" w:lineRule="auto"/>
        <w:tabs>
          <w:tab w:leader="none" w:pos="19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Bank has a first priority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92" w:name="page93"/>
    <w:bookmarkEnd w:id="92"/>
    <w:p>
      <w:pPr>
        <w:spacing w:after="0" w:line="277" w:lineRule="auto"/>
        <w:rPr>
          <w:sz w:val="20"/>
          <w:szCs w:val="20"/>
          <w:color w:val="auto"/>
        </w:rPr>
      </w:pPr>
      <w:r>
        <w:rPr>
          <w:rFonts w:ascii="Arial" w:cs="Arial" w:eastAsia="Arial" w:hAnsi="Arial"/>
          <w:sz w:val="18"/>
          <w:szCs w:val="18"/>
          <w:color w:val="auto"/>
        </w:rPr>
        <w:t>security interest in the amounts held in such deposit and/or securities accounts if required under Section 6.8 and (ii) such accounts are permitted to be maintained pursuant to Section 6.8 of this Agreement; and</w:t>
      </w:r>
    </w:p>
    <w:p>
      <w:pPr>
        <w:spacing w:after="0" w:line="170" w:lineRule="exact"/>
        <w:rPr>
          <w:sz w:val="20"/>
          <w:szCs w:val="20"/>
          <w:color w:val="auto"/>
        </w:rPr>
      </w:pPr>
    </w:p>
    <w:p>
      <w:pPr>
        <w:jc w:val="both"/>
        <w:ind w:firstLine="1304"/>
        <w:spacing w:after="0" w:line="263" w:lineRule="auto"/>
        <w:tabs>
          <w:tab w:leader="none" w:pos="19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contracts for the purchase of property, leases, statutory obligations, ERISA, surety and appeal bonds, performance bonds and other obligations of a like nature, in each case, incurred in the ordinary course of business and not representing an obligation for borrowed money;</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arising from the filing of precautionary Code financing statements with respect to operating leases or other leases not prohibited by this Agreement provided that such Liens and the financing statements are restricted to the specific personal property that is being leased under the applicable lease; and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(k), but any extension, renewal or replacement Lien must be limited to the property encumbered by the existing Lien and the principal amount of the indebtedness may not increase.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xml:space="preserve">” is the rate of interest per annum from time to time published in the money rates section of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w:t>
      </w:r>
      <w:r>
        <w:rPr>
          <w:rFonts w:ascii="Arial" w:cs="Arial" w:eastAsia="Arial" w:hAnsi="Arial"/>
          <w:sz w:val="17"/>
          <w:szCs w:val="17"/>
          <w:u w:val="single" w:color="auto"/>
          <w:color w:val="auto"/>
        </w:rPr>
        <w:t>The Wall Street</w:t>
      </w:r>
      <w:r>
        <w:rPr>
          <w:rFonts w:ascii="Arial" w:cs="Arial" w:eastAsia="Arial" w:hAnsi="Arial"/>
          <w:sz w:val="17"/>
          <w:szCs w:val="17"/>
          <w:color w:val="auto"/>
        </w:rPr>
        <w:t xml:space="preserve"> </w:t>
      </w:r>
      <w:r>
        <w:rPr>
          <w:rFonts w:ascii="Arial" w:cs="Arial" w:eastAsia="Arial" w:hAnsi="Arial"/>
          <w:sz w:val="17"/>
          <w:szCs w:val="17"/>
          <w:u w:val="single" w:color="auto"/>
          <w:color w:val="auto"/>
        </w:rPr>
        <w:t>Journal</w:t>
      </w:r>
      <w:r>
        <w:rPr>
          <w:rFonts w:ascii="Arial" w:cs="Arial" w:eastAsia="Arial" w:hAnsi="Arial"/>
          <w:sz w:val="17"/>
          <w:szCs w:val="17"/>
          <w:color w:val="auto"/>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Advance</w:t>
      </w:r>
      <w:r>
        <w:rPr>
          <w:rFonts w:ascii="Arial" w:cs="Arial" w:eastAsia="Arial" w:hAnsi="Arial"/>
          <w:sz w:val="18"/>
          <w:szCs w:val="18"/>
          <w:color w:val="auto"/>
        </w:rPr>
        <w:t>” means an Advance that bears interest based at the Prime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Margin</w:t>
      </w:r>
      <w:r>
        <w:rPr>
          <w:rFonts w:ascii="Arial" w:cs="Arial" w:eastAsia="Arial" w:hAnsi="Arial"/>
          <w:sz w:val="18"/>
          <w:szCs w:val="18"/>
          <w:color w:val="auto"/>
        </w:rPr>
        <w:t>” is one-quarter of one percent (0.25%).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Loan Agreement</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Publisher Payables</w:t>
      </w:r>
      <w:r>
        <w:rPr>
          <w:rFonts w:ascii="Arial" w:cs="Arial" w:eastAsia="Arial" w:hAnsi="Arial"/>
          <w:sz w:val="18"/>
          <w:szCs w:val="18"/>
          <w:color w:val="auto"/>
        </w:rPr>
        <w:t>” is, at any time, the aggregate amount of all accounts payable by Borrower to publishers.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93" w:name="page94"/>
    <w:bookmarkEnd w:id="93"/>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Requirement</w:t>
      </w:r>
      <w:r>
        <w:rPr>
          <w:rFonts w:ascii="Arial" w:cs="Arial" w:eastAsia="Arial" w:hAnsi="Arial"/>
          <w:sz w:val="18"/>
          <w:szCs w:val="18"/>
          <w:color w:val="auto"/>
        </w:rPr>
        <w:t>” means, for any Interest Period, the average maximum rate at which reserves (including any marginal, supplemental, or emergency reserves) are required to be maintained during such Interest Period under Regulation D against “Eurocurrency liabilities” (as such term is used in Regulation D) by member banks of the Federal Reserve System. Without limiting the effect of the foregoing, the Reserve Requirement shall reflect any other reserves required to be maintained by Bank by reason of any Regulatory Change against (a) any category of liabilities which includes deposits by reference to which the LIBOR Rate is to be determined as provided in the definition of LIBOR or (b) any category of extensions of credit or other assets which include Advances.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Reserves</w:t>
      </w:r>
      <w:r>
        <w:rPr>
          <w:rFonts w:ascii="Arial" w:cs="Arial" w:eastAsia="Arial" w:hAnsi="Arial"/>
          <w:sz w:val="16"/>
          <w:szCs w:val="16"/>
          <w:color w:val="auto"/>
        </w:rPr>
        <w:t>” means, as of any date of determination, such amounts as Bank may from time to time establish and revise in its good faith business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constitutes an Event of Default or may, with notice or passage of time or both, constitute an Event of Default.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Sixty Million Dollars ($60,000,000).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the date two (2) years after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is defined in Section 2.1.3.</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ten percent (10.0%) of whose aggregate issued and outstanding equity or ownership securities or interests, voting, non-voting or both, are owned or held directly or indirectly, beneficially or of record, by Borrower, and/or (ii) whose equity or ownership securities or interests representing more than ten percent (10.0%) of such Person’s total outstanding combined voting power are owned or held directly or indirectly, beneficially or of record, by Borrower.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Line Facility Fee</w:t>
      </w:r>
      <w:r>
        <w:rPr>
          <w:rFonts w:ascii="Arial" w:cs="Arial" w:eastAsia="Arial" w:hAnsi="Arial"/>
          <w:sz w:val="18"/>
          <w:szCs w:val="18"/>
          <w:color w:val="auto"/>
        </w:rPr>
        <w:t>” is defined in Section 2.4(b).</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MAGNITE,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By__/s/_David Day___________________________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w:t>
      </w:r>
      <w:r>
        <w:rPr>
          <w:rFonts w:ascii="Arial" w:cs="Arial" w:eastAsia="Arial" w:hAnsi="Arial"/>
          <w:sz w:val="18"/>
          <w:szCs w:val="18"/>
          <w:u w:val="single" w:color="auto"/>
          <w:color w:val="auto"/>
        </w:rPr>
        <w:t>me:_</w:t>
      </w:r>
      <w:r>
        <w:rPr>
          <w:rFonts w:ascii="Arial" w:cs="Arial" w:eastAsia="Arial" w:hAnsi="Arial"/>
          <w:sz w:val="18"/>
          <w:szCs w:val="18"/>
          <w:color w:val="auto"/>
        </w:rPr>
        <w:t xml:space="preserve"> David Day__________________________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Title:__CFO_______________________________</w:t>
      </w:r>
    </w:p>
    <w:p>
      <w:pPr>
        <w:spacing w:after="0" w:line="200" w:lineRule="exact"/>
        <w:rPr>
          <w:sz w:val="20"/>
          <w:szCs w:val="20"/>
          <w:color w:val="auto"/>
        </w:rPr>
      </w:pPr>
    </w:p>
    <w:p>
      <w:pPr>
        <w:spacing w:after="0" w:line="29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MAGNITE,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By__/s/_David Day___________________________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w:t>
      </w:r>
      <w:r>
        <w:rPr>
          <w:rFonts w:ascii="Arial" w:cs="Arial" w:eastAsia="Arial" w:hAnsi="Arial"/>
          <w:sz w:val="18"/>
          <w:szCs w:val="18"/>
          <w:u w:val="single" w:color="auto"/>
          <w:color w:val="auto"/>
        </w:rPr>
        <w:t>me:_</w:t>
      </w:r>
      <w:r>
        <w:rPr>
          <w:rFonts w:ascii="Arial" w:cs="Arial" w:eastAsia="Arial" w:hAnsi="Arial"/>
          <w:sz w:val="18"/>
          <w:szCs w:val="18"/>
          <w:color w:val="auto"/>
        </w:rPr>
        <w:t xml:space="preserve"> David Day__________________________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Title:__CFO_______________________________</w:t>
      </w:r>
    </w:p>
    <w:p>
      <w:pPr>
        <w:spacing w:after="0" w:line="200" w:lineRule="exact"/>
        <w:rPr>
          <w:sz w:val="20"/>
          <w:szCs w:val="20"/>
          <w:color w:val="auto"/>
        </w:rPr>
      </w:pPr>
    </w:p>
    <w:p>
      <w:pPr>
        <w:spacing w:after="0" w:line="29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MAGNITE,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By__/s/_David Day___________________________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w:t>
      </w:r>
      <w:r>
        <w:rPr>
          <w:rFonts w:ascii="Arial" w:cs="Arial" w:eastAsia="Arial" w:hAnsi="Arial"/>
          <w:sz w:val="18"/>
          <w:szCs w:val="18"/>
          <w:u w:val="single" w:color="auto"/>
          <w:color w:val="auto"/>
        </w:rPr>
        <w:t>me:_</w:t>
      </w:r>
      <w:r>
        <w:rPr>
          <w:rFonts w:ascii="Arial" w:cs="Arial" w:eastAsia="Arial" w:hAnsi="Arial"/>
          <w:sz w:val="18"/>
          <w:szCs w:val="18"/>
          <w:color w:val="auto"/>
        </w:rPr>
        <w:t xml:space="preserve"> David Day__________________________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Title:__CFO_______________________________</w:t>
      </w:r>
    </w:p>
    <w:p>
      <w:pPr>
        <w:spacing w:after="0" w:line="200" w:lineRule="exact"/>
        <w:rPr>
          <w:sz w:val="20"/>
          <w:szCs w:val="20"/>
          <w:color w:val="auto"/>
        </w:rPr>
      </w:pPr>
    </w:p>
    <w:p>
      <w:pPr>
        <w:spacing w:after="0" w:line="29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MAGNITE, INC.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By__/s/_David Day___________________________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w:t>
      </w:r>
      <w:r>
        <w:rPr>
          <w:rFonts w:ascii="Arial" w:cs="Arial" w:eastAsia="Arial" w:hAnsi="Arial"/>
          <w:sz w:val="18"/>
          <w:szCs w:val="18"/>
          <w:u w:val="single" w:color="auto"/>
          <w:color w:val="auto"/>
        </w:rPr>
        <w:t>me:_</w:t>
      </w:r>
      <w:r>
        <w:rPr>
          <w:rFonts w:ascii="Arial" w:cs="Arial" w:eastAsia="Arial" w:hAnsi="Arial"/>
          <w:sz w:val="18"/>
          <w:szCs w:val="18"/>
          <w:color w:val="auto"/>
        </w:rPr>
        <w:t xml:space="preserve"> David Day__________________________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Title:__CFO_______________________________</w:t>
      </w:r>
    </w:p>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BANK:</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By___/s/ Andy Riggs 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Name:__Andy Riggs__________________________</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Title:__Vice President_________________________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Signature Pages to Second Amended and Restated Loan and Security Agreement</w:t>
      </w:r>
    </w:p>
    <w:p>
      <w:pPr>
        <w:sectPr>
          <w:pgSz w:w="11900" w:h="16838" w:orient="portrait"/>
          <w:cols w:equalWidth="0" w:num="1">
            <w:col w:w="10139"/>
          </w:cols>
          <w:pgMar w:left="320" w:top="1417" w:right="1440"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233773760 v5</w:t>
      </w:r>
    </w:p>
    <w:p>
      <w:pPr>
        <w:sectPr>
          <w:pgSz w:w="11900" w:h="16838" w:orient="portrait"/>
          <w:cols w:equalWidth="0" w:num="1">
            <w:col w:w="10139"/>
          </w:cols>
          <w:pgMar w:left="320" w:top="1417" w:right="1440"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the foregoing, the Collateral does not include any of the following: (a) more than 65% of the presently existing and hereafter arising issued and outstanding shares of capital stock owned by Borrower of any Foreign Subsidiary which shares entitle the holder thereof to vote for directors or any other matter, (b) more than 65% of the presently existing and hereafter arising issued and outstanding shares of capital stock owned by Borrower of any Domestic Subsidiary that is a disregarded entity for United States federal income tax purposes substantially all of the assets of which consist of equity securities in one or more Foreign Subsidiaries, (c) rights held under a license that are not assignable by their terms without the consent of the licensor thereof (but only to the extent such restriction on assignment is enforceable under applicable law); (d)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and (e)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TO DRAFT</w:t>
      </w:r>
      <w:r>
        <w:rPr>
          <w:rFonts w:ascii="Arial" w:cs="Arial" w:eastAsia="Arial" w:hAnsi="Arial"/>
          <w:sz w:val="18"/>
          <w:szCs w:val="18"/>
          <w:color w:val="auto"/>
        </w:rPr>
        <w:t>-SECTION 6.9(b) WAS MODIFIED AS SET FORTH BELOW TO CORRECT CERTAIN DRAFTING ERRORS]</w:t>
      </w:r>
    </w:p>
    <w:p>
      <w:pPr>
        <w:spacing w:after="0" w:line="200" w:lineRule="exact"/>
        <w:rPr>
          <w:sz w:val="20"/>
          <w:szCs w:val="20"/>
          <w:color w:val="auto"/>
        </w:rPr>
      </w:pPr>
    </w:p>
    <w:p>
      <w:pPr>
        <w:spacing w:after="0" w:line="268" w:lineRule="exact"/>
        <w:rPr>
          <w:sz w:val="20"/>
          <w:szCs w:val="20"/>
          <w:color w:val="auto"/>
        </w:rPr>
      </w:pPr>
    </w:p>
    <w:p>
      <w:pPr>
        <w:spacing w:after="0"/>
        <w:tabs>
          <w:tab w:leader="none" w:pos="640" w:val="left"/>
          <w:tab w:leader="none" w:pos="3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SILICON VALLEY BANK</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-10160</wp:posOffset>
            </wp:positionV>
            <wp:extent cx="457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FROM:</w:t>
        <w:tab/>
        <w:t>MAGNITE, INC., ET AL.</w:t>
      </w:r>
    </w:p>
    <w:p>
      <w:pPr>
        <w:spacing w:after="0" w:line="10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Under the terms and conditions of the Second Amended and Restated Loan and Security Agreement between Borrower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w:t>
      </w:r>
    </w:p>
    <w:p>
      <w:pPr>
        <w:jc w:val="both"/>
        <w:spacing w:after="0" w:line="255" w:lineRule="auto"/>
        <w:rPr>
          <w:sz w:val="20"/>
          <w:szCs w:val="20"/>
          <w:color w:val="auto"/>
        </w:rPr>
      </w:pPr>
      <w:r>
        <w:rPr>
          <w:rFonts w:ascii="Arial" w:cs="Arial" w:eastAsia="Arial" w:hAnsi="Arial"/>
          <w:sz w:val="18"/>
          <w:szCs w:val="18"/>
          <w:color w:val="auto"/>
        </w:rPr>
        <w:t>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88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Reporting Covenants</w:t>
            </w:r>
          </w:p>
        </w:tc>
        <w:tc>
          <w:tcPr>
            <w:tcW w:w="1860" w:type="dxa"/>
            <w:vAlign w:val="bottom"/>
            <w:tcBorders>
              <w:top w:val="single" w:sz="8" w:color="auto"/>
            </w:tcBorders>
          </w:tcPr>
          <w:p>
            <w:pPr>
              <w:spacing w:after="0"/>
              <w:rPr>
                <w:sz w:val="18"/>
                <w:szCs w:val="18"/>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12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1880" w:type="dxa"/>
            <w:vAlign w:val="bottom"/>
            <w:tcBorders>
              <w:left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50"/>
        </w:trPr>
        <w:tc>
          <w:tcPr>
            <w:tcW w:w="1880" w:type="dxa"/>
            <w:vAlign w:val="bottom"/>
            <w:tcBorders>
              <w:left w:val="single" w:sz="8" w:color="auto"/>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r>
      <w:tr>
        <w:trPr>
          <w:trHeight w:val="237"/>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Compliance Statement; A/R &amp; A/P Agings</w:t>
            </w: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Quarterly within 5 days of filing 10-Q or 10-K</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18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10-Q, 10-K and 8-K</w:t>
            </w: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Within 5 days after filing with SEC</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18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Borrowing Base Statement</w:t>
            </w: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within 7 Business Days if any Advances are</w:t>
            </w:r>
          </w:p>
        </w:tc>
        <w:tc>
          <w:tcPr>
            <w:tcW w:w="24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16"/>
        </w:trPr>
        <w:tc>
          <w:tcPr>
            <w:tcW w:w="188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outstanding; Quarterly within 5 days of filing 10-Q or 10-K</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0"/>
        </w:trPr>
        <w:tc>
          <w:tcPr>
            <w:tcW w:w="188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at all other times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
        </w:trPr>
        <w:tc>
          <w:tcPr>
            <w:tcW w:w="18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22"/>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Board approved projections</w:t>
            </w: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Earlier of 30 days after Board approval or 60 days after</w:t>
            </w:r>
          </w:p>
        </w:tc>
        <w:tc>
          <w:tcPr>
            <w:tcW w:w="24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30"/>
        </w:trPr>
        <w:tc>
          <w:tcPr>
            <w:tcW w:w="188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 and as amended/updated</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
        </w:trPr>
        <w:tc>
          <w:tcPr>
            <w:tcW w:w="188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bl>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 w:type="dxa"/>
            <w:vAlign w:val="bottom"/>
            <w:tcBorders>
              <w:top w:val="single" w:sz="8" w:color="auto"/>
              <w:lef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60" w:type="dxa"/>
            <w:vAlign w:val="bottom"/>
            <w:tcBorders>
              <w:top w:val="single" w:sz="8" w:color="auto"/>
              <w:right w:val="single" w:sz="8" w:color="auto"/>
            </w:tcBorders>
            <w:gridSpan w:val="3"/>
          </w:tcPr>
          <w:p>
            <w:pPr>
              <w:ind w:left="1760"/>
              <w:spacing w:after="0"/>
              <w:rPr>
                <w:sz w:val="20"/>
                <w:szCs w:val="20"/>
                <w:color w:val="auto"/>
              </w:rPr>
            </w:pPr>
            <w:r>
              <w:rPr>
                <w:rFonts w:ascii="Arial" w:cs="Arial" w:eastAsia="Arial" w:hAnsi="Arial"/>
                <w:sz w:val="18"/>
                <w:szCs w:val="18"/>
                <w:b w:val="1"/>
                <w:bCs w:val="1"/>
                <w:color w:val="auto"/>
              </w:rPr>
              <w:t>Financial Covenant</w:t>
            </w:r>
          </w:p>
        </w:tc>
        <w:tc>
          <w:tcPr>
            <w:tcW w:w="2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20" w:type="dxa"/>
            <w:vAlign w:val="bottom"/>
            <w:tcBorders>
              <w:top w:val="single" w:sz="8" w:color="auto"/>
            </w:tcBorders>
          </w:tcPr>
          <w:p>
            <w:pPr>
              <w:spacing w:after="0"/>
              <w:rPr>
                <w:sz w:val="18"/>
                <w:szCs w:val="18"/>
                <w:color w:val="auto"/>
              </w:rPr>
            </w:pPr>
          </w:p>
        </w:tc>
        <w:tc>
          <w:tcPr>
            <w:tcW w:w="2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Actual</w:t>
            </w:r>
          </w:p>
        </w:tc>
        <w:tc>
          <w:tcPr>
            <w:tcW w:w="122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16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50"/>
        </w:trPr>
        <w:tc>
          <w:tcPr>
            <w:tcW w:w="1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r>
      <w:tr>
        <w:trPr>
          <w:trHeight w:val="237"/>
        </w:trPr>
        <w:tc>
          <w:tcPr>
            <w:tcW w:w="55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Maintain as indicated:</w:t>
            </w:r>
          </w:p>
        </w:tc>
        <w:tc>
          <w:tcPr>
            <w:tcW w:w="7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
        </w:trPr>
        <w:tc>
          <w:tcPr>
            <w:tcW w:w="2000" w:type="dxa"/>
            <w:vAlign w:val="bottom"/>
            <w:tcBorders>
              <w:left w:val="single" w:sz="8" w:color="auto"/>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55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Minimum Liquidity Ratio (at all times, tested quarterly)</w:t>
            </w:r>
          </w:p>
        </w:tc>
        <w:tc>
          <w:tcPr>
            <w:tcW w:w="720" w:type="dxa"/>
            <w:vAlign w:val="bottom"/>
          </w:tcPr>
          <w:p>
            <w:pPr>
              <w:spacing w:after="0"/>
              <w:rPr>
                <w:sz w:val="20"/>
                <w:szCs w:val="20"/>
                <w:color w:val="auto"/>
              </w:rPr>
            </w:pPr>
            <w:r>
              <w:rPr>
                <w:rFonts w:ascii="Arial" w:cs="Arial" w:eastAsia="Arial" w:hAnsi="Arial"/>
                <w:sz w:val="18"/>
                <w:szCs w:val="18"/>
                <w:color w:val="auto"/>
                <w:w w:val="93"/>
              </w:rPr>
              <w:t>1.25:1.00</w:t>
            </w:r>
          </w:p>
        </w:tc>
        <w:tc>
          <w:tcPr>
            <w:tcW w:w="154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_____:1.00</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000" w:type="dxa"/>
            <w:vAlign w:val="bottom"/>
            <w:tcBorders>
              <w:left w:val="single" w:sz="8" w:color="auto"/>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50"/>
        </w:trPr>
        <w:tc>
          <w:tcPr>
            <w:tcW w:w="1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r>
      <w:tr>
        <w:trPr>
          <w:trHeight w:val="237"/>
        </w:trPr>
        <w:tc>
          <w:tcPr>
            <w:tcW w:w="550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Maximum Cash Burn (tested quarterly):</w:t>
            </w:r>
          </w:p>
        </w:tc>
        <w:tc>
          <w:tcPr>
            <w:tcW w:w="7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7"/>
        </w:trPr>
        <w:tc>
          <w:tcPr>
            <w:tcW w:w="16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3</w:t>
            </w:r>
          </w:p>
        </w:tc>
        <w:tc>
          <w:tcPr>
            <w:tcW w:w="5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Months Ended September 30, 2020</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($22,508,000)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16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6</w:t>
            </w:r>
          </w:p>
        </w:tc>
        <w:tc>
          <w:tcPr>
            <w:tcW w:w="5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Months Ending December 31, 2020</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($29,305,000)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16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1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9</w:t>
            </w:r>
          </w:p>
        </w:tc>
        <w:tc>
          <w:tcPr>
            <w:tcW w:w="5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Months Ending March 31, 2021</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($36,124,000)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40" w:type="dxa"/>
            <w:vAlign w:val="bottom"/>
            <w:tcBorders>
              <w:left w:val="single" w:sz="8" w:color="auto"/>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2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12</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Months Ending June 30, 2021</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($39,196,000)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40" w:type="dxa"/>
            <w:vAlign w:val="bottom"/>
            <w:tcBorders>
              <w:left w:val="single" w:sz="8" w:color="auto"/>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2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12</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Months Ending September 30, 2021</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($19,188,000)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40" w:type="dxa"/>
            <w:vAlign w:val="bottom"/>
            <w:tcBorders>
              <w:left w:val="single" w:sz="8" w:color="auto"/>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2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12</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Months Ending December 31, 2021</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($13,641,000)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40" w:type="dxa"/>
            <w:vAlign w:val="bottom"/>
            <w:tcBorders>
              <w:left w:val="single" w:sz="8" w:color="auto"/>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7"/>
        </w:trPr>
        <w:tc>
          <w:tcPr>
            <w:tcW w:w="2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12</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Months Ending March 31, 2022</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($6,822,000)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240" w:type="dxa"/>
            <w:vAlign w:val="bottom"/>
            <w:tcBorders>
              <w:left w:val="single" w:sz="8" w:color="auto"/>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36"/>
        </w:trPr>
        <w:tc>
          <w:tcPr>
            <w:tcW w:w="2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89"/>
              </w:rPr>
              <w:t>12</w:t>
            </w:r>
          </w:p>
        </w:tc>
        <w:tc>
          <w:tcPr>
            <w:tcW w:w="52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Months Ending June 30, 2022</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($3,750,000)</w:t>
            </w:r>
          </w:p>
        </w:tc>
        <w:tc>
          <w:tcPr>
            <w:tcW w:w="2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Yes No</w:t>
            </w:r>
          </w:p>
        </w:tc>
      </w:tr>
      <w:tr>
        <w:trPr>
          <w:trHeight w:val="27"/>
        </w:trPr>
        <w:tc>
          <w:tcPr>
            <w:tcW w:w="1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bl>
    <w:p>
      <w:pPr>
        <w:spacing w:after="0" w:line="35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financial covenant analyses and information set forth in Schedule 1 attached hereto are true and accurate as of the date of this Compliance Statement.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233773760 v5</w:t>
      </w:r>
    </w:p>
    <w:p>
      <w:pPr>
        <w:sectPr>
          <w:pgSz w:w="11900" w:h="16838" w:orient="portrait"/>
          <w:cols w:equalWidth="0" w:num="1">
            <w:col w:w="11240"/>
          </w:cols>
          <w:pgMar w:left="320" w:top="1417"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center"/>
        <w:ind w:right="-39"/>
        <w:spacing w:after="0"/>
        <w:rPr>
          <w:sz w:val="20"/>
          <w:szCs w:val="20"/>
          <w:color w:val="auto"/>
        </w:rPr>
      </w:pPr>
      <w:r>
        <w:rPr>
          <w:rFonts w:ascii="Arial" w:cs="Arial" w:eastAsia="Arial" w:hAnsi="Arial"/>
          <w:sz w:val="18"/>
          <w:szCs w:val="18"/>
          <w:b w:val="1"/>
          <w:bCs w:val="1"/>
          <w:u w:val="single" w:color="auto"/>
          <w:color w:val="auto"/>
        </w:rPr>
        <w:t>Schedule 1 to Compliance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20"/>
          </w:cols>
          <w:pgMar w:left="320" w:top="1421" w:right="359" w:bottom="1440" w:gutter="0" w:footer="0" w:header="0"/>
        </w:sectPr>
      </w:pPr>
    </w:p>
    <w:bookmarkStart w:id="99" w:name="page100"/>
    <w:bookmarkEnd w:id="99"/>
    <w:p>
      <w:pPr>
        <w:spacing w:after="0" w:line="2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Financial Covenants of Borrower</w:t>
      </w:r>
    </w:p>
    <w:p>
      <w:pPr>
        <w:spacing w:after="0" w:line="256" w:lineRule="exact"/>
        <w:rPr>
          <w:sz w:val="20"/>
          <w:szCs w:val="20"/>
          <w:color w:val="auto"/>
        </w:rPr>
      </w:pPr>
    </w:p>
    <w:p>
      <w:pPr>
        <w:ind w:right="1200" w:firstLine="648"/>
        <w:spacing w:after="0" w:line="529" w:lineRule="auto"/>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 Dated: ____________________</w:t>
      </w:r>
    </w:p>
    <w:p>
      <w:pPr>
        <w:spacing w:after="0" w:line="2" w:lineRule="exact"/>
        <w:rPr>
          <w:sz w:val="20"/>
          <w:szCs w:val="20"/>
          <w:color w:val="auto"/>
        </w:rPr>
      </w:pPr>
    </w:p>
    <w:p>
      <w:pPr>
        <w:ind w:right="7080" w:firstLine="8"/>
        <w:spacing w:after="0" w:line="534" w:lineRule="auto"/>
        <w:tabs>
          <w:tab w:leader="none" w:pos="28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Minimum Liquidity Ratio </w:t>
      </w:r>
      <w:r>
        <w:rPr>
          <w:rFonts w:ascii="Arial" w:cs="Arial" w:eastAsia="Arial" w:hAnsi="Arial"/>
          <w:sz w:val="18"/>
          <w:szCs w:val="18"/>
          <w:color w:val="auto"/>
        </w:rPr>
        <w:t>(Section 6.9(a))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1.25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63" w:lineRule="exact"/>
        <w:rPr>
          <w:sz w:val="20"/>
          <w:szCs w:val="20"/>
          <w:color w:val="auto"/>
        </w:rPr>
      </w:pPr>
    </w:p>
    <w:p>
      <w:pPr>
        <w:ind w:left="700" w:hanging="67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Aggregate value of the unrestricted and unencumbered cash and Cash Equivalents of Borrower maintained with Bank</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60" w:type="dxa"/>
            <w:vAlign w:val="bottom"/>
          </w:tcPr>
          <w:p>
            <w:pPr>
              <w:ind w:left="258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493"/>
        </w:trPr>
        <w:tc>
          <w:tcPr>
            <w:tcW w:w="3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6880" w:type="dxa"/>
            <w:vAlign w:val="bottom"/>
            <w:gridSpan w:val="3"/>
          </w:tcPr>
          <w:p>
            <w:pPr>
              <w:ind w:left="340"/>
              <w:spacing w:after="0"/>
              <w:rPr>
                <w:sz w:val="20"/>
                <w:szCs w:val="20"/>
                <w:color w:val="auto"/>
              </w:rPr>
            </w:pPr>
            <w:r>
              <w:rPr>
                <w:rFonts w:ascii="Arial" w:cs="Arial" w:eastAsia="Arial" w:hAnsi="Arial"/>
                <w:sz w:val="18"/>
                <w:szCs w:val="18"/>
                <w:color w:val="auto"/>
              </w:rPr>
              <w:t>Aggregate value of Borrower’s accounts receivable</w:t>
            </w:r>
          </w:p>
        </w:tc>
        <w:tc>
          <w:tcPr>
            <w:tcW w:w="2660" w:type="dxa"/>
            <w:vAlign w:val="bottom"/>
          </w:tcPr>
          <w:p>
            <w:pPr>
              <w:ind w:left="258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493"/>
        </w:trPr>
        <w:tc>
          <w:tcPr>
            <w:tcW w:w="360" w:type="dxa"/>
            <w:vAlign w:val="bottom"/>
            <w:gridSpan w:val="2"/>
          </w:tcPr>
          <w:p>
            <w:pPr>
              <w:ind w:left="20"/>
              <w:spacing w:after="0"/>
              <w:rPr>
                <w:sz w:val="20"/>
                <w:szCs w:val="20"/>
                <w:color w:val="auto"/>
              </w:rPr>
            </w:pPr>
            <w:r>
              <w:rPr>
                <w:rFonts w:ascii="Arial" w:cs="Arial" w:eastAsia="Arial" w:hAnsi="Arial"/>
                <w:sz w:val="18"/>
                <w:szCs w:val="18"/>
                <w:color w:val="auto"/>
              </w:rPr>
              <w:t>C.</w:t>
            </w:r>
          </w:p>
        </w:tc>
        <w:tc>
          <w:tcPr>
            <w:tcW w:w="2600" w:type="dxa"/>
            <w:vAlign w:val="bottom"/>
          </w:tcPr>
          <w:p>
            <w:pPr>
              <w:ind w:left="340"/>
              <w:spacing w:after="0"/>
              <w:rPr>
                <w:sz w:val="20"/>
                <w:szCs w:val="20"/>
                <w:color w:val="auto"/>
              </w:rPr>
            </w:pPr>
            <w:r>
              <w:rPr>
                <w:rFonts w:ascii="Arial" w:cs="Arial" w:eastAsia="Arial" w:hAnsi="Arial"/>
                <w:sz w:val="18"/>
                <w:szCs w:val="18"/>
                <w:color w:val="auto"/>
              </w:rPr>
              <w:t>Publisher Payables</w:t>
            </w: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60" w:type="dxa"/>
            <w:vAlign w:val="bottom"/>
          </w:tcPr>
          <w:p>
            <w:pPr>
              <w:ind w:left="258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493"/>
        </w:trPr>
        <w:tc>
          <w:tcPr>
            <w:tcW w:w="36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6880" w:type="dxa"/>
            <w:vAlign w:val="bottom"/>
            <w:gridSpan w:val="3"/>
          </w:tcPr>
          <w:p>
            <w:pPr>
              <w:ind w:left="340"/>
              <w:spacing w:after="0"/>
              <w:rPr>
                <w:sz w:val="20"/>
                <w:szCs w:val="20"/>
                <w:color w:val="auto"/>
              </w:rPr>
            </w:pPr>
            <w:r>
              <w:rPr>
                <w:rFonts w:ascii="Arial" w:cs="Arial" w:eastAsia="Arial" w:hAnsi="Arial"/>
                <w:sz w:val="18"/>
                <w:szCs w:val="18"/>
                <w:color w:val="auto"/>
              </w:rPr>
              <w:t>Liquidity (the sum of line A, plus line B, minus line C)</w:t>
            </w:r>
          </w:p>
        </w:tc>
        <w:tc>
          <w:tcPr>
            <w:tcW w:w="2660" w:type="dxa"/>
            <w:vAlign w:val="bottom"/>
          </w:tcPr>
          <w:p>
            <w:pPr>
              <w:ind w:left="258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493"/>
        </w:trPr>
        <w:tc>
          <w:tcPr>
            <w:tcW w:w="36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6880" w:type="dxa"/>
            <w:vAlign w:val="bottom"/>
            <w:gridSpan w:val="3"/>
          </w:tcPr>
          <w:p>
            <w:pPr>
              <w:ind w:left="340"/>
              <w:spacing w:after="0"/>
              <w:rPr>
                <w:sz w:val="20"/>
                <w:szCs w:val="20"/>
                <w:color w:val="auto"/>
              </w:rPr>
            </w:pPr>
            <w:r>
              <w:rPr>
                <w:rFonts w:ascii="Arial" w:cs="Arial" w:eastAsia="Arial" w:hAnsi="Arial"/>
                <w:sz w:val="18"/>
                <w:szCs w:val="18"/>
                <w:color w:val="auto"/>
              </w:rPr>
              <w:t>Aggregate value of Obligations to Bank</w:t>
            </w:r>
          </w:p>
        </w:tc>
        <w:tc>
          <w:tcPr>
            <w:tcW w:w="2660" w:type="dxa"/>
            <w:vAlign w:val="bottom"/>
          </w:tcPr>
          <w:p>
            <w:pPr>
              <w:ind w:left="258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534"/>
        </w:trPr>
        <w:tc>
          <w:tcPr>
            <w:tcW w:w="360" w:type="dxa"/>
            <w:vAlign w:val="bottom"/>
            <w:gridSpan w:val="2"/>
          </w:tcPr>
          <w:p>
            <w:pPr>
              <w:ind w:left="20"/>
              <w:spacing w:after="0"/>
              <w:rPr>
                <w:sz w:val="20"/>
                <w:szCs w:val="20"/>
                <w:color w:val="auto"/>
              </w:rPr>
            </w:pPr>
            <w:r>
              <w:rPr>
                <w:rFonts w:ascii="Arial" w:cs="Arial" w:eastAsia="Arial" w:hAnsi="Arial"/>
                <w:sz w:val="18"/>
                <w:szCs w:val="18"/>
                <w:color w:val="auto"/>
              </w:rPr>
              <w:t>F.</w:t>
            </w:r>
          </w:p>
        </w:tc>
        <w:tc>
          <w:tcPr>
            <w:tcW w:w="6880" w:type="dxa"/>
            <w:vAlign w:val="bottom"/>
            <w:gridSpan w:val="3"/>
          </w:tcPr>
          <w:p>
            <w:pPr>
              <w:ind w:left="340"/>
              <w:spacing w:after="0"/>
              <w:rPr>
                <w:sz w:val="20"/>
                <w:szCs w:val="20"/>
                <w:color w:val="auto"/>
              </w:rPr>
            </w:pPr>
            <w:r>
              <w:rPr>
                <w:rFonts w:ascii="Arial" w:cs="Arial" w:eastAsia="Arial" w:hAnsi="Arial"/>
                <w:sz w:val="18"/>
                <w:szCs w:val="18"/>
                <w:color w:val="auto"/>
              </w:rPr>
              <w:t>Liquidity Ratio (line D divided by line E)</w:t>
            </w:r>
          </w:p>
        </w:tc>
        <w:tc>
          <w:tcPr>
            <w:tcW w:w="3300" w:type="dxa"/>
            <w:vAlign w:val="bottom"/>
            <w:gridSpan w:val="3"/>
          </w:tcPr>
          <w:p>
            <w:pPr>
              <w:ind w:left="2580"/>
              <w:spacing w:after="0"/>
              <w:rPr>
                <w:sz w:val="20"/>
                <w:szCs w:val="20"/>
                <w:color w:val="auto"/>
              </w:rPr>
            </w:pPr>
            <w:r>
              <w:rPr>
                <w:rFonts w:ascii="Arial" w:cs="Arial" w:eastAsia="Arial" w:hAnsi="Arial"/>
                <w:sz w:val="18"/>
                <w:szCs w:val="18"/>
                <w:color w:val="auto"/>
                <w:w w:val="87"/>
              </w:rPr>
              <w:t>____:1.00</w:t>
            </w:r>
          </w:p>
        </w:tc>
      </w:tr>
      <w:tr>
        <w:trPr>
          <w:trHeight w:val="837"/>
        </w:trPr>
        <w:tc>
          <w:tcPr>
            <w:tcW w:w="7240" w:type="dxa"/>
            <w:vAlign w:val="bottom"/>
            <w:gridSpan w:val="5"/>
          </w:tcPr>
          <w:p>
            <w:pPr>
              <w:spacing w:after="0"/>
              <w:rPr>
                <w:sz w:val="20"/>
                <w:szCs w:val="20"/>
                <w:color w:val="auto"/>
              </w:rPr>
            </w:pPr>
            <w:r>
              <w:rPr>
                <w:rFonts w:ascii="Arial" w:cs="Arial" w:eastAsia="Arial" w:hAnsi="Arial"/>
                <w:sz w:val="18"/>
                <w:szCs w:val="18"/>
                <w:color w:val="auto"/>
              </w:rPr>
              <w:t>Is line F equal to or greater than 1.25 to 1.00?</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8"/>
                <w:szCs w:val="18"/>
                <w:color w:val="auto"/>
              </w:rPr>
              <w:t>No, not in compliance</w:t>
            </w:r>
          </w:p>
        </w:tc>
        <w:tc>
          <w:tcPr>
            <w:tcW w:w="180" w:type="dxa"/>
            <w:vAlign w:val="bottom"/>
            <w:tcBorders>
              <w:bottom w:val="single" w:sz="8" w:color="auto"/>
            </w:tcBorders>
          </w:tcPr>
          <w:p>
            <w:pPr>
              <w:spacing w:after="0"/>
              <w:rPr>
                <w:sz w:val="24"/>
                <w:szCs w:val="24"/>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Yes, in compliance</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320" w:firstLine="8"/>
        <w:spacing w:after="0" w:line="417" w:lineRule="auto"/>
        <w:tabs>
          <w:tab w:leader="none" w:pos="34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Maximum Cash Burn </w:t>
      </w:r>
      <w:r>
        <w:rPr>
          <w:rFonts w:ascii="Arial" w:cs="Arial" w:eastAsia="Arial" w:hAnsi="Arial"/>
          <w:sz w:val="18"/>
          <w:szCs w:val="18"/>
          <w:color w:val="auto"/>
        </w:rPr>
        <w:t>(Section 6.9(b))</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w:t>
      </w:r>
    </w:p>
    <w:tbl>
      <w:tblPr>
        <w:tblLayout w:type="fixed"/>
        <w:tblInd w:w="10" w:type="dxa"/>
        <w:tblCellMar>
          <w:top w:w="0" w:type="dxa"/>
          <w:left w:w="0" w:type="dxa"/>
          <w:bottom w:w="0" w:type="dxa"/>
          <w:right w:w="0" w:type="dxa"/>
        </w:tblCellMar>
      </w:tblPr>
      <w:tr>
        <w:trPr>
          <w:trHeight w:val="238"/>
        </w:trPr>
        <w:tc>
          <w:tcPr>
            <w:tcW w:w="444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Measuring Period</w:t>
            </w:r>
          </w:p>
        </w:tc>
        <w:tc>
          <w:tcPr>
            <w:tcW w:w="372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Maximum Cash Burn</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Three months ended September 30, 2020</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($22,508,000)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Six months ending December 31, 2020</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($29,305,000)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Nine months ending March 31, 2021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($36,124,000)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6"/>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Twelve months ending June 30, 2021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($39,196,000)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6"/>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Twelve months ending September 30, 2021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($19,188,000)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6"/>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Twelve months ending December 31, 2021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($13,641,000)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6"/>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Twelve months ending March 31, 2022</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($6,822,000)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6"/>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Twelve months ending June 30, 2022</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($3,750,000)</w:t>
            </w: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ectPr>
          <w:pgSz w:w="11900" w:h="16838" w:orient="portrait"/>
          <w:cols w:equalWidth="0" w:num="1">
            <w:col w:w="10540"/>
          </w:cols>
          <w:pgMar w:left="320" w:top="1440" w:right="1039" w:bottom="1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233773760 v5</w:t>
      </w:r>
    </w:p>
    <w:p>
      <w:pPr>
        <w:sectPr>
          <w:pgSz w:w="11900" w:h="16838" w:orient="portrait"/>
          <w:cols w:equalWidth="0" w:num="1">
            <w:col w:w="10540"/>
          </w:cols>
          <w:pgMar w:left="320" w:top="1440" w:right="1039" w:bottom="1128" w:gutter="0" w:footer="0" w:header="0"/>
          <w:type w:val="continuous"/>
        </w:sectPr>
      </w:pPr>
    </w:p>
    <w:bookmarkStart w:id="100" w:name="page101"/>
    <w:bookmarkEnd w:id="100"/>
    <w:p>
      <w:pPr>
        <w:spacing w:after="0" w:line="36" w:lineRule="exact"/>
        <w:rPr>
          <w:sz w:val="20"/>
          <w:szCs w:val="20"/>
          <w:color w:val="auto"/>
        </w:rPr>
      </w:pPr>
    </w:p>
    <w:p>
      <w:pPr>
        <w:ind w:left="20"/>
        <w:spacing w:after="0"/>
        <w:tabs>
          <w:tab w:leader="none" w:pos="680" w:val="left"/>
          <w:tab w:leader="none" w:pos="9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Net Income for the applicable measuring period</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-10160</wp:posOffset>
            </wp:positionV>
            <wp:extent cx="114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86" w:lineRule="exact"/>
        <w:rPr>
          <w:sz w:val="20"/>
          <w:szCs w:val="20"/>
          <w:color w:val="auto"/>
        </w:rPr>
      </w:pPr>
    </w:p>
    <w:p>
      <w:pPr>
        <w:ind w:left="700" w:hanging="674"/>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included in the determination of Net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1.</w:t>
            </w:r>
          </w:p>
        </w:tc>
        <w:tc>
          <w:tcPr>
            <w:tcW w:w="2580" w:type="dxa"/>
            <w:vAlign w:val="bottom"/>
          </w:tcPr>
          <w:p>
            <w:pPr>
              <w:ind w:left="180"/>
              <w:spacing w:after="0"/>
              <w:rPr>
                <w:sz w:val="20"/>
                <w:szCs w:val="20"/>
                <w:color w:val="auto"/>
              </w:rPr>
            </w:pPr>
            <w:r>
              <w:rPr>
                <w:rFonts w:ascii="Arial" w:cs="Arial" w:eastAsia="Arial" w:hAnsi="Arial"/>
                <w:sz w:val="18"/>
                <w:szCs w:val="18"/>
                <w:color w:val="auto"/>
                <w:w w:val="97"/>
              </w:rPr>
              <w:t>The provision for income taxes</w:t>
            </w:r>
          </w:p>
        </w:tc>
        <w:tc>
          <w:tcPr>
            <w:tcW w:w="1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2.</w:t>
            </w:r>
          </w:p>
        </w:tc>
        <w:tc>
          <w:tcPr>
            <w:tcW w:w="25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3.</w:t>
            </w:r>
          </w:p>
        </w:tc>
        <w:tc>
          <w:tcPr>
            <w:tcW w:w="258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2580" w:type="dxa"/>
            <w:vAlign w:val="bottom"/>
          </w:tcPr>
          <w:p>
            <w:pPr>
              <w:ind w:left="18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25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6.</w:t>
            </w:r>
          </w:p>
        </w:tc>
        <w:tc>
          <w:tcPr>
            <w:tcW w:w="2580" w:type="dxa"/>
            <w:vAlign w:val="bottom"/>
          </w:tcPr>
          <w:p>
            <w:pPr>
              <w:ind w:left="180"/>
              <w:spacing w:after="0"/>
              <w:rPr>
                <w:sz w:val="20"/>
                <w:szCs w:val="20"/>
                <w:color w:val="auto"/>
              </w:rPr>
            </w:pPr>
            <w:r>
              <w:rPr>
                <w:rFonts w:ascii="Arial" w:cs="Arial" w:eastAsia="Arial" w:hAnsi="Arial"/>
                <w:sz w:val="18"/>
                <w:szCs w:val="18"/>
                <w:color w:val="auto"/>
                <w:w w:val="98"/>
              </w:rPr>
              <w:t>Non-cash stock compensation</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7260" w:type="dxa"/>
            <w:vAlign w:val="bottom"/>
            <w:gridSpan w:val="3"/>
          </w:tcPr>
          <w:p>
            <w:pPr>
              <w:ind w:left="180"/>
              <w:spacing w:after="0"/>
              <w:rPr>
                <w:sz w:val="20"/>
                <w:szCs w:val="20"/>
                <w:color w:val="auto"/>
              </w:rPr>
            </w:pPr>
            <w:r>
              <w:rPr>
                <w:rFonts w:ascii="Arial" w:cs="Arial" w:eastAsia="Arial" w:hAnsi="Arial"/>
                <w:sz w:val="18"/>
                <w:szCs w:val="18"/>
                <w:color w:val="auto"/>
              </w:rPr>
              <w:t>Other non-cash expenses (less any non-cash gains)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8.</w:t>
            </w:r>
          </w:p>
        </w:tc>
        <w:tc>
          <w:tcPr>
            <w:tcW w:w="7260" w:type="dxa"/>
            <w:vAlign w:val="bottom"/>
            <w:gridSpan w:val="3"/>
          </w:tcPr>
          <w:p>
            <w:pPr>
              <w:ind w:left="180"/>
              <w:spacing w:after="0"/>
              <w:rPr>
                <w:sz w:val="20"/>
                <w:szCs w:val="20"/>
                <w:color w:val="auto"/>
              </w:rPr>
            </w:pPr>
            <w:r>
              <w:rPr>
                <w:rFonts w:ascii="Arial" w:cs="Arial" w:eastAsia="Arial" w:hAnsi="Arial"/>
                <w:sz w:val="18"/>
                <w:szCs w:val="18"/>
                <w:color w:val="auto"/>
              </w:rPr>
              <w:t>Other non-recurring expenses approved in writing by Bank</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9.</w:t>
            </w:r>
          </w:p>
        </w:tc>
        <w:tc>
          <w:tcPr>
            <w:tcW w:w="2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spacing w:after="0"/>
              <w:rPr>
                <w:sz w:val="24"/>
                <w:szCs w:val="24"/>
                <w:color w:val="auto"/>
              </w:rPr>
            </w:pPr>
          </w:p>
        </w:tc>
        <w:tc>
          <w:tcPr>
            <w:tcW w:w="7440" w:type="dxa"/>
            <w:vAlign w:val="bottom"/>
            <w:gridSpan w:val="4"/>
          </w:tcPr>
          <w:p>
            <w:pPr>
              <w:ind w:left="40"/>
              <w:spacing w:after="0"/>
              <w:rPr>
                <w:sz w:val="20"/>
                <w:szCs w:val="20"/>
                <w:color w:val="auto"/>
              </w:rPr>
            </w:pPr>
            <w:r>
              <w:rPr>
                <w:rFonts w:ascii="Arial" w:cs="Arial" w:eastAsia="Arial" w:hAnsi="Arial"/>
                <w:sz w:val="18"/>
                <w:szCs w:val="18"/>
                <w:color w:val="auto"/>
              </w:rPr>
              <w:t>10.  The sum of lines 1 through 8, minus line 9</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ind w:left="20"/>
              <w:spacing w:after="0"/>
              <w:rPr>
                <w:sz w:val="20"/>
                <w:szCs w:val="20"/>
                <w:color w:val="auto"/>
              </w:rPr>
            </w:pPr>
            <w:r>
              <w:rPr>
                <w:rFonts w:ascii="Arial" w:cs="Arial" w:eastAsia="Arial" w:hAnsi="Arial"/>
                <w:sz w:val="18"/>
                <w:szCs w:val="18"/>
                <w:color w:val="auto"/>
              </w:rPr>
              <w:t>C.</w:t>
            </w:r>
          </w:p>
        </w:tc>
        <w:tc>
          <w:tcPr>
            <w:tcW w:w="7440" w:type="dxa"/>
            <w:vAlign w:val="bottom"/>
            <w:gridSpan w:val="4"/>
          </w:tcPr>
          <w:p>
            <w:pPr>
              <w:ind w:left="40"/>
              <w:spacing w:after="0"/>
              <w:rPr>
                <w:sz w:val="20"/>
                <w:szCs w:val="20"/>
                <w:color w:val="auto"/>
              </w:rPr>
            </w:pPr>
            <w:r>
              <w:rPr>
                <w:rFonts w:ascii="Arial" w:cs="Arial" w:eastAsia="Arial" w:hAnsi="Arial"/>
                <w:sz w:val="18"/>
                <w:szCs w:val="18"/>
                <w:color w:val="auto"/>
              </w:rPr>
              <w:t>Adjusted EBITDA (line A plus line B.10)</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ind w:left="20"/>
              <w:spacing w:after="0"/>
              <w:rPr>
                <w:sz w:val="20"/>
                <w:szCs w:val="20"/>
                <w:color w:val="auto"/>
              </w:rPr>
            </w:pPr>
            <w:r>
              <w:rPr>
                <w:rFonts w:ascii="Arial" w:cs="Arial" w:eastAsia="Arial" w:hAnsi="Arial"/>
                <w:sz w:val="18"/>
                <w:szCs w:val="18"/>
                <w:color w:val="auto"/>
              </w:rPr>
              <w:t>D.</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Capitalized Expenditures</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r>
      <w:tr>
        <w:trPr>
          <w:trHeight w:val="493"/>
        </w:trPr>
        <w:tc>
          <w:tcPr>
            <w:tcW w:w="660" w:type="dxa"/>
            <w:vAlign w:val="bottom"/>
          </w:tcPr>
          <w:p>
            <w:pPr>
              <w:ind w:left="20"/>
              <w:spacing w:after="0"/>
              <w:rPr>
                <w:sz w:val="20"/>
                <w:szCs w:val="20"/>
                <w:color w:val="auto"/>
              </w:rPr>
            </w:pPr>
            <w:r>
              <w:rPr>
                <w:rFonts w:ascii="Arial" w:cs="Arial" w:eastAsia="Arial" w:hAnsi="Arial"/>
                <w:sz w:val="18"/>
                <w:szCs w:val="18"/>
                <w:color w:val="auto"/>
              </w:rPr>
              <w:t>E.</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Cash Burn (line C minus line D)</w:t>
            </w:r>
          </w:p>
        </w:tc>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r>
      <w:tr>
        <w:trPr>
          <w:trHeight w:val="858"/>
        </w:trPr>
        <w:tc>
          <w:tcPr>
            <w:tcW w:w="8100" w:type="dxa"/>
            <w:vAlign w:val="bottom"/>
            <w:gridSpan w:val="5"/>
          </w:tcPr>
          <w:p>
            <w:pPr>
              <w:spacing w:after="0"/>
              <w:rPr>
                <w:sz w:val="20"/>
                <w:szCs w:val="20"/>
                <w:color w:val="auto"/>
              </w:rPr>
            </w:pPr>
            <w:r>
              <w:rPr>
                <w:rFonts w:ascii="Arial" w:cs="Arial" w:eastAsia="Arial" w:hAnsi="Arial"/>
                <w:sz w:val="18"/>
                <w:szCs w:val="18"/>
                <w:color w:val="auto"/>
              </w:rPr>
              <w:t>Is line E equal to or less than the required amount set forth above (on an absolute basis)?</w:t>
            </w:r>
          </w:p>
        </w:tc>
        <w:tc>
          <w:tcPr>
            <w:tcW w:w="18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No, not in compliance</w:t>
            </w:r>
          </w:p>
        </w:tc>
        <w:tc>
          <w:tcPr>
            <w:tcW w:w="180" w:type="dxa"/>
            <w:vAlign w:val="bottom"/>
            <w:tcBorders>
              <w:bottom w:val="single" w:sz="8" w:color="auto"/>
            </w:tcBorders>
          </w:tcPr>
          <w:p>
            <w:pPr>
              <w:spacing w:after="0"/>
              <w:rPr>
                <w:sz w:val="24"/>
                <w:szCs w:val="24"/>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Yes, in compliance</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0139"/>
          </w:cols>
          <w:pgMar w:left="320" w:top="1440"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NOTICE OF BORROWING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MAGNITE, INC., ET AL.</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Date: ______________</w:t>
      </w:r>
    </w:p>
    <w:p>
      <w:pPr>
        <w:spacing w:after="0" w:line="2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IMX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imxproduction@svb.com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vregan@svb.com</w:t>
      </w:r>
    </w:p>
    <w:p>
      <w:pPr>
        <w:spacing w:after="0" w:line="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 Second Amended and Restated Loan and Security Agreement dated as of September [__], 2020 (as amended, modified, supplemented or restated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 by and among Magnite, Inc. and certain of its subsidiaries (individually and collectively, jointly and severally, “</w:t>
      </w:r>
      <w:r>
        <w:rPr>
          <w:rFonts w:ascii="Arial" w:cs="Arial" w:eastAsia="Arial" w:hAnsi="Arial"/>
          <w:sz w:val="18"/>
          <w:szCs w:val="18"/>
          <w:i w:val="1"/>
          <w:iCs w:val="1"/>
          <w:color w:val="auto"/>
        </w:rPr>
        <w:t>Borrower</w:t>
      </w:r>
      <w:r>
        <w:rPr>
          <w:rFonts w:ascii="Arial" w:cs="Arial" w:eastAsia="Arial" w:hAnsi="Arial"/>
          <w:sz w:val="18"/>
          <w:szCs w:val="18"/>
          <w:color w:val="auto"/>
        </w:rPr>
        <w:t>”), and Silicon Valley Bank (the “</w:t>
      </w:r>
      <w:r>
        <w:rPr>
          <w:rFonts w:ascii="Arial" w:cs="Arial" w:eastAsia="Arial" w:hAnsi="Arial"/>
          <w:sz w:val="18"/>
          <w:szCs w:val="18"/>
          <w:i w:val="1"/>
          <w:iCs w:val="1"/>
          <w:color w:val="auto"/>
        </w:rPr>
        <w:t>Bank</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refers to the Loan Agreement, the terms defined therein and used herein as so defined, and hereby gives you notice irrevocably, pursuant to Section 3.4(a) of the Loan Agreement, of the borrowing of an Advance.</w:t>
      </w:r>
    </w:p>
    <w:p>
      <w:pPr>
        <w:spacing w:after="0" w:line="62"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Funding Date, which shall be a Business Day, of the requested borrowing is _______________.</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Currency of the requested borrowing is U.S. Dollars.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aggregate amount of the requested Advance is $_____________.</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requested Advance shall consist of $___________ of Prime Rate Advances and $______ of LIBOR Advances.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The duration of the Interest Period for the LIBOR Advances included in the requested Advance shall be __________ months.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Advance before and after giving effect thereto, and to the application of the proceeds therefrom, as applicable:</w:t>
      </w:r>
    </w:p>
    <w:p>
      <w:pPr>
        <w:spacing w:after="0" w:line="170" w:lineRule="exact"/>
        <w:rPr>
          <w:sz w:val="20"/>
          <w:szCs w:val="20"/>
          <w:color w:val="auto"/>
        </w:rPr>
      </w:pPr>
    </w:p>
    <w:p>
      <w:pPr>
        <w:jc w:val="both"/>
        <w:ind w:left="660" w:firstLine="644"/>
        <w:spacing w:after="0" w:line="279" w:lineRule="auto"/>
        <w:tabs>
          <w:tab w:leader="none" w:pos="1764"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representations and warranties of Borrower contained in the Loan Agreement are true, accurate and complete in all material respects as of the date hereof;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left="1700" w:hanging="396"/>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such proposed Advance; and</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requested Advance will not cause the aggregate principal amount of the outstanding Advances to exceed, as of the designated Funding Date, the Availability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17"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233773760 v5</w:t>
      </w:r>
    </w:p>
    <w:p>
      <w:pPr>
        <w:sectPr>
          <w:pgSz w:w="11900" w:h="16838" w:orient="portrait"/>
          <w:cols w:equalWidth="0" w:num="1">
            <w:col w:w="10139"/>
          </w:cols>
          <w:pgMar w:left="320" w:top="1440" w:right="1440" w:bottom="1440" w:gutter="0" w:footer="0" w:header="0"/>
        </w:sectPr>
      </w:pPr>
    </w:p>
    <w:bookmarkStart w:id="103" w:name="page104"/>
    <w:bookmarkEnd w:id="103"/>
    <w:p>
      <w:pPr>
        <w:spacing w:after="0" w:line="8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6"/>
          <w:szCs w:val="16"/>
          <w:b w:val="1"/>
          <w:bCs w:val="1"/>
          <w:color w:val="auto"/>
        </w:rPr>
        <w:t>Magnite, Inc.</w:t>
      </w:r>
      <w:r>
        <w:rPr>
          <w:rFonts w:ascii="Arial" w:cs="Arial" w:eastAsia="Arial" w:hAnsi="Arial"/>
          <w:sz w:val="16"/>
          <w:szCs w:val="16"/>
          <w:color w:val="auto"/>
        </w:rPr>
        <w:t>, on behalf of itself and all Borrowers</w:t>
      </w:r>
    </w:p>
    <w:p>
      <w:pPr>
        <w:spacing w:after="0" w:line="12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-10160</wp:posOffset>
            </wp:positionV>
            <wp:extent cx="6858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-10160</wp:posOffset>
            </wp:positionV>
            <wp:extent cx="685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-10160</wp:posOffset>
            </wp:positionV>
            <wp:extent cx="685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internal Bank use only</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 Pricing Date</w:t>
            </w:r>
          </w:p>
        </w:tc>
        <w:tc>
          <w:tcPr>
            <w:tcW w:w="2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LIBOR</w:t>
            </w:r>
          </w:p>
        </w:tc>
        <w:tc>
          <w:tcPr>
            <w:tcW w:w="2660" w:type="dxa"/>
            <w:vAlign w:val="bottom"/>
            <w:tcBorders>
              <w:top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w w:val="92"/>
              </w:rPr>
              <w:t>LIBOR Variance</w:t>
            </w:r>
          </w:p>
        </w:tc>
        <w:tc>
          <w:tcPr>
            <w:tcW w:w="2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Maturity Date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jc w:val="right"/>
              <w:ind w:right="990"/>
              <w:spacing w:after="0"/>
              <w:rPr>
                <w:sz w:val="20"/>
                <w:szCs w:val="20"/>
                <w:color w:val="auto"/>
              </w:rPr>
            </w:pPr>
            <w:r>
              <w:rPr>
                <w:rFonts w:ascii="Arial" w:cs="Arial" w:eastAsia="Arial" w:hAnsi="Arial"/>
                <w:sz w:val="18"/>
                <w:szCs w:val="18"/>
                <w:color w:val="auto"/>
              </w:rPr>
              <w:t>____%</w:t>
            </w:r>
          </w:p>
        </w:tc>
        <w:tc>
          <w:tcPr>
            <w:tcW w:w="2660" w:type="dxa"/>
            <w:vAlign w:val="bottom"/>
            <w:tcBorders>
              <w:right w:val="single" w:sz="8" w:color="auto"/>
            </w:tcBorders>
          </w:tcPr>
          <w:p>
            <w:pPr>
              <w:spacing w:after="0"/>
              <w:rPr>
                <w:sz w:val="20"/>
                <w:szCs w:val="20"/>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EXHIBIT 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CONVERSION/CONTINUATION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MAGNITE, INC., ET AL.</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IMX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imxproduction@svb.com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vregan@svb.com</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 Second Amended and Restated Loan and Security Agreement dated as of September [__], 2020 (as amended, modified, supplemented or restated from time to time, the “</w:t>
      </w:r>
      <w:r>
        <w:rPr>
          <w:rFonts w:ascii="Arial" w:cs="Arial" w:eastAsia="Arial" w:hAnsi="Arial"/>
          <w:sz w:val="18"/>
          <w:szCs w:val="18"/>
          <w:i w:val="1"/>
          <w:iCs w:val="1"/>
          <w:color w:val="auto"/>
        </w:rPr>
        <w:t>Loan Agreement</w:t>
      </w:r>
      <w:r>
        <w:rPr>
          <w:rFonts w:ascii="Arial" w:cs="Arial" w:eastAsia="Arial" w:hAnsi="Arial"/>
          <w:sz w:val="18"/>
          <w:szCs w:val="18"/>
          <w:color w:val="auto"/>
        </w:rPr>
        <w:t>”), by and among Magnite, Inc. and certain of its subsidiaries (individually and collectively, jointly and severally, “</w:t>
      </w:r>
      <w:r>
        <w:rPr>
          <w:rFonts w:ascii="Arial" w:cs="Arial" w:eastAsia="Arial" w:hAnsi="Arial"/>
          <w:sz w:val="18"/>
          <w:szCs w:val="18"/>
          <w:i w:val="1"/>
          <w:iCs w:val="1"/>
          <w:color w:val="auto"/>
        </w:rPr>
        <w:t>Borrower</w:t>
      </w:r>
      <w:r>
        <w:rPr>
          <w:rFonts w:ascii="Arial" w:cs="Arial" w:eastAsia="Arial" w:hAnsi="Arial"/>
          <w:sz w:val="18"/>
          <w:szCs w:val="18"/>
          <w:color w:val="auto"/>
        </w:rPr>
        <w:t>”), and Silicon Valley Bank (the “</w:t>
      </w:r>
      <w:r>
        <w:rPr>
          <w:rFonts w:ascii="Arial" w:cs="Arial" w:eastAsia="Arial" w:hAnsi="Arial"/>
          <w:sz w:val="18"/>
          <w:szCs w:val="18"/>
          <w:i w:val="1"/>
          <w:iCs w:val="1"/>
          <w:color w:val="auto"/>
        </w:rPr>
        <w:t>Bank</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undersigned refers to the Loan Agreement, the terms defined therein being used herein as therein defined, and hereby gives you notice irrevocably, pursuant to Section 3.5 of the Loan Agreement, of the [conversion] [continuation] of the Advances specified herein, that: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400" w:type="dxa"/>
            <w:vAlign w:val="bottom"/>
            <w:gridSpan w:val="5"/>
          </w:tcPr>
          <w:p>
            <w:pPr>
              <w:ind w:left="80"/>
              <w:spacing w:after="0"/>
              <w:rPr>
                <w:sz w:val="20"/>
                <w:szCs w:val="20"/>
                <w:color w:val="auto"/>
              </w:rPr>
            </w:pPr>
            <w:r>
              <w:rPr>
                <w:rFonts w:ascii="Arial" w:cs="Arial" w:eastAsia="Arial" w:hAnsi="Arial"/>
                <w:sz w:val="18"/>
                <w:szCs w:val="18"/>
                <w:color w:val="auto"/>
                <w:w w:val="93"/>
              </w:rPr>
              <w:t>The date of the [conversion] [continuation] is</w:t>
            </w:r>
          </w:p>
        </w:tc>
        <w:tc>
          <w:tcPr>
            <w:tcW w:w="1800" w:type="dxa"/>
            <w:vAlign w:val="bottom"/>
          </w:tcPr>
          <w:p>
            <w:pPr>
              <w:spacing w:after="0"/>
              <w:rPr>
                <w:sz w:val="18"/>
                <w:szCs w:val="18"/>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 20___.</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5200" w:type="dxa"/>
            <w:vAlign w:val="bottom"/>
            <w:gridSpan w:val="6"/>
          </w:tcPr>
          <w:p>
            <w:pPr>
              <w:ind w:left="80"/>
              <w:spacing w:after="0"/>
              <w:rPr>
                <w:sz w:val="20"/>
                <w:szCs w:val="20"/>
                <w:color w:val="auto"/>
              </w:rPr>
            </w:pPr>
            <w:r>
              <w:rPr>
                <w:rFonts w:ascii="Arial" w:cs="Arial" w:eastAsia="Arial" w:hAnsi="Arial"/>
                <w:sz w:val="18"/>
                <w:szCs w:val="18"/>
                <w:color w:val="auto"/>
                <w:w w:val="92"/>
              </w:rPr>
              <w:t>The aggregate amount of the proposed Advances to be [converted] is</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w w:val="92"/>
              </w:rPr>
              <w:t>or [continued] is $</w:t>
            </w: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jc w:val="right"/>
              <w:ind w:right="69"/>
              <w:spacing w:after="0"/>
              <w:rPr>
                <w:sz w:val="20"/>
                <w:szCs w:val="20"/>
                <w:color w:val="auto"/>
              </w:rPr>
            </w:pPr>
            <w:r>
              <w:rPr>
                <w:rFonts w:ascii="Arial" w:cs="Arial" w:eastAsia="Arial" w:hAnsi="Arial"/>
                <w:sz w:val="10"/>
                <w:szCs w:val="10"/>
                <w:color w:val="auto"/>
                <w:w w:val="70"/>
              </w:rPr>
              <w:t>.</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7"/>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220" w:type="dxa"/>
            <w:vAlign w:val="bottom"/>
            <w:gridSpan w:val="8"/>
          </w:tcPr>
          <w:p>
            <w:pPr>
              <w:ind w:left="80"/>
              <w:spacing w:after="0"/>
              <w:rPr>
                <w:sz w:val="20"/>
                <w:szCs w:val="20"/>
                <w:color w:val="auto"/>
              </w:rPr>
            </w:pPr>
            <w:r>
              <w:rPr>
                <w:rFonts w:ascii="Arial" w:cs="Arial" w:eastAsia="Arial" w:hAnsi="Arial"/>
                <w:sz w:val="18"/>
                <w:szCs w:val="18"/>
                <w:color w:val="auto"/>
              </w:rPr>
              <w:t>The Advances are to be [converted into] [continued as] [LIBOR] [Prime Rate] Advances.</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1"/>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220" w:type="dxa"/>
            <w:vAlign w:val="bottom"/>
            <w:gridSpan w:val="8"/>
          </w:tcPr>
          <w:p>
            <w:pPr>
              <w:ind w:left="100"/>
              <w:spacing w:after="0"/>
              <w:rPr>
                <w:sz w:val="20"/>
                <w:szCs w:val="20"/>
                <w:color w:val="auto"/>
              </w:rPr>
            </w:pPr>
            <w:r>
              <w:rPr>
                <w:rFonts w:ascii="Arial" w:cs="Arial" w:eastAsia="Arial" w:hAnsi="Arial"/>
                <w:sz w:val="18"/>
                <w:szCs w:val="18"/>
                <w:color w:val="auto"/>
                <w:w w:val="92"/>
              </w:rPr>
              <w:t>The duration of the Interest Period for the LIBOR Advances included in the [conversion] [continuation] shall be</w:t>
            </w:r>
          </w:p>
        </w:tc>
        <w:tc>
          <w:tcPr>
            <w:tcW w:w="440" w:type="dxa"/>
            <w:vAlign w:val="bottom"/>
            <w:tcBorders>
              <w:bottom w:val="single" w:sz="8" w:color="auto"/>
            </w:tcBorders>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w w:val="87"/>
              </w:rPr>
              <w:t>months.</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on behalf of Borrower, hereby certifies that the following statements are true on the date hereof, and will be true on the date of the proposed [conversion] [continuation], before and after giving effect thereto and to the application of the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40" w:right="339" w:bottom="1440" w:gutter="0" w:footer="0" w:header="0"/>
        </w:sectPr>
      </w:pPr>
    </w:p>
    <w:bookmarkStart w:id="104" w:name="page105"/>
    <w:bookmarkEnd w:id="104"/>
    <w:p>
      <w:pPr>
        <w:jc w:val="both"/>
        <w:ind w:left="660" w:firstLine="644"/>
        <w:spacing w:after="0" w:line="279" w:lineRule="auto"/>
        <w:tabs>
          <w:tab w:leader="none" w:pos="1702"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representations and warranties of Borrower stated in the Loan Agreement are true, accurate and complete in all material respects as of the date hereof;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left="1700" w:hanging="396"/>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such proposed [conversion] [continuation]; and</w:t>
      </w:r>
    </w:p>
    <w:p>
      <w:pPr>
        <w:spacing w:after="0" w:line="225" w:lineRule="exact"/>
        <w:rPr>
          <w:rFonts w:ascii="Arial" w:cs="Arial" w:eastAsia="Arial" w:hAnsi="Arial"/>
          <w:sz w:val="18"/>
          <w:szCs w:val="18"/>
          <w:color w:val="auto"/>
        </w:rPr>
      </w:pPr>
    </w:p>
    <w:p>
      <w:pPr>
        <w:ind w:left="660" w:firstLine="644"/>
        <w:spacing w:after="0" w:line="342" w:lineRule="auto"/>
        <w:tabs>
          <w:tab w:leader="none" w:pos="171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requested [conversion] [continuation] will not cause the aggregate principal amount of the outstanding Advances to exceed, as of the designated Funding Date, (i) the lesser of (A) the Revolving Line or (B) the Borrowing Base minus (ii) any applicable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1240"/>
          </w:cols>
          <w:pgMar w:left="320" w:top="1421" w:right="339" w:bottom="1440" w:gutter="0" w:footer="0" w:header="0"/>
        </w:sectPr>
      </w:pPr>
    </w:p>
    <w:bookmarkStart w:id="105" w:name="page106"/>
    <w:bookmarkEnd w:id="105"/>
    <w:p>
      <w:pPr>
        <w:spacing w:after="0" w:line="86" w:lineRule="exact"/>
        <w:rPr>
          <w:sz w:val="20"/>
          <w:szCs w:val="20"/>
          <w:color w:val="auto"/>
        </w:rPr>
      </w:pPr>
    </w:p>
    <w:p>
      <w:pPr>
        <w:jc w:val="right"/>
        <w:ind w:right="5340"/>
        <w:spacing w:after="0"/>
        <w:tabs>
          <w:tab w:leader="none" w:pos="904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6"/>
          <w:szCs w:val="16"/>
          <w:b w:val="1"/>
          <w:bCs w:val="1"/>
          <w:color w:val="auto"/>
        </w:rPr>
        <w:t>Magnite, Inc.</w:t>
      </w:r>
      <w:r>
        <w:rPr>
          <w:rFonts w:ascii="Arial" w:cs="Arial" w:eastAsia="Arial" w:hAnsi="Arial"/>
          <w:sz w:val="16"/>
          <w:szCs w:val="16"/>
          <w:color w:val="auto"/>
        </w:rPr>
        <w:t>, on behalf of itself and all Borrowers</w:t>
      </w:r>
    </w:p>
    <w:p>
      <w:pPr>
        <w:spacing w:after="0" w:line="12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-10160</wp:posOffset>
            </wp:positionV>
            <wp:extent cx="685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-10160</wp:posOffset>
            </wp:positionV>
            <wp:extent cx="6858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-10160</wp:posOffset>
            </wp:positionV>
            <wp:extent cx="6858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internal Bank use only</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 Pricing Date</w:t>
            </w:r>
          </w:p>
        </w:tc>
        <w:tc>
          <w:tcPr>
            <w:tcW w:w="2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LIBOR</w:t>
            </w:r>
          </w:p>
        </w:tc>
        <w:tc>
          <w:tcPr>
            <w:tcW w:w="2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LIBOR Variance</w:t>
            </w:r>
          </w:p>
        </w:tc>
        <w:tc>
          <w:tcPr>
            <w:tcW w:w="2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Maturity Date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____%</w:t>
            </w:r>
          </w:p>
        </w:tc>
        <w:tc>
          <w:tcPr>
            <w:tcW w:w="2660" w:type="dxa"/>
            <w:vAlign w:val="bottom"/>
            <w:tcBorders>
              <w:right w:val="single" w:sz="8" w:color="auto"/>
            </w:tcBorders>
          </w:tcPr>
          <w:p>
            <w:pPr>
              <w:spacing w:after="0"/>
              <w:rPr>
                <w:sz w:val="20"/>
                <w:szCs w:val="20"/>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#2572901v4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233773760 v5</w:t>
      </w:r>
    </w:p>
    <w:p>
      <w:pPr>
        <w:sectPr>
          <w:pgSz w:w="11900" w:h="16838" w:orient="portrait"/>
          <w:cols w:equalWidth="0" w:num="1">
            <w:col w:w="10640"/>
          </w:cols>
          <w:pgMar w:left="320" w:top="1440" w:right="9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27" w:lineRule="exact"/>
        <w:rPr>
          <w:sz w:val="20"/>
          <w:szCs w:val="20"/>
          <w:color w:val="auto"/>
        </w:rPr>
      </w:pPr>
    </w:p>
    <w:p>
      <w:pPr>
        <w:jc w:val="right"/>
        <w:ind w:right="3699"/>
        <w:spacing w:after="0"/>
        <w:rPr>
          <w:sz w:val="20"/>
          <w:szCs w:val="20"/>
          <w:color w:val="auto"/>
        </w:rPr>
      </w:pPr>
      <w:r>
        <w:rPr>
          <w:rFonts w:ascii="Arial" w:cs="Arial" w:eastAsia="Arial" w:hAnsi="Arial"/>
          <w:sz w:val="20"/>
          <w:szCs w:val="20"/>
          <w:b w:val="1"/>
          <w:bCs w:val="1"/>
          <w:color w:val="auto"/>
        </w:rPr>
        <w:t>List of Subsidiaries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Magnite CTV,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Magnite Australia PTY Limited</w:t>
      </w:r>
    </w:p>
    <w:p>
      <w:pPr>
        <w:spacing w:after="0"/>
        <w:rPr>
          <w:sz w:val="20"/>
          <w:szCs w:val="20"/>
          <w:color w:val="auto"/>
        </w:rPr>
      </w:pPr>
      <w:r>
        <w:rPr>
          <w:rFonts w:ascii="Arial" w:cs="Arial" w:eastAsia="Arial" w:hAnsi="Arial"/>
          <w:sz w:val="20"/>
          <w:szCs w:val="20"/>
          <w:color w:val="auto"/>
        </w:rPr>
        <w:t>Rubicon Project Servicos De Internet Ltda</w:t>
      </w:r>
    </w:p>
    <w:p>
      <w:pPr>
        <w:spacing w:after="0"/>
        <w:rPr>
          <w:sz w:val="20"/>
          <w:szCs w:val="20"/>
          <w:color w:val="auto"/>
        </w:rPr>
      </w:pPr>
      <w:r>
        <w:rPr>
          <w:rFonts w:ascii="Arial" w:cs="Arial" w:eastAsia="Arial" w:hAnsi="Arial"/>
          <w:sz w:val="20"/>
          <w:szCs w:val="20"/>
          <w:color w:val="auto"/>
        </w:rPr>
        <w:t>Magnite SARL</w:t>
      </w:r>
    </w:p>
    <w:p>
      <w:pPr>
        <w:spacing w:after="0"/>
        <w:rPr>
          <w:sz w:val="20"/>
          <w:szCs w:val="20"/>
          <w:color w:val="auto"/>
        </w:rPr>
      </w:pPr>
      <w:r>
        <w:rPr>
          <w:rFonts w:ascii="Arial" w:cs="Arial" w:eastAsia="Arial" w:hAnsi="Arial"/>
          <w:sz w:val="20"/>
          <w:szCs w:val="20"/>
          <w:color w:val="auto"/>
        </w:rPr>
        <w:t>The Rubicon Project GmbH</w:t>
      </w:r>
    </w:p>
    <w:p>
      <w:pPr>
        <w:spacing w:after="0"/>
        <w:rPr>
          <w:sz w:val="20"/>
          <w:szCs w:val="20"/>
          <w:color w:val="auto"/>
        </w:rPr>
      </w:pPr>
      <w:r>
        <w:rPr>
          <w:rFonts w:ascii="Arial" w:cs="Arial" w:eastAsia="Arial" w:hAnsi="Arial"/>
          <w:sz w:val="20"/>
          <w:szCs w:val="20"/>
          <w:color w:val="auto"/>
        </w:rPr>
        <w:t>Magnite S.R.L.</w:t>
      </w:r>
    </w:p>
    <w:p>
      <w:pPr>
        <w:spacing w:after="0"/>
        <w:rPr>
          <w:sz w:val="20"/>
          <w:szCs w:val="20"/>
          <w:color w:val="auto"/>
        </w:rPr>
      </w:pPr>
      <w:r>
        <w:rPr>
          <w:rFonts w:ascii="Arial" w:cs="Arial" w:eastAsia="Arial" w:hAnsi="Arial"/>
          <w:sz w:val="20"/>
          <w:szCs w:val="20"/>
          <w:color w:val="auto"/>
        </w:rPr>
        <w:t>Magnite K.K.</w:t>
      </w:r>
    </w:p>
    <w:p>
      <w:pPr>
        <w:spacing w:after="0"/>
        <w:rPr>
          <w:sz w:val="20"/>
          <w:szCs w:val="20"/>
          <w:color w:val="auto"/>
        </w:rPr>
      </w:pPr>
      <w:r>
        <w:rPr>
          <w:rFonts w:ascii="Arial" w:cs="Arial" w:eastAsia="Arial" w:hAnsi="Arial"/>
          <w:sz w:val="20"/>
          <w:szCs w:val="20"/>
          <w:color w:val="auto"/>
        </w:rPr>
        <w:t>The Rubicon Project Netherlands B.V.</w:t>
      </w:r>
    </w:p>
    <w:p>
      <w:pPr>
        <w:spacing w:after="0"/>
        <w:rPr>
          <w:sz w:val="20"/>
          <w:szCs w:val="20"/>
          <w:color w:val="auto"/>
        </w:rPr>
      </w:pPr>
      <w:r>
        <w:rPr>
          <w:rFonts w:ascii="Arial" w:cs="Arial" w:eastAsia="Arial" w:hAnsi="Arial"/>
          <w:sz w:val="20"/>
          <w:szCs w:val="20"/>
          <w:color w:val="auto"/>
        </w:rPr>
        <w:t>The Rubicon Project Singapore Pte Ltd.</w:t>
      </w:r>
    </w:p>
    <w:p>
      <w:pPr>
        <w:spacing w:after="0"/>
        <w:rPr>
          <w:sz w:val="20"/>
          <w:szCs w:val="20"/>
          <w:color w:val="auto"/>
        </w:rPr>
      </w:pPr>
      <w:r>
        <w:rPr>
          <w:rFonts w:ascii="Arial" w:cs="Arial" w:eastAsia="Arial" w:hAnsi="Arial"/>
          <w:sz w:val="20"/>
          <w:szCs w:val="20"/>
          <w:color w:val="auto"/>
        </w:rPr>
        <w:t>Magnite Limited</w:t>
      </w:r>
    </w:p>
    <w:p>
      <w:pPr>
        <w:spacing w:after="0"/>
        <w:rPr>
          <w:sz w:val="20"/>
          <w:szCs w:val="20"/>
          <w:color w:val="auto"/>
        </w:rPr>
      </w:pPr>
      <w:r>
        <w:rPr>
          <w:rFonts w:ascii="Arial" w:cs="Arial" w:eastAsia="Arial" w:hAnsi="Arial"/>
          <w:sz w:val="20"/>
          <w:szCs w:val="20"/>
          <w:color w:val="auto"/>
        </w:rPr>
        <w:t>Magnite Canada, Inc.</w:t>
      </w:r>
    </w:p>
    <w:p>
      <w:pPr>
        <w:spacing w:after="0"/>
        <w:rPr>
          <w:sz w:val="20"/>
          <w:szCs w:val="20"/>
          <w:color w:val="auto"/>
        </w:rPr>
      </w:pPr>
      <w:r>
        <w:rPr>
          <w:rFonts w:ascii="Arial" w:cs="Arial" w:eastAsia="Arial" w:hAnsi="Arial"/>
          <w:sz w:val="20"/>
          <w:szCs w:val="20"/>
          <w:color w:val="auto"/>
        </w:rPr>
        <w:t>RTK GmbH</w:t>
      </w:r>
    </w:p>
    <w:p>
      <w:pPr>
        <w:spacing w:after="0"/>
        <w:rPr>
          <w:sz w:val="20"/>
          <w:szCs w:val="20"/>
          <w:color w:val="auto"/>
        </w:rPr>
      </w:pPr>
      <w:r>
        <w:rPr>
          <w:rFonts w:ascii="Arial" w:cs="Arial" w:eastAsia="Arial" w:hAnsi="Arial"/>
          <w:sz w:val="20"/>
          <w:szCs w:val="20"/>
          <w:color w:val="auto"/>
        </w:rPr>
        <w:t>RTK.io Inc.</w:t>
      </w:r>
    </w:p>
    <w:p>
      <w:pPr>
        <w:spacing w:after="0"/>
        <w:rPr>
          <w:sz w:val="20"/>
          <w:szCs w:val="20"/>
          <w:color w:val="auto"/>
        </w:rPr>
      </w:pPr>
      <w:r>
        <w:rPr>
          <w:rFonts w:ascii="Arial" w:cs="Arial" w:eastAsia="Arial" w:hAnsi="Arial"/>
          <w:sz w:val="20"/>
          <w:szCs w:val="20"/>
          <w:color w:val="auto"/>
        </w:rPr>
        <w:t>Magnite Apex, Inc.</w:t>
      </w:r>
    </w:p>
    <w:p>
      <w:pPr>
        <w:spacing w:after="0"/>
        <w:rPr>
          <w:sz w:val="20"/>
          <w:szCs w:val="20"/>
          <w:color w:val="auto"/>
        </w:rPr>
      </w:pPr>
      <w:r>
        <w:rPr>
          <w:rFonts w:ascii="Arial" w:cs="Arial" w:eastAsia="Arial" w:hAnsi="Arial"/>
          <w:sz w:val="20"/>
          <w:szCs w:val="20"/>
          <w:color w:val="auto"/>
        </w:rPr>
        <w:t>5 Moon Media LLC</w:t>
      </w:r>
    </w:p>
    <w:p>
      <w:pPr>
        <w:spacing w:after="0"/>
        <w:rPr>
          <w:sz w:val="20"/>
          <w:szCs w:val="20"/>
          <w:color w:val="auto"/>
        </w:rPr>
      </w:pPr>
      <w:r>
        <w:rPr>
          <w:rFonts w:ascii="Arial" w:cs="Arial" w:eastAsia="Arial" w:hAnsi="Arial"/>
          <w:sz w:val="20"/>
          <w:szCs w:val="20"/>
          <w:color w:val="auto"/>
        </w:rPr>
        <w:t>Magnite Bell, Inc.</w:t>
      </w:r>
    </w:p>
    <w:p>
      <w:pPr>
        <w:spacing w:after="0"/>
        <w:rPr>
          <w:sz w:val="20"/>
          <w:szCs w:val="20"/>
          <w:color w:val="auto"/>
        </w:rPr>
      </w:pPr>
      <w:r>
        <w:rPr>
          <w:rFonts w:ascii="Arial" w:cs="Arial" w:eastAsia="Arial" w:hAnsi="Arial"/>
          <w:sz w:val="20"/>
          <w:szCs w:val="20"/>
          <w:color w:val="auto"/>
        </w:rPr>
        <w:t>Rubicon Project Unlatch, Inc.</w:t>
      </w:r>
    </w:p>
    <w:p>
      <w:pPr>
        <w:spacing w:after="0"/>
        <w:rPr>
          <w:sz w:val="20"/>
          <w:szCs w:val="20"/>
          <w:color w:val="auto"/>
        </w:rPr>
      </w:pPr>
      <w:r>
        <w:rPr>
          <w:rFonts w:ascii="Arial" w:cs="Arial" w:eastAsia="Arial" w:hAnsi="Arial"/>
          <w:sz w:val="20"/>
          <w:szCs w:val="20"/>
          <w:color w:val="auto"/>
        </w:rPr>
        <w:t>Magnite Hopper, Inc.</w:t>
      </w:r>
    </w:p>
    <w:p>
      <w:pPr>
        <w:spacing w:after="0"/>
        <w:rPr>
          <w:sz w:val="20"/>
          <w:szCs w:val="20"/>
          <w:color w:val="auto"/>
        </w:rPr>
      </w:pPr>
      <w:r>
        <w:rPr>
          <w:rFonts w:ascii="Arial" w:cs="Arial" w:eastAsia="Arial" w:hAnsi="Arial"/>
          <w:sz w:val="20"/>
          <w:szCs w:val="20"/>
          <w:color w:val="auto"/>
        </w:rPr>
        <w:t>Rubicon Project Daylight, Inc.</w:t>
      </w:r>
    </w:p>
    <w:p>
      <w:pPr>
        <w:spacing w:after="0"/>
        <w:rPr>
          <w:sz w:val="20"/>
          <w:szCs w:val="20"/>
          <w:color w:val="auto"/>
        </w:rPr>
      </w:pPr>
      <w:r>
        <w:rPr>
          <w:rFonts w:ascii="Arial" w:cs="Arial" w:eastAsia="Arial" w:hAnsi="Arial"/>
          <w:sz w:val="20"/>
          <w:szCs w:val="20"/>
          <w:color w:val="auto"/>
        </w:rPr>
        <w:t>Project Daylight, LLC</w:t>
      </w:r>
    </w:p>
    <w:p>
      <w:pPr>
        <w:spacing w:after="0"/>
        <w:rPr>
          <w:sz w:val="20"/>
          <w:szCs w:val="20"/>
          <w:color w:val="auto"/>
        </w:rPr>
      </w:pPr>
      <w:r>
        <w:rPr>
          <w:rFonts w:ascii="Arial" w:cs="Arial" w:eastAsia="Arial" w:hAnsi="Arial"/>
          <w:sz w:val="20"/>
          <w:szCs w:val="20"/>
          <w:color w:val="auto"/>
        </w:rPr>
        <w:t>The Rubicon Project Canada ULC</w:t>
      </w:r>
    </w:p>
    <w:p>
      <w:pPr>
        <w:spacing w:after="0"/>
        <w:rPr>
          <w:sz w:val="20"/>
          <w:szCs w:val="20"/>
          <w:color w:val="auto"/>
        </w:rPr>
      </w:pPr>
      <w:r>
        <w:rPr>
          <w:rFonts w:ascii="Arial" w:cs="Arial" w:eastAsia="Arial" w:hAnsi="Arial"/>
          <w:sz w:val="20"/>
          <w:szCs w:val="20"/>
          <w:color w:val="auto"/>
        </w:rPr>
        <w:t>Magnite CTV Ltd.</w:t>
      </w:r>
    </w:p>
    <w:p>
      <w:pPr>
        <w:spacing w:after="0"/>
        <w:rPr>
          <w:sz w:val="20"/>
          <w:szCs w:val="20"/>
          <w:color w:val="auto"/>
        </w:rPr>
      </w:pPr>
      <w:r>
        <w:rPr>
          <w:rFonts w:ascii="Arial" w:cs="Arial" w:eastAsia="Arial" w:hAnsi="Arial"/>
          <w:sz w:val="20"/>
          <w:szCs w:val="20"/>
          <w:color w:val="auto"/>
        </w:rPr>
        <w:t>Magnite Holdings Pty Ltd</w:t>
      </w:r>
    </w:p>
    <w:p>
      <w:pPr>
        <w:spacing w:after="0"/>
        <w:rPr>
          <w:sz w:val="20"/>
          <w:szCs w:val="20"/>
          <w:color w:val="auto"/>
        </w:rPr>
      </w:pPr>
      <w:r>
        <w:rPr>
          <w:rFonts w:ascii="Arial" w:cs="Arial" w:eastAsia="Arial" w:hAnsi="Arial"/>
          <w:sz w:val="20"/>
          <w:szCs w:val="20"/>
          <w:color w:val="auto"/>
        </w:rPr>
        <w:t>Magnite CTV Pty Ltd</w:t>
      </w:r>
    </w:p>
    <w:p>
      <w:pPr>
        <w:spacing w:after="0"/>
        <w:rPr>
          <w:sz w:val="20"/>
          <w:szCs w:val="20"/>
          <w:color w:val="auto"/>
        </w:rPr>
      </w:pPr>
      <w:r>
        <w:rPr>
          <w:rFonts w:ascii="Arial" w:cs="Arial" w:eastAsia="Arial" w:hAnsi="Arial"/>
          <w:sz w:val="20"/>
          <w:szCs w:val="20"/>
          <w:color w:val="auto"/>
        </w:rPr>
        <w:t>Telaria (Singapore) Pte Ltd</w:t>
      </w:r>
    </w:p>
    <w:p>
      <w:pPr>
        <w:spacing w:after="0"/>
        <w:rPr>
          <w:sz w:val="20"/>
          <w:szCs w:val="20"/>
          <w:color w:val="auto"/>
        </w:rPr>
      </w:pPr>
      <w:r>
        <w:rPr>
          <w:rFonts w:ascii="Arial" w:cs="Arial" w:eastAsia="Arial" w:hAnsi="Arial"/>
          <w:sz w:val="20"/>
          <w:szCs w:val="20"/>
          <w:color w:val="auto"/>
        </w:rPr>
        <w:t>Telaria SDN. BHD.</w:t>
      </w:r>
    </w:p>
    <w:p>
      <w:pPr>
        <w:spacing w:after="0"/>
        <w:rPr>
          <w:sz w:val="20"/>
          <w:szCs w:val="20"/>
          <w:color w:val="auto"/>
        </w:rPr>
      </w:pPr>
      <w:r>
        <w:rPr>
          <w:rFonts w:ascii="Arial" w:cs="Arial" w:eastAsia="Arial" w:hAnsi="Arial"/>
          <w:sz w:val="20"/>
          <w:szCs w:val="20"/>
          <w:color w:val="auto"/>
        </w:rPr>
        <w:t>Magnite CTV (NZ) Limited</w:t>
      </w:r>
    </w:p>
    <w:p>
      <w:pPr>
        <w:spacing w:after="0"/>
        <w:rPr>
          <w:sz w:val="20"/>
          <w:szCs w:val="20"/>
          <w:color w:val="auto"/>
        </w:rPr>
      </w:pPr>
      <w:r>
        <w:rPr>
          <w:rFonts w:ascii="Arial" w:cs="Arial" w:eastAsia="Arial" w:hAnsi="Arial"/>
          <w:sz w:val="20"/>
          <w:szCs w:val="20"/>
          <w:color w:val="auto"/>
        </w:rPr>
        <w:t>Telaria Brazil Publicidade Ltda.</w:t>
      </w:r>
    </w:p>
    <w:p>
      <w:pPr>
        <w:spacing w:after="0"/>
        <w:rPr>
          <w:sz w:val="20"/>
          <w:szCs w:val="20"/>
          <w:color w:val="auto"/>
        </w:rPr>
      </w:pPr>
      <w:r>
        <w:rPr>
          <w:rFonts w:ascii="Arial" w:cs="Arial" w:eastAsia="Arial" w:hAnsi="Arial"/>
          <w:sz w:val="20"/>
          <w:szCs w:val="20"/>
          <w:color w:val="auto"/>
        </w:rPr>
        <w:t>Telaria SAS</w:t>
      </w:r>
    </w:p>
    <w:p>
      <w:pPr>
        <w:spacing w:after="0"/>
        <w:rPr>
          <w:sz w:val="20"/>
          <w:szCs w:val="20"/>
          <w:color w:val="auto"/>
        </w:rPr>
      </w:pPr>
      <w:r>
        <w:rPr>
          <w:rFonts w:ascii="Arial" w:cs="Arial" w:eastAsia="Arial" w:hAnsi="Arial"/>
          <w:sz w:val="20"/>
          <w:szCs w:val="20"/>
          <w:color w:val="auto"/>
        </w:rPr>
        <w:t>SlimCut Media Canada Inc.</w:t>
      </w:r>
    </w:p>
    <w:p>
      <w:pPr>
        <w:spacing w:after="0"/>
        <w:rPr>
          <w:sz w:val="20"/>
          <w:szCs w:val="20"/>
          <w:color w:val="auto"/>
        </w:rPr>
      </w:pPr>
      <w:r>
        <w:rPr>
          <w:rFonts w:ascii="Arial" w:cs="Arial" w:eastAsia="Arial" w:hAnsi="Arial"/>
          <w:sz w:val="20"/>
          <w:szCs w:val="20"/>
          <w:color w:val="auto"/>
        </w:rPr>
        <w:t>ScanScout, Inc.</w:t>
      </w:r>
    </w:p>
    <w:p>
      <w:pPr>
        <w:spacing w:after="0"/>
        <w:rPr>
          <w:sz w:val="20"/>
          <w:szCs w:val="20"/>
          <w:color w:val="auto"/>
        </w:rPr>
      </w:pPr>
      <w:r>
        <w:rPr>
          <w:rFonts w:ascii="Arial" w:cs="Arial" w:eastAsia="Arial" w:hAnsi="Arial"/>
          <w:sz w:val="20"/>
          <w:szCs w:val="20"/>
          <w:color w:val="auto"/>
        </w:rPr>
        <w:t>Tremor Video Canada, Inc.</w:t>
      </w:r>
    </w:p>
    <w:p>
      <w:pPr>
        <w:spacing w:after="0"/>
        <w:rPr>
          <w:sz w:val="20"/>
          <w:szCs w:val="20"/>
          <w:color w:val="auto"/>
        </w:rPr>
      </w:pPr>
      <w:r>
        <w:rPr>
          <w:rFonts w:ascii="Arial" w:cs="Arial" w:eastAsia="Arial" w:hAnsi="Arial"/>
          <w:sz w:val="20"/>
          <w:szCs w:val="20"/>
          <w:color w:val="auto"/>
        </w:rPr>
        <w:t>Transpera, Inc.</w:t>
      </w:r>
    </w:p>
    <w:p>
      <w:pPr>
        <w:sectPr>
          <w:pgSz w:w="11900" w:h="16838" w:orient="portrait"/>
          <w:cols w:equalWidth="0" w:num="1">
            <w:col w:w="10139"/>
          </w:cols>
          <w:pgMar w:left="320" w:top="115" w:right="1440" w:bottom="1440" w:gutter="0" w:footer="0" w:header="0"/>
        </w:sectPr>
      </w:pPr>
    </w:p>
    <w:bookmarkStart w:id="107" w:name="page108"/>
    <w:bookmarkEnd w:id="107"/>
    <w:p>
      <w:pPr>
        <w:ind w:left="9920"/>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61"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1300" w:right="40" w:hanging="644"/>
        <w:spacing w:after="0" w:line="335" w:lineRule="auto"/>
        <w:tabs>
          <w:tab w:leader="none" w:pos="1300" w:val="left"/>
        </w:tabs>
        <w:numPr>
          <w:ilvl w:val="0"/>
          <w:numId w:val="82"/>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300" w:right="460" w:hanging="644"/>
        <w:spacing w:after="0" w:line="296" w:lineRule="auto"/>
        <w:tabs>
          <w:tab w:leader="none" w:pos="1300" w:val="left"/>
        </w:tabs>
        <w:numPr>
          <w:ilvl w:val="0"/>
          <w:numId w:val="82"/>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1300" w:right="100" w:hanging="644"/>
        <w:spacing w:after="0" w:line="254"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800" w:right="320" w:hanging="496"/>
        <w:spacing w:after="0" w:line="269" w:lineRule="auto"/>
        <w:tabs>
          <w:tab w:leader="none" w:pos="1606"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800" w:right="520" w:hanging="496"/>
        <w:spacing w:after="0" w:line="269" w:lineRule="auto"/>
        <w:tabs>
          <w:tab w:leader="none" w:pos="1615"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1800" w:hanging="496"/>
        <w:spacing w:after="0" w:line="328" w:lineRule="auto"/>
        <w:tabs>
          <w:tab w:leader="none" w:pos="1606" w:val="left"/>
        </w:tabs>
        <w:numPr>
          <w:ilvl w:val="1"/>
          <w:numId w:val="8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5"/>
          <w:szCs w:val="15"/>
          <w:color w:val="auto"/>
        </w:rPr>
      </w:pPr>
    </w:p>
    <w:p>
      <w:pPr>
        <w:ind w:left="1800" w:right="20" w:hanging="496"/>
        <w:spacing w:after="0" w:line="269" w:lineRule="auto"/>
        <w:tabs>
          <w:tab w:leader="none" w:pos="1615"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Arial" w:cs="Arial" w:eastAsia="Arial" w:hAnsi="Arial"/>
          <w:sz w:val="16"/>
          <w:szCs w:val="16"/>
          <w:color w:val="auto"/>
        </w:rPr>
      </w:pPr>
    </w:p>
    <w:p>
      <w:pPr>
        <w:ind w:left="1300" w:right="220" w:hanging="644"/>
        <w:spacing w:after="0" w:line="296" w:lineRule="auto"/>
        <w:tabs>
          <w:tab w:leader="none" w:pos="1300" w:val="left"/>
        </w:tabs>
        <w:numPr>
          <w:ilvl w:val="0"/>
          <w:numId w:val="82"/>
        </w:numPr>
        <w:rPr>
          <w:rFonts w:ascii="Arial" w:cs="Arial" w:eastAsia="Arial" w:hAnsi="Arial"/>
          <w:sz w:val="17"/>
          <w:szCs w:val="17"/>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800" w:right="300" w:hanging="496"/>
        <w:spacing w:after="0" w:line="293" w:lineRule="auto"/>
        <w:tabs>
          <w:tab w:leader="none" w:pos="1647"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6"/>
          <w:szCs w:val="16"/>
          <w:color w:val="auto"/>
        </w:rPr>
      </w:pPr>
    </w:p>
    <w:p>
      <w:pPr>
        <w:ind w:left="1800" w:right="220" w:hanging="456"/>
        <w:spacing w:after="0" w:line="293" w:lineRule="auto"/>
        <w:tabs>
          <w:tab w:leader="none" w:pos="1696" w:val="left"/>
        </w:tabs>
        <w:numPr>
          <w:ilvl w:val="2"/>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ind w:left="3920"/>
        <w:spacing w:after="0"/>
        <w:tabs>
          <w:tab w:leader="none" w:pos="67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2459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23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November 9, 2020</w:t>
      </w:r>
    </w:p>
    <w:p>
      <w:pPr>
        <w:sectPr>
          <w:pgSz w:w="11900" w:h="16838" w:orient="portrait"/>
          <w:cols w:equalWidth="0" w:num="1">
            <w:col w:w="11220"/>
          </w:cols>
          <w:pgMar w:left="320" w:top="895" w:right="359" w:bottom="1440" w:gutter="0" w:footer="0" w:header="0"/>
        </w:sectPr>
      </w:pPr>
    </w:p>
    <w:bookmarkStart w:id="108" w:name="page109"/>
    <w:bookmarkEnd w:id="108"/>
    <w:p>
      <w:pPr>
        <w:ind w:left="95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61" w:lineRule="exact"/>
        <w:rPr>
          <w:sz w:val="20"/>
          <w:szCs w:val="20"/>
          <w:color w:val="auto"/>
        </w:rPr>
      </w:pPr>
    </w:p>
    <w:p>
      <w:pPr>
        <w:ind w:left="960" w:hanging="48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The Rubicon Project, Inc.;</w:t>
      </w:r>
    </w:p>
    <w:p>
      <w:pPr>
        <w:spacing w:after="0" w:line="252" w:lineRule="exact"/>
        <w:rPr>
          <w:rFonts w:ascii="Arial" w:cs="Arial" w:eastAsia="Arial" w:hAnsi="Arial"/>
          <w:sz w:val="18"/>
          <w:szCs w:val="18"/>
          <w:color w:val="auto"/>
        </w:rPr>
      </w:pPr>
    </w:p>
    <w:p>
      <w:pPr>
        <w:ind w:left="960" w:right="40" w:hanging="482"/>
        <w:spacing w:after="0" w:line="335" w:lineRule="auto"/>
        <w:tabs>
          <w:tab w:leader="none" w:pos="960" w:val="left"/>
        </w:tabs>
        <w:numPr>
          <w:ilvl w:val="0"/>
          <w:numId w:val="83"/>
        </w:numPr>
        <w:rPr>
          <w:rFonts w:ascii="Arial" w:cs="Arial" w:eastAsia="Arial" w:hAnsi="Arial"/>
          <w:sz w:val="16"/>
          <w:szCs w:val="16"/>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960" w:right="460" w:hanging="482"/>
        <w:spacing w:after="0" w:line="296" w:lineRule="auto"/>
        <w:tabs>
          <w:tab w:leader="none" w:pos="960" w:val="left"/>
        </w:tabs>
        <w:numPr>
          <w:ilvl w:val="0"/>
          <w:numId w:val="83"/>
        </w:numPr>
        <w:rPr>
          <w:rFonts w:ascii="Arial" w:cs="Arial" w:eastAsia="Arial" w:hAnsi="Arial"/>
          <w:sz w:val="17"/>
          <w:szCs w:val="17"/>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7"/>
          <w:szCs w:val="17"/>
          <w:color w:val="auto"/>
        </w:rPr>
      </w:pPr>
    </w:p>
    <w:p>
      <w:pPr>
        <w:ind w:left="960" w:right="100" w:hanging="482"/>
        <w:spacing w:after="0" w:line="254"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620" w:right="80" w:hanging="494"/>
        <w:spacing w:after="0" w:line="254" w:lineRule="auto"/>
        <w:tabs>
          <w:tab w:leader="none" w:pos="1610" w:val="left"/>
        </w:tabs>
        <w:numPr>
          <w:ilvl w:val="1"/>
          <w:numId w:val="8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620" w:right="360" w:hanging="494"/>
        <w:spacing w:after="0" w:line="254"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620" w:right="540" w:hanging="494"/>
        <w:spacing w:after="0" w:line="335" w:lineRule="auto"/>
        <w:tabs>
          <w:tab w:leader="none" w:pos="1610" w:val="left"/>
        </w:tabs>
        <w:numPr>
          <w:ilvl w:val="1"/>
          <w:numId w:val="83"/>
        </w:numPr>
        <w:rPr>
          <w:rFonts w:ascii="Arial" w:cs="Arial" w:eastAsia="Arial" w:hAnsi="Arial"/>
          <w:sz w:val="16"/>
          <w:szCs w:val="16"/>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1620" w:right="80" w:hanging="494"/>
        <w:spacing w:after="0" w:line="254"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960" w:right="360" w:hanging="482"/>
        <w:spacing w:after="0" w:line="328" w:lineRule="auto"/>
        <w:tabs>
          <w:tab w:leader="none" w:pos="81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5"/>
          <w:szCs w:val="15"/>
          <w:color w:val="auto"/>
        </w:rPr>
      </w:pPr>
    </w:p>
    <w:p>
      <w:pPr>
        <w:ind w:left="1620" w:hanging="332"/>
        <w:spacing w:after="0" w:line="263" w:lineRule="auto"/>
        <w:tabs>
          <w:tab w:leader="none" w:pos="1610" w:val="left"/>
        </w:tabs>
        <w:numPr>
          <w:ilvl w:val="2"/>
          <w:numId w:val="8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8"/>
          <w:szCs w:val="18"/>
          <w:color w:val="auto"/>
        </w:rPr>
      </w:pPr>
    </w:p>
    <w:p>
      <w:pPr>
        <w:ind w:left="1620" w:right="460" w:hanging="332"/>
        <w:spacing w:after="0" w:line="263" w:lineRule="auto"/>
        <w:tabs>
          <w:tab w:leader="none" w:pos="1620" w:val="left"/>
        </w:tabs>
        <w:numPr>
          <w:ilvl w:val="2"/>
          <w:numId w:val="8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4"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5660" w:type="dxa"/>
            <w:vAlign w:val="bottom"/>
          </w:tcPr>
          <w:p>
            <w:pPr>
              <w:ind w:left="2880"/>
              <w:spacing w:after="0"/>
              <w:rPr>
                <w:sz w:val="20"/>
                <w:szCs w:val="20"/>
                <w:color w:val="auto"/>
              </w:rPr>
            </w:pPr>
            <w:r>
              <w:rPr>
                <w:rFonts w:ascii="Arial" w:cs="Arial" w:eastAsia="Arial" w:hAnsi="Arial"/>
                <w:sz w:val="16"/>
                <w:szCs w:val="16"/>
                <w:color w:val="auto"/>
              </w:rPr>
              <w:t>Signature:</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Day</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David Day</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7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06"/>
        </w:trPr>
        <w:tc>
          <w:tcPr>
            <w:tcW w:w="5660" w:type="dxa"/>
            <w:vAlign w:val="bottom"/>
            <w:vMerge w:val="restart"/>
          </w:tcPr>
          <w:p>
            <w:pPr>
              <w:spacing w:after="0"/>
              <w:rPr>
                <w:sz w:val="20"/>
                <w:szCs w:val="20"/>
                <w:color w:val="auto"/>
              </w:rPr>
            </w:pPr>
            <w:r>
              <w:rPr>
                <w:rFonts w:ascii="Arial" w:cs="Arial" w:eastAsia="Arial" w:hAnsi="Arial"/>
                <w:sz w:val="16"/>
                <w:szCs w:val="16"/>
                <w:color w:val="auto"/>
              </w:rPr>
              <w:t>Date November 9, 2020</w:t>
            </w:r>
          </w:p>
        </w:tc>
        <w:tc>
          <w:tcPr>
            <w:tcW w:w="3540" w:type="dxa"/>
            <w:vAlign w:val="bottom"/>
          </w:tcPr>
          <w:p>
            <w:pPr>
              <w:ind w:left="74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60" w:top="895"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32</w:t>
      </w:r>
    </w:p>
    <w:p>
      <w:pPr>
        <w:spacing w:after="0" w:line="329"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w:t>
      </w:r>
    </w:p>
    <w:p>
      <w:pPr>
        <w:spacing w:after="0" w:line="86"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SECTION 1350,</w:t>
      </w:r>
    </w:p>
    <w:p>
      <w:pPr>
        <w:spacing w:after="0" w:line="86"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ind w:right="20"/>
        <w:spacing w:after="0" w:line="366"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The Rubicon Project, Inc. (the "Company"), and David Day, Chief Financial Officer (Principal Financial Officer) of the Company, each hereby certifies that, to the best of his knowledge:</w:t>
      </w:r>
    </w:p>
    <w:p>
      <w:pPr>
        <w:spacing w:after="0" w:line="238" w:lineRule="exact"/>
        <w:rPr>
          <w:sz w:val="20"/>
          <w:szCs w:val="20"/>
          <w:color w:val="auto"/>
        </w:rPr>
      </w:pPr>
    </w:p>
    <w:p>
      <w:pPr>
        <w:ind w:left="660" w:right="300" w:hanging="328"/>
        <w:spacing w:after="0" w:line="3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6"/>
          <w:szCs w:val="16"/>
          <w:color w:val="auto"/>
        </w:rPr>
        <w:t>Our Quarterly Report on Form 10-Q for the quarter ended September 30, 2020, to which this certification is attached as Exhibit 32 (the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2020</w:t>
      </w:r>
    </w:p>
    <w:p>
      <w:pPr>
        <w:spacing w:after="0" w:line="200" w:lineRule="exact"/>
        <w:rPr>
          <w:sz w:val="20"/>
          <w:szCs w:val="20"/>
          <w:color w:val="auto"/>
        </w:rPr>
      </w:pPr>
    </w:p>
    <w:p>
      <w:pPr>
        <w:spacing w:after="0" w:line="22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348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Michael Barrett</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President and Chief Executive</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Officer</w:t>
      </w:r>
    </w:p>
    <w:p>
      <w:pPr>
        <w:spacing w:after="0" w:line="5"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17780</wp:posOffset>
            </wp:positionV>
            <wp:extent cx="23488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David Day</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470"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310"/>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lowerLetter"/>
      <w:start w:val="2"/>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upperLetter"/>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lowerLetter"/>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4"/>
    </w:lvl>
  </w:abstractNum>
  <w:abstractNum w:abstractNumId="16">
    <w:nsid w:val="3DC240FB"/>
    <w:multiLevelType w:val="hybridMultilevel"/>
    <w:lvl w:ilvl="0">
      <w:lvlJc w:val="left"/>
      <w:lvlText w:val="%1."/>
      <w:numFmt w:val="lowerLetter"/>
      <w:start w:val="2"/>
    </w:lvl>
    <w:lvl w:ilvl="1">
      <w:lvlJc w:val="left"/>
      <w:lvlText w:val="%2."/>
      <w:numFmt w:val="decimal"/>
      <w:start w:val="1"/>
    </w:lvl>
  </w:abstractNum>
  <w:abstractNum w:abstractNumId="17">
    <w:nsid w:val="1BA026FA"/>
    <w:multiLevelType w:val="hybridMultilevel"/>
    <w:lvl w:ilvl="0">
      <w:lvlJc w:val="left"/>
      <w:lvlText w:val="%1."/>
      <w:numFmt w:val="decimal"/>
      <w:start w:val="2"/>
    </w:lvl>
  </w:abstractNum>
  <w:abstractNum w:abstractNumId="18">
    <w:nsid w:val="79A1DEAA"/>
    <w:multiLevelType w:val="hybridMultilevel"/>
    <w:lvl w:ilvl="0">
      <w:lvlJc w:val="left"/>
      <w:lvlText w:val="%1"/>
      <w:numFmt w:val="lowerLetter"/>
      <w:start w:val="1"/>
    </w:lvl>
    <w:lvl w:ilvl="1">
      <w:lvlJc w:val="left"/>
      <w:lvlText w:val="%2."/>
      <w:numFmt w:val="lowerLetter"/>
      <w:start w:val="1"/>
    </w:lvl>
  </w:abstractNum>
  <w:abstractNum w:abstractNumId="19">
    <w:nsid w:val="75C6C33A"/>
    <w:multiLevelType w:val="hybridMultilevel"/>
    <w:lvl w:ilvl="0">
      <w:lvlJc w:val="left"/>
      <w:lvlText w:val="%1."/>
      <w:numFmt w:val="lowerLetter"/>
      <w:start w:val="4"/>
    </w:lvl>
    <w:lvl w:ilvl="1">
      <w:lvlJc w:val="left"/>
      <w:lvlText w:val="%2."/>
      <w:numFmt w:val="lowerLetter"/>
      <w:start w:val="3"/>
    </w:lvl>
  </w:abstractNum>
  <w:abstractNum w:abstractNumId="20">
    <w:nsid w:val="12E685FB"/>
    <w:multiLevelType w:val="hybridMultilevel"/>
    <w:lvl w:ilvl="0">
      <w:lvlJc w:val="left"/>
      <w:lvlText w:val="%1"/>
      <w:numFmt w:val="lowerLetter"/>
      <w:start w:val="1"/>
    </w:lvl>
    <w:lvl w:ilvl="1">
      <w:lvlJc w:val="left"/>
      <w:lvlText w:val="%2."/>
      <w:numFmt w:val="lowerLetter"/>
      <w:start w:val="7"/>
    </w:lvl>
  </w:abstractNum>
  <w:abstractNum w:abstractNumId="21">
    <w:nsid w:val="70C6A529"/>
    <w:multiLevelType w:val="hybridMultilevel"/>
    <w:lvl w:ilvl="0">
      <w:lvlJc w:val="left"/>
      <w:lvlText w:val="%1."/>
      <w:numFmt w:val="lowerLetter"/>
      <w:start w:val="5"/>
    </w:lvl>
    <w:lvl w:ilvl="1">
      <w:lvlJc w:val="left"/>
      <w:lvlText w:val="%2."/>
      <w:numFmt w:val="lowerLetter"/>
      <w:start w:val="8"/>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lowerLetter"/>
      <w:start w:val="7"/>
    </w:lvl>
    <w:lvl w:ilvl="1">
      <w:lvlJc w:val="left"/>
      <w:lvlText w:val="%2."/>
      <w:numFmt w:val="lowerLetter"/>
      <w:start w:val="11"/>
    </w:lvl>
  </w:abstractNum>
  <w:abstractNum w:abstractNumId="24">
    <w:nsid w:val="4F4EF005"/>
    <w:multiLevelType w:val="hybridMultilevel"/>
    <w:lvl w:ilvl="0">
      <w:lvlJc w:val="left"/>
      <w:lvlText w:val="%1"/>
      <w:numFmt w:val="lowerLetter"/>
      <w:start w:val="1"/>
    </w:lvl>
    <w:lvl w:ilvl="1">
      <w:lvlJc w:val="left"/>
      <w:lvlText w:val="%2."/>
      <w:numFmt w:val="lowerLetter"/>
      <w:start w:val="14"/>
    </w:lvl>
  </w:abstractNum>
  <w:abstractNum w:abstractNumId="25">
    <w:nsid w:val="23F9C13C"/>
    <w:multiLevelType w:val="hybridMultilevel"/>
    <w:lvl w:ilvl="0">
      <w:lvlJc w:val="left"/>
      <w:lvlText w:val="%1."/>
      <w:numFmt w:val="lowerLetter"/>
      <w:start w:val="8"/>
    </w:lvl>
    <w:lvl w:ilvl="1">
      <w:lvlJc w:val="left"/>
      <w:lvlText w:val="%2."/>
      <w:numFmt w:val="lowerLetter"/>
      <w:start w:val="23"/>
    </w:lvl>
  </w:abstractNum>
  <w:abstractNum w:abstractNumId="26">
    <w:nsid w:val="649BB77C"/>
    <w:multiLevelType w:val="hybridMultilevel"/>
    <w:lvl w:ilvl="0">
      <w:lvlJc w:val="left"/>
      <w:lvlText w:val="%1."/>
      <w:numFmt w:val="lowerLetter"/>
      <w:start w:val="10"/>
    </w:lvl>
    <w:lvl w:ilvl="1">
      <w:lvlJc w:val="left"/>
      <w:lvlText w:val="%2"/>
      <w:numFmt w:val="lowerLetter"/>
      <w:start w:val="1"/>
    </w:lvl>
  </w:abstractNum>
  <w:abstractNum w:abstractNumId="27">
    <w:nsid w:val="275AC794"/>
    <w:multiLevelType w:val="hybridMultilevel"/>
    <w:lvl w:ilvl="0">
      <w:lvlJc w:val="left"/>
      <w:lvlText w:val="%1"/>
      <w:numFmt w:val="lowerLetter"/>
      <w:start w:val="1"/>
    </w:lvl>
    <w:lvl w:ilvl="1">
      <w:lvlJc w:val="left"/>
      <w:lvlText w:val="%2."/>
      <w:numFmt w:val="lowerLetter"/>
      <w:start w:val="27"/>
    </w:lvl>
  </w:abstractNum>
  <w:abstractNum w:abstractNumId="28">
    <w:nsid w:val="39386575"/>
    <w:multiLevelType w:val="hybridMultilevel"/>
    <w:lvl w:ilvl="0">
      <w:lvlJc w:val="left"/>
      <w:lvlText w:val="%1."/>
      <w:numFmt w:val="lowerLetter"/>
      <w:start w:val="11"/>
    </w:lvl>
    <w:lvl w:ilvl="1">
      <w:lvlJc w:val="left"/>
      <w:lvlText w:val="%2"/>
      <w:numFmt w:val="lowerLetter"/>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1."/>
      <w:numFmt w:val="decimal"/>
      <w:start w:val="4"/>
    </w:lvl>
  </w:abstractNum>
  <w:abstractNum w:abstractNumId="32">
    <w:nsid w:val="47398C89"/>
    <w:multiLevelType w:val="hybridMultilevel"/>
    <w:lvl w:ilvl="0">
      <w:lvlJc w:val="left"/>
      <w:lvlText w:val="%1."/>
      <w:numFmt w:val="lowerLetter"/>
      <w:start w:val="12"/>
    </w:lvl>
  </w:abstractNum>
  <w:abstractNum w:abstractNumId="33">
    <w:nsid w:val="354FE9F9"/>
    <w:multiLevelType w:val="hybridMultilevel"/>
    <w:lvl w:ilvl="0">
      <w:lvlJc w:val="left"/>
      <w:lvlText w:val="%1."/>
      <w:numFmt w:val="lowerLetter"/>
      <w:start w:val="13"/>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lowerLetter"/>
      <w:start w:val="14"/>
    </w:lvl>
  </w:abstractNum>
  <w:abstractNum w:abstractNumId="37">
    <w:nsid w:val="10233C99"/>
    <w:multiLevelType w:val="hybridMultilevel"/>
    <w:lvl w:ilvl="0">
      <w:lvlJc w:val="left"/>
      <w:lvlText w:val="%1."/>
      <w:numFmt w:val="lowerLetter"/>
      <w:start w:val="15"/>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lowerLetter"/>
      <w:start w:val="17"/>
    </w:lvl>
  </w:abstractNum>
  <w:abstractNum w:abstractNumId="40">
    <w:nsid w:val="7E0C57B1"/>
    <w:multiLevelType w:val="hybridMultilevel"/>
    <w:lvl w:ilvl="0">
      <w:lvlJc w:val="left"/>
      <w:lvlText w:val="%1."/>
      <w:numFmt w:val="lowerLetter"/>
      <w:start w:val="18"/>
    </w:lvl>
  </w:abstractNum>
  <w:abstractNum w:abstractNumId="41">
    <w:nsid w:val="77AE35EB"/>
    <w:multiLevelType w:val="hybridMultilevel"/>
    <w:lvl w:ilvl="0">
      <w:lvlJc w:val="left"/>
      <w:lvlText w:val="%1."/>
      <w:numFmt w:val="lowerLetter"/>
      <w:start w:val="19"/>
    </w:lvl>
  </w:abstractNum>
  <w:abstractNum w:abstractNumId="42">
    <w:nsid w:val="579BE4F1"/>
    <w:multiLevelType w:val="hybridMultilevel"/>
    <w:lvl w:ilvl="0">
      <w:lvlJc w:val="left"/>
      <w:lvlText w:val="%1"/>
      <w:numFmt w:val="lowerLetter"/>
      <w:start w:val="1"/>
    </w:lvl>
    <w:lvl w:ilvl="1">
      <w:lvlJc w:val="left"/>
      <w:lvlText w:val="%2."/>
      <w:numFmt w:val="lowerLetter"/>
      <w:start w:val="20"/>
    </w:lvl>
  </w:abstractNum>
  <w:abstractNum w:abstractNumId="43">
    <w:nsid w:val="310C50B3"/>
    <w:multiLevelType w:val="hybridMultilevel"/>
    <w:lvl w:ilvl="0">
      <w:lvlJc w:val="left"/>
      <w:lvlText w:val="(%1)"/>
      <w:numFmt w:val="lowerLetter"/>
      <w:start w:val="2"/>
    </w:lvl>
    <w:lvl w:ilvl="1">
      <w:lvlJc w:val="left"/>
      <w:lvlText w:val="%2"/>
      <w:numFmt w:val="lowerLetter"/>
      <w:start w:val="1"/>
    </w:lvl>
  </w:abstractNum>
  <w:abstractNum w:abstractNumId="44">
    <w:nsid w:val="5FF87E05"/>
    <w:multiLevelType w:val="hybridMultilevel"/>
    <w:lvl w:ilvl="0">
      <w:lvlJc w:val="left"/>
      <w:lvlText w:val="%1."/>
      <w:numFmt w:val="lowerLetter"/>
      <w:start w:val="24"/>
    </w:lvl>
  </w:abstractNum>
  <w:abstractNum w:abstractNumId="45">
    <w:nsid w:val="2F305DEF"/>
    <w:multiLevelType w:val="hybridMultilevel"/>
    <w:lvl w:ilvl="0">
      <w:lvlJc w:val="left"/>
      <w:lvlText w:val="%1."/>
      <w:numFmt w:val="lowerLetter"/>
      <w:start w:val="26"/>
    </w:lvl>
  </w:abstractNum>
  <w:abstractNum w:abstractNumId="46">
    <w:nsid w:val="25A70BF7"/>
    <w:multiLevelType w:val="hybridMultilevel"/>
    <w:lvl w:ilvl="0">
      <w:lvlJc w:val="left"/>
      <w:lvlText w:val="%1."/>
      <w:numFmt w:val="lowerLetter"/>
      <w:start w:val="27"/>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1."/>
      <w:numFmt w:val="lowerLetter"/>
      <w:start w:val="28"/>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Letter"/>
      <w:start w:val="28"/>
    </w:lvl>
  </w:abstractNum>
  <w:abstractNum w:abstractNumId="52">
    <w:nsid w:val="100F8FCA"/>
    <w:multiLevelType w:val="hybridMultilevel"/>
    <w:lvl w:ilvl="0">
      <w:lvlJc w:val="left"/>
      <w:lvlText w:val="(%1)"/>
      <w:numFmt w:val="lowerLetter"/>
      <w:start w:val="25"/>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lowerLetter"/>
      <w:start w:val="29"/>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lowerLetter"/>
      <w:start w:val="29"/>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lowerLetter"/>
      <w:start w:val="1"/>
    </w:lvl>
    <w:lvl w:ilvl="1">
      <w:lvlJc w:val="left"/>
      <w:lvlText w:val="%2."/>
      <w:numFmt w:val="lowerLetter"/>
      <w:start w:val="1"/>
    </w:lvl>
  </w:abstractNum>
  <w:abstractNum w:abstractNumId="61">
    <w:nsid w:val="1EBA5D23"/>
    <w:multiLevelType w:val="hybridMultilevel"/>
    <w:lvl w:ilvl="0">
      <w:lvlJc w:val="left"/>
      <w:lvlText w:val="(%1)"/>
      <w:numFmt w:val="lowerLetter"/>
      <w:start w:val="5"/>
    </w:lvl>
    <w:lvl w:ilvl="1">
      <w:lvlJc w:val="left"/>
      <w:lvlText w:val="%2."/>
      <w:numFmt w:val="lowerLetter"/>
      <w:start w:val="9"/>
    </w:lvl>
  </w:abstractNum>
  <w:abstractNum w:abstractNumId="62">
    <w:nsid w:val="661E3F1E"/>
    <w:multiLevelType w:val="hybridMultilevel"/>
    <w:lvl w:ilvl="0">
      <w:lvlJc w:val="left"/>
      <w:lvlText w:val="%1."/>
      <w:numFmt w:val="lowerLetter"/>
      <w:start w:val="10"/>
    </w:lvl>
  </w:abstractNum>
  <w:abstractNum w:abstractNumId="63">
    <w:nsid w:val="5DC79EA8"/>
    <w:multiLevelType w:val="hybridMultilevel"/>
    <w:lvl w:ilvl="0">
      <w:lvlJc w:val="left"/>
      <w:lvlText w:val="%1."/>
      <w:numFmt w:val="lowerLetter"/>
      <w:start w:val="25"/>
    </w:lvl>
  </w:abstractNum>
  <w:abstractNum w:abstractNumId="64">
    <w:nsid w:val="540A471C"/>
    <w:multiLevelType w:val="hybridMultilevel"/>
    <w:lvl w:ilvl="0">
      <w:lvlJc w:val="left"/>
      <w:lvlText w:val="%1."/>
      <w:numFmt w:val="lowerLetter"/>
      <w:start w:val="27"/>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3"/>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8"/>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lowerLetter"/>
      <w:start w:val="13"/>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Letter"/>
      <w:start w:val="10"/>
    </w:lvl>
  </w:abstractNum>
  <w:abstractNum w:abstractNumId="74">
    <w:nsid w:val="3B0FD379"/>
    <w:multiLevelType w:val="hybridMultilevel"/>
    <w:lvl w:ilvl="0">
      <w:lvlJc w:val="left"/>
      <w:lvlText w:val="%1."/>
      <w:numFmt w:val="upperLetter"/>
      <w:start w:val="9"/>
    </w:lvl>
  </w:abstractNum>
  <w:abstractNum w:abstractNumId="75">
    <w:nsid w:val="68EB2F63"/>
    <w:multiLevelType w:val="hybridMultilevel"/>
    <w:lvl w:ilvl="0">
      <w:lvlJc w:val="left"/>
      <w:lvlText w:val="%1."/>
      <w:numFmt w:val="upperLetter"/>
      <w:start w:val="1"/>
    </w:lvl>
  </w:abstractNum>
  <w:abstractNum w:abstractNumId="76">
    <w:nsid w:val="4962813B"/>
    <w:multiLevelType w:val="hybridMultilevel"/>
    <w:lvl w:ilvl="0">
      <w:lvlJc w:val="left"/>
      <w:lvlText w:val="%1."/>
      <w:numFmt w:val="upperLetter"/>
      <w:start w:val="35"/>
    </w:lvl>
  </w:abstractNum>
  <w:abstractNum w:abstractNumId="77">
    <w:nsid w:val="60B6DF70"/>
    <w:multiLevelType w:val="hybridMultilevel"/>
    <w:lvl w:ilvl="0">
      <w:lvlJc w:val="left"/>
      <w:lvlText w:val="%1."/>
      <w:numFmt w:val="upperLetter"/>
      <w:start w:val="2"/>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2">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2020-11-09T15:51:38Z</dcterms:created>
  <dcterms:modified xsi:type="dcterms:W3CDTF">2020-11-09T15:51:38Z</dcterms:modified>
</cp:coreProperties>
</file>