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(Mark One)</w:t>
      </w:r>
    </w:p>
    <w:p>
      <w:pPr>
        <w:spacing w:after="0" w:line="224" w:lineRule="exact"/>
        <w:rPr>
          <w:sz w:val="24"/>
          <w:szCs w:val="24"/>
          <w:color w:val="auto"/>
        </w:rPr>
      </w:pPr>
    </w:p>
    <w:p>
      <w:pPr>
        <w:ind w:left="1360" w:hanging="195"/>
        <w:spacing w:after="0"/>
        <w:tabs>
          <w:tab w:leader="none" w:pos="1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2024</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6" w:lineRule="exact"/>
        <w:rPr>
          <w:sz w:val="24"/>
          <w:szCs w:val="24"/>
          <w:color w:val="auto"/>
        </w:rPr>
      </w:pPr>
    </w:p>
    <w:p>
      <w:pPr>
        <w:jc w:val="center"/>
        <w:ind w:left="3260" w:right="1120" w:hanging="2123"/>
        <w:spacing w:after="0" w:line="274" w:lineRule="auto"/>
        <w:tabs>
          <w:tab w:leader="none" w:pos="134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_____________ to _____________</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001-36384</w:t>
      </w:r>
    </w:p>
    <w:p>
      <w:pPr>
        <w:spacing w:after="0" w:line="3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MAGNITE,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20" w:lineRule="exact"/>
        <w:rPr>
          <w:sz w:val="24"/>
          <w:szCs w:val="24"/>
          <w:color w:val="auto"/>
        </w:rPr>
      </w:pPr>
    </w:p>
    <w:p>
      <w:pPr>
        <w:ind w:left="1860"/>
        <w:spacing w:after="0"/>
        <w:tabs>
          <w:tab w:leader="none" w:pos="858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20-8881738</w:t>
      </w:r>
    </w:p>
    <w:p>
      <w:pPr>
        <w:spacing w:after="0" w:line="19" w:lineRule="exact"/>
        <w:rPr>
          <w:sz w:val="24"/>
          <w:szCs w:val="24"/>
          <w:color w:val="auto"/>
        </w:rPr>
      </w:pPr>
    </w:p>
    <w:p>
      <w:pPr>
        <w:ind w:left="640"/>
        <w:spacing w:after="0"/>
        <w:tabs>
          <w:tab w:leader="none" w:pos="7740" w:val="left"/>
        </w:tabs>
        <w:rPr>
          <w:sz w:val="20"/>
          <w:szCs w:val="20"/>
          <w:color w:val="auto"/>
        </w:rPr>
      </w:pPr>
      <w:r>
        <w:rPr>
          <w:rFonts w:ascii="Times New Roman" w:cs="Times New Roman" w:eastAsia="Times New Roman" w:hAnsi="Times New Roman"/>
          <w:sz w:val="17"/>
          <w:szCs w:val="17"/>
          <w:color w:val="auto"/>
        </w:rPr>
        <w:t>(State or other jurisdiction of incorporation or</w:t>
      </w:r>
      <w:r>
        <w:rPr>
          <w:sz w:val="20"/>
          <w:szCs w:val="20"/>
          <w:color w:val="auto"/>
        </w:rPr>
        <w:tab/>
      </w:r>
      <w:r>
        <w:rPr>
          <w:rFonts w:ascii="Times New Roman" w:cs="Times New Roman" w:eastAsia="Times New Roman" w:hAnsi="Times New Roman"/>
          <w:sz w:val="17"/>
          <w:szCs w:val="17"/>
          <w:color w:val="auto"/>
        </w:rPr>
        <w:t>(I.R.S. Employer Identification No.)</w:t>
      </w:r>
    </w:p>
    <w:p>
      <w:pPr>
        <w:ind w:left="1760"/>
        <w:spacing w:after="0"/>
        <w:rPr>
          <w:sz w:val="20"/>
          <w:szCs w:val="20"/>
          <w:color w:val="auto"/>
        </w:rPr>
      </w:pPr>
      <w:r>
        <w:rPr>
          <w:rFonts w:ascii="Times New Roman" w:cs="Times New Roman" w:eastAsia="Times New Roman" w:hAnsi="Times New Roman"/>
          <w:sz w:val="17"/>
          <w:szCs w:val="17"/>
          <w:color w:val="auto"/>
        </w:rPr>
        <w:t>organization)</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1250 Broadway, 15th Floor</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0" w:lineRule="exact"/>
        <w:rPr>
          <w:sz w:val="24"/>
          <w:szCs w:val="24"/>
          <w:color w:val="auto"/>
        </w:rPr>
      </w:pPr>
    </w:p>
    <w:p>
      <w:pPr>
        <w:ind w:left="5500" w:hanging="415"/>
        <w:spacing w:after="0"/>
        <w:tabs>
          <w:tab w:leader="none" w:pos="550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243-2769</w:t>
      </w:r>
    </w:p>
    <w:p>
      <w:pPr>
        <w:spacing w:after="0" w:line="81" w:lineRule="exact"/>
        <w:rPr>
          <w:rFonts w:ascii="Times New Roman" w:cs="Times New Roman" w:eastAsia="Times New Roman" w:hAnsi="Times New Roman"/>
          <w:sz w:val="17"/>
          <w:szCs w:val="17"/>
          <w:b w:val="1"/>
          <w:bCs w:val="1"/>
          <w:color w:val="auto"/>
        </w:rPr>
      </w:pPr>
    </w:p>
    <w:p>
      <w:pPr>
        <w:ind w:left="50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______________</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1" w:lineRule="exact"/>
        <w:rPr>
          <w:sz w:val="24"/>
          <w:szCs w:val="24"/>
          <w:color w:val="auto"/>
        </w:rPr>
      </w:pPr>
    </w:p>
    <w:p>
      <w:pPr>
        <w:ind w:left="1440"/>
        <w:spacing w:after="0"/>
        <w:tabs>
          <w:tab w:leader="none" w:pos="4460" w:val="left"/>
          <w:tab w:leader="none" w:pos="7160" w:val="left"/>
        </w:tabs>
        <w:rPr>
          <w:sz w:val="20"/>
          <w:szCs w:val="20"/>
          <w:color w:val="auto"/>
        </w:rPr>
      </w:pPr>
      <w:r>
        <w:rPr>
          <w:rFonts w:ascii="Times New Roman" w:cs="Times New Roman" w:eastAsia="Times New Roman" w:hAnsi="Times New Roman"/>
          <w:sz w:val="17"/>
          <w:szCs w:val="17"/>
          <w:color w:val="auto"/>
        </w:rPr>
        <w:t>Title of each class</w:t>
      </w:r>
      <w:r>
        <w:rPr>
          <w:sz w:val="20"/>
          <w:szCs w:val="20"/>
          <w:color w:val="auto"/>
        </w:rPr>
        <w:tab/>
      </w:r>
      <w:r>
        <w:rPr>
          <w:rFonts w:ascii="Times New Roman" w:cs="Times New Roman" w:eastAsia="Times New Roman" w:hAnsi="Times New Roman"/>
          <w:sz w:val="17"/>
          <w:szCs w:val="17"/>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30" w:lineRule="exact"/>
        <w:rPr>
          <w:sz w:val="24"/>
          <w:szCs w:val="24"/>
          <w:color w:val="auto"/>
        </w:rPr>
      </w:pPr>
    </w:p>
    <w:p>
      <w:pPr>
        <w:ind w:left="400"/>
        <w:spacing w:after="0"/>
        <w:tabs>
          <w:tab w:leader="none" w:pos="4880" w:val="left"/>
          <w:tab w:leader="none" w:pos="7600" w:val="left"/>
        </w:tabs>
        <w:rPr>
          <w:sz w:val="20"/>
          <w:szCs w:val="20"/>
          <w:color w:val="auto"/>
        </w:rPr>
      </w:pPr>
      <w:r>
        <w:rPr>
          <w:rFonts w:ascii="Times New Roman" w:cs="Times New Roman" w:eastAsia="Times New Roman" w:hAnsi="Times New Roman"/>
          <w:sz w:val="17"/>
          <w:szCs w:val="17"/>
          <w:b w:val="1"/>
          <w:bCs w:val="1"/>
          <w:color w:val="auto"/>
        </w:rPr>
        <w:t>Common stock, par value $0.00001 per share</w:t>
      </w:r>
      <w:r>
        <w:rPr>
          <w:sz w:val="20"/>
          <w:szCs w:val="20"/>
          <w:color w:val="auto"/>
        </w:rPr>
        <w:tab/>
      </w:r>
      <w:r>
        <w:rPr>
          <w:rFonts w:ascii="Times New Roman" w:cs="Times New Roman" w:eastAsia="Times New Roman" w:hAnsi="Times New Roman"/>
          <w:sz w:val="17"/>
          <w:szCs w:val="17"/>
          <w:b w:val="1"/>
          <w:bCs w:val="1"/>
          <w:color w:val="auto"/>
        </w:rPr>
        <w:t>MGNI</w:t>
      </w:r>
      <w:r>
        <w:rPr>
          <w:sz w:val="20"/>
          <w:szCs w:val="20"/>
          <w:color w:val="auto"/>
        </w:rPr>
        <w:tab/>
      </w:r>
      <w:r>
        <w:rPr>
          <w:rFonts w:ascii="Times New Roman" w:cs="Times New Roman" w:eastAsia="Times New Roman" w:hAnsi="Times New Roman"/>
          <w:sz w:val="17"/>
          <w:szCs w:val="17"/>
          <w:b w:val="1"/>
          <w:bCs w:val="1"/>
          <w:color w:val="auto"/>
        </w:rPr>
        <w:t>Nasdaq Global Select Market</w:t>
      </w:r>
    </w:p>
    <w:p>
      <w:pPr>
        <w:spacing w:after="0" w:line="213"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4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20"/>
        <w:spacing w:after="0" w:line="196" w:lineRule="exact"/>
        <w:tabs>
          <w:tab w:leader="none" w:pos="5420" w:val="left"/>
          <w:tab w:leader="none" w:pos="1106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Accelerated filer</w:t>
      </w:r>
      <w:r>
        <w:rPr>
          <w:sz w:val="20"/>
          <w:szCs w:val="20"/>
          <w:color w:val="auto"/>
        </w:rPr>
        <w:tab/>
      </w:r>
      <w:r>
        <w:rPr>
          <w:rFonts w:ascii="MS PGothic" w:cs="MS PGothic" w:eastAsia="MS PGothic" w:hAnsi="MS PGothic"/>
          <w:sz w:val="14"/>
          <w:szCs w:val="14"/>
          <w:color w:val="auto"/>
        </w:rPr>
        <w:t>☐</w:t>
      </w:r>
    </w:p>
    <w:p>
      <w:pPr>
        <w:spacing w:after="0" w:line="110" w:lineRule="exact"/>
        <w:rPr>
          <w:sz w:val="24"/>
          <w:szCs w:val="24"/>
          <w:color w:val="auto"/>
        </w:rPr>
      </w:pPr>
    </w:p>
    <w:p>
      <w:pPr>
        <w:ind w:left="20"/>
        <w:spacing w:after="0" w:line="196" w:lineRule="exact"/>
        <w:tabs>
          <w:tab w:leader="none" w:pos="5300" w:val="left"/>
          <w:tab w:leader="none" w:pos="11060" w:val="left"/>
        </w:tabs>
        <w:rPr>
          <w:sz w:val="20"/>
          <w:szCs w:val="20"/>
          <w:color w:val="auto"/>
        </w:rPr>
      </w:pP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15" w:lineRule="exact"/>
        <w:rPr>
          <w:sz w:val="24"/>
          <w:szCs w:val="24"/>
          <w:color w:val="auto"/>
        </w:rPr>
      </w:pPr>
    </w:p>
    <w:p>
      <w:pPr>
        <w:ind w:left="5620"/>
        <w:spacing w:after="0" w:line="196" w:lineRule="exact"/>
        <w:tabs>
          <w:tab w:leader="none" w:pos="11060" w:val="left"/>
        </w:tabs>
        <w:rPr>
          <w:sz w:val="20"/>
          <w:szCs w:val="20"/>
          <w:color w:val="auto"/>
        </w:rPr>
      </w:pP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57"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560"/>
        <w:spacing w:after="0" w:line="27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Indicate the number of shares outstanding of each of the registrant's classes of common stock, as of the latest practicable date.</w:t>
      </w:r>
    </w:p>
    <w:p>
      <w:pPr>
        <w:spacing w:after="0" w:line="114" w:lineRule="exact"/>
        <w:rPr>
          <w:sz w:val="24"/>
          <w:szCs w:val="24"/>
          <w:color w:val="auto"/>
        </w:rPr>
      </w:pPr>
    </w:p>
    <w:p>
      <w:pPr>
        <w:ind w:left="336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Class</w:t>
      </w:r>
      <w:r>
        <w:rPr>
          <w:sz w:val="20"/>
          <w:szCs w:val="20"/>
          <w:color w:val="auto"/>
        </w:rPr>
        <w:tab/>
      </w:r>
      <w:r>
        <w:rPr>
          <w:rFonts w:ascii="Times New Roman" w:cs="Times New Roman" w:eastAsia="Times New Roman" w:hAnsi="Times New Roman"/>
          <w:sz w:val="16"/>
          <w:szCs w:val="16"/>
          <w:b w:val="1"/>
          <w:bCs w:val="1"/>
          <w:color w:val="auto"/>
        </w:rPr>
        <w:t>Outstanding as of April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16510</wp:posOffset>
            </wp:positionV>
            <wp:extent cx="5248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891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32" w:lineRule="exact"/>
        <w:rPr>
          <w:sz w:val="24"/>
          <w:szCs w:val="24"/>
          <w:color w:val="auto"/>
        </w:rPr>
      </w:pPr>
    </w:p>
    <w:p>
      <w:pPr>
        <w:ind w:left="2220"/>
        <w:spacing w:after="0"/>
        <w:tabs>
          <w:tab w:leader="none" w:pos="7260" w:val="left"/>
        </w:tabs>
        <w:rPr>
          <w:sz w:val="20"/>
          <w:szCs w:val="20"/>
          <w:color w:val="auto"/>
        </w:rPr>
      </w:pPr>
      <w:r>
        <w:rPr>
          <w:rFonts w:ascii="Times New Roman" w:cs="Times New Roman" w:eastAsia="Times New Roman" w:hAnsi="Times New Roman"/>
          <w:sz w:val="17"/>
          <w:szCs w:val="17"/>
          <w:b w:val="1"/>
          <w:bCs w:val="1"/>
          <w:color w:val="auto"/>
        </w:rPr>
        <w:t>Common Stock, $0.00001 par value</w:t>
      </w:r>
      <w:r>
        <w:rPr>
          <w:sz w:val="20"/>
          <w:szCs w:val="20"/>
          <w:color w:val="auto"/>
        </w:rPr>
        <w:tab/>
      </w:r>
      <w:r>
        <w:rPr>
          <w:rFonts w:ascii="Times New Roman" w:cs="Times New Roman" w:eastAsia="Times New Roman" w:hAnsi="Times New Roman"/>
          <w:sz w:val="17"/>
          <w:szCs w:val="17"/>
          <w:b w:val="1"/>
          <w:bCs w:val="1"/>
          <w:color w:val="auto"/>
        </w:rPr>
        <w:t>140,023,657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516890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2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43"/>
        </w:trPr>
        <w:tc>
          <w:tcPr>
            <w:tcW w:w="1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340" w:type="dxa"/>
            <w:vAlign w:val="bottom"/>
            <w:gridSpan w:val="10"/>
          </w:tcPr>
          <w:p>
            <w:pPr>
              <w:jc w:val="center"/>
              <w:ind w:right="3980"/>
              <w:spacing w:after="0"/>
              <w:rPr>
                <w:sz w:val="20"/>
                <w:szCs w:val="20"/>
                <w:color w:val="auto"/>
              </w:rPr>
            </w:pPr>
            <w:r>
              <w:rPr>
                <w:rFonts w:ascii="Times New Roman" w:cs="Times New Roman" w:eastAsia="Times New Roman" w:hAnsi="Times New Roman"/>
                <w:sz w:val="17"/>
                <w:szCs w:val="17"/>
                <w:b w:val="1"/>
                <w:bCs w:val="1"/>
                <w:color w:val="auto"/>
              </w:rPr>
              <w:t>MAGNITE, INC.</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0" w:type="dxa"/>
            <w:vAlign w:val="bottom"/>
            <w:gridSpan w:val="11"/>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0" w:type="dxa"/>
            <w:vAlign w:val="bottom"/>
            <w:gridSpan w:val="11"/>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6"/>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Page No.</w:t>
            </w:r>
          </w:p>
        </w:tc>
      </w:tr>
      <w:tr>
        <w:trPr>
          <w:trHeight w:val="174"/>
        </w:trPr>
        <w:tc>
          <w:tcPr>
            <w:tcW w:w="1120" w:type="dxa"/>
            <w:vAlign w:val="bottom"/>
          </w:tcPr>
          <w:p>
            <w:pPr>
              <w:ind w:left="120"/>
              <w:spacing w:after="0" w:line="174" w:lineRule="exact"/>
              <w:rPr>
                <w:sz w:val="20"/>
                <w:szCs w:val="20"/>
                <w:color w:val="auto"/>
              </w:rPr>
            </w:pPr>
            <w:r>
              <w:rPr>
                <w:rFonts w:ascii="Times New Roman" w:cs="Times New Roman" w:eastAsia="Times New Roman" w:hAnsi="Times New Roman"/>
                <w:sz w:val="17"/>
                <w:szCs w:val="17"/>
                <w:color w:val="auto"/>
              </w:rPr>
              <w:t>Part I.</w:t>
            </w:r>
          </w:p>
        </w:tc>
        <w:tc>
          <w:tcPr>
            <w:tcW w:w="2160" w:type="dxa"/>
            <w:vAlign w:val="bottom"/>
            <w:gridSpan w:val="7"/>
          </w:tcPr>
          <w:p>
            <w:pPr>
              <w:spacing w:after="0" w:line="174" w:lineRule="exact"/>
              <w:rPr>
                <w:sz w:val="20"/>
                <w:szCs w:val="20"/>
                <w:color w:val="auto"/>
              </w:rPr>
            </w:pPr>
            <w:r>
              <w:rPr>
                <w:rFonts w:ascii="Times New Roman" w:cs="Times New Roman" w:eastAsia="Times New Roman" w:hAnsi="Times New Roman"/>
                <w:sz w:val="17"/>
                <w:szCs w:val="17"/>
                <w:color w:val="0000FF"/>
                <w:w w:val="99"/>
              </w:rPr>
              <w:t>FINANCIAL INFORMATION</w:t>
            </w:r>
          </w:p>
        </w:tc>
        <w:tc>
          <w:tcPr>
            <w:tcW w:w="7000" w:type="dxa"/>
            <w:vAlign w:val="bottom"/>
            <w:gridSpan w:val="11"/>
          </w:tcPr>
          <w:p>
            <w:pPr>
              <w:spacing w:after="0"/>
              <w:rPr>
                <w:sz w:val="15"/>
                <w:szCs w:val="15"/>
                <w:color w:val="auto"/>
              </w:rPr>
            </w:pPr>
          </w:p>
        </w:tc>
        <w:tc>
          <w:tcPr>
            <w:tcW w:w="520" w:type="dxa"/>
            <w:vAlign w:val="bottom"/>
            <w:tcBorders>
              <w:top w:val="single" w:sz="8" w:color="auto"/>
            </w:tcBorders>
            <w:gridSpan w:val="4"/>
          </w:tcPr>
          <w:p>
            <w:pPr>
              <w:jc w:val="center"/>
              <w:ind w:left="274"/>
              <w:spacing w:after="0" w:line="174" w:lineRule="exact"/>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40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Condensed Consolidated Financial Statements (Unaudited)</w:t>
            </w:r>
          </w:p>
        </w:tc>
        <w:tc>
          <w:tcPr>
            <w:tcW w:w="5080" w:type="dxa"/>
            <w:vAlign w:val="bottom"/>
            <w:gridSpan w:val="9"/>
          </w:tcPr>
          <w:p>
            <w:pPr>
              <w:spacing w:after="0"/>
              <w:rPr>
                <w:sz w:val="17"/>
                <w:szCs w:val="17"/>
                <w:color w:val="auto"/>
              </w:rPr>
            </w:pP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6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March 31, 2024 and December 31, 2023</w:t>
            </w:r>
          </w:p>
        </w:tc>
        <w:tc>
          <w:tcPr>
            <w:tcW w:w="3140" w:type="dxa"/>
            <w:vAlign w:val="bottom"/>
            <w:gridSpan w:val="6"/>
          </w:tcPr>
          <w:p>
            <w:pPr>
              <w:spacing w:after="0"/>
              <w:rPr>
                <w:sz w:val="17"/>
                <w:szCs w:val="17"/>
                <w:color w:val="auto"/>
              </w:rPr>
            </w:pP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80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Months Ended March 31, 2024 and March 31, 2023</w:t>
            </w:r>
          </w:p>
        </w:tc>
        <w:tc>
          <w:tcPr>
            <w:tcW w:w="1080" w:type="dxa"/>
            <w:vAlign w:val="bottom"/>
            <w:gridSpan w:val="4"/>
          </w:tcPr>
          <w:p>
            <w:pPr>
              <w:spacing w:after="0"/>
              <w:rPr>
                <w:sz w:val="17"/>
                <w:szCs w:val="17"/>
                <w:color w:val="auto"/>
              </w:rPr>
            </w:pP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 for the Three Months Ended March 31, 2024 and March 31, 2023</w:t>
            </w: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Months Ended March 31, 2024 and March 31, 2023</w:t>
            </w: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2024 and March 31, 2023</w:t>
            </w: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6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98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98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46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Part II.</w:t>
            </w:r>
          </w:p>
        </w:tc>
        <w:tc>
          <w:tcPr>
            <w:tcW w:w="91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2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rPr>
              <w:t>42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520" w:type="dxa"/>
            <w:vAlign w:val="bottom"/>
            <w:tcBorders>
              <w:top w:val="single" w:sz="8" w:color="0000FF"/>
            </w:tcBorders>
            <w:gridSpan w:val="2"/>
          </w:tcPr>
          <w:p>
            <w:pPr>
              <w:spacing w:after="0"/>
              <w:rPr>
                <w:sz w:val="17"/>
                <w:szCs w:val="17"/>
                <w:color w:val="auto"/>
              </w:rPr>
            </w:pPr>
          </w:p>
        </w:tc>
        <w:tc>
          <w:tcPr>
            <w:tcW w:w="736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1A.</w:t>
            </w:r>
          </w:p>
        </w:tc>
        <w:tc>
          <w:tcPr>
            <w:tcW w:w="916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2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rPr>
              <w:t>42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9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8580" w:type="dxa"/>
            <w:vAlign w:val="bottom"/>
            <w:gridSpan w:val="16"/>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Signatures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rPr>
              <w:t>45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34"/>
        </w:trPr>
        <w:tc>
          <w:tcPr>
            <w:tcW w:w="1120" w:type="dxa"/>
            <w:vAlign w:val="bottom"/>
          </w:tcPr>
          <w:p>
            <w:pPr>
              <w:spacing w:after="0"/>
              <w:rPr>
                <w:sz w:val="24"/>
                <w:szCs w:val="24"/>
                <w:color w:val="auto"/>
              </w:rPr>
            </w:pPr>
          </w:p>
        </w:tc>
        <w:tc>
          <w:tcPr>
            <w:tcW w:w="6020" w:type="dxa"/>
            <w:vAlign w:val="bottom"/>
            <w:gridSpan w:val="12"/>
          </w:tcPr>
          <w:p>
            <w:pPr>
              <w:jc w:val="center"/>
              <w:ind w:left="2894"/>
              <w:spacing w:after="0"/>
              <w:rPr>
                <w:sz w:val="20"/>
                <w:szCs w:val="20"/>
                <w:color w:val="auto"/>
              </w:rPr>
            </w:pPr>
            <w:r>
              <w:rPr>
                <w:rFonts w:ascii="Times New Roman" w:cs="Times New Roman" w:eastAsia="Times New Roman" w:hAnsi="Times New Roman"/>
                <w:sz w:val="17"/>
                <w:szCs w:val="17"/>
                <w:color w:val="auto"/>
                <w:w w:val="93"/>
              </w:rPr>
              <w:t>2</w:t>
            </w: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9"/>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par values)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5"/>
                <w:szCs w:val="15"/>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252,834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326,219</w:t>
            </w:r>
          </w:p>
        </w:tc>
        <w:tc>
          <w:tcPr>
            <w:tcW w:w="0" w:type="dxa"/>
            <w:vAlign w:val="bottom"/>
          </w:tcPr>
          <w:p>
            <w:pPr>
              <w:spacing w:after="0"/>
              <w:rPr>
                <w:sz w:val="1"/>
                <w:szCs w:val="1"/>
                <w:color w:val="auto"/>
              </w:rPr>
            </w:pPr>
          </w:p>
        </w:tc>
      </w:tr>
      <w:tr>
        <w:trPr>
          <w:trHeight w:val="259"/>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999,848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1,176,276</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20,772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20,508</w:t>
            </w:r>
          </w:p>
        </w:tc>
        <w:tc>
          <w:tcPr>
            <w:tcW w:w="0" w:type="dxa"/>
            <w:vAlign w:val="bottom"/>
          </w:tcPr>
          <w:p>
            <w:pPr>
              <w:spacing w:after="0"/>
              <w:rPr>
                <w:sz w:val="1"/>
                <w:szCs w:val="1"/>
                <w:color w:val="auto"/>
              </w:rPr>
            </w:pPr>
          </w:p>
        </w:tc>
      </w:tr>
      <w:tr>
        <w:trPr>
          <w:trHeight w:val="239"/>
        </w:trPr>
        <w:tc>
          <w:tcPr>
            <w:tcW w:w="7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1,273,454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1,523,003</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55,533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47,371</w:t>
            </w:r>
          </w:p>
        </w:tc>
        <w:tc>
          <w:tcPr>
            <w:tcW w:w="0" w:type="dxa"/>
            <w:vAlign w:val="bottom"/>
          </w:tcPr>
          <w:p>
            <w:pPr>
              <w:spacing w:after="0"/>
              <w:rPr>
                <w:sz w:val="1"/>
                <w:szCs w:val="1"/>
                <w:color w:val="auto"/>
              </w:rPr>
            </w:pPr>
          </w:p>
        </w:tc>
      </w:tr>
      <w:tr>
        <w:trPr>
          <w:trHeight w:val="259"/>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Right-of-use lease asset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64,001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60,549</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Internal use software development costs, net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23,117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21,926</w:t>
            </w:r>
          </w:p>
        </w:tc>
        <w:tc>
          <w:tcPr>
            <w:tcW w:w="0" w:type="dxa"/>
            <w:vAlign w:val="bottom"/>
          </w:tcPr>
          <w:p>
            <w:pPr>
              <w:spacing w:after="0"/>
              <w:rPr>
                <w:sz w:val="1"/>
                <w:szCs w:val="1"/>
                <w:color w:val="auto"/>
              </w:rPr>
            </w:pPr>
          </w:p>
        </w:tc>
      </w:tr>
      <w:tr>
        <w:trPr>
          <w:trHeight w:val="259"/>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43,422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51,011</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978,217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978,217</w:t>
            </w:r>
          </w:p>
        </w:tc>
        <w:tc>
          <w:tcPr>
            <w:tcW w:w="0" w:type="dxa"/>
            <w:vAlign w:val="bottom"/>
          </w:tcPr>
          <w:p>
            <w:pPr>
              <w:spacing w:after="0"/>
              <w:rPr>
                <w:sz w:val="1"/>
                <w:szCs w:val="1"/>
                <w:color w:val="auto"/>
              </w:rPr>
            </w:pPr>
          </w:p>
        </w:tc>
      </w:tr>
      <w:tr>
        <w:trPr>
          <w:trHeight w:val="259"/>
        </w:trPr>
        <w:tc>
          <w:tcPr>
            <w:tcW w:w="77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 assets, non-current</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16,325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6,729</w:t>
            </w:r>
          </w:p>
        </w:tc>
        <w:tc>
          <w:tcPr>
            <w:tcW w:w="0" w:type="dxa"/>
            <w:vAlign w:val="bottom"/>
          </w:tcPr>
          <w:p>
            <w:pPr>
              <w:spacing w:after="0"/>
              <w:rPr>
                <w:sz w:val="1"/>
                <w:szCs w:val="1"/>
                <w:color w:val="auto"/>
              </w:rPr>
            </w:pPr>
          </w:p>
        </w:tc>
      </w:tr>
      <w:tr>
        <w:trPr>
          <w:trHeight w:val="238"/>
        </w:trPr>
        <w:tc>
          <w:tcPr>
            <w:tcW w:w="7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2,454,069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2,688,806</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1,123,407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1,372,176</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19,905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20,402</w:t>
            </w:r>
          </w:p>
        </w:tc>
        <w:tc>
          <w:tcPr>
            <w:tcW w:w="0" w:type="dxa"/>
            <w:vAlign w:val="bottom"/>
          </w:tcPr>
          <w:p>
            <w:pPr>
              <w:spacing w:after="0"/>
              <w:rPr>
                <w:sz w:val="1"/>
                <w:szCs w:val="1"/>
                <w:color w:val="auto"/>
              </w:rPr>
            </w:pPr>
          </w:p>
        </w:tc>
      </w:tr>
      <w:tr>
        <w:trPr>
          <w:trHeight w:val="259"/>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current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7,729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5,957</w:t>
            </w:r>
          </w:p>
        </w:tc>
        <w:tc>
          <w:tcPr>
            <w:tcW w:w="0" w:type="dxa"/>
            <w:vAlign w:val="bottom"/>
          </w:tcPr>
          <w:p>
            <w:pPr>
              <w:spacing w:after="0"/>
              <w:rPr>
                <w:sz w:val="1"/>
                <w:szCs w:val="1"/>
                <w:color w:val="auto"/>
              </w:rPr>
            </w:pPr>
          </w:p>
        </w:tc>
      </w:tr>
      <w:tr>
        <w:trPr>
          <w:trHeight w:val="239"/>
        </w:trPr>
        <w:tc>
          <w:tcPr>
            <w:tcW w:w="7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1,154,691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1,402,135</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non-current, net of debt discount and debt issuance costs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549,077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532,986</w:t>
            </w:r>
          </w:p>
        </w:tc>
        <w:tc>
          <w:tcPr>
            <w:tcW w:w="0" w:type="dxa"/>
            <w:vAlign w:val="bottom"/>
          </w:tcPr>
          <w:p>
            <w:pPr>
              <w:spacing w:after="0"/>
              <w:rPr>
                <w:sz w:val="1"/>
                <w:szCs w:val="1"/>
                <w:color w:val="auto"/>
              </w:rPr>
            </w:pPr>
          </w:p>
        </w:tc>
      </w:tr>
      <w:tr>
        <w:trPr>
          <w:trHeight w:val="25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53,059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49,665</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680</w:t>
            </w:r>
          </w:p>
        </w:tc>
        <w:tc>
          <w:tcPr>
            <w:tcW w:w="0" w:type="dxa"/>
            <w:vAlign w:val="bottom"/>
          </w:tcPr>
          <w:p>
            <w:pPr>
              <w:spacing w:after="0"/>
              <w:rPr>
                <w:sz w:val="1"/>
                <w:szCs w:val="1"/>
                <w:color w:val="auto"/>
              </w:rPr>
            </w:pPr>
          </w:p>
        </w:tc>
      </w:tr>
      <w:tr>
        <w:trPr>
          <w:trHeight w:val="259"/>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1,577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1,657</w:t>
            </w:r>
          </w:p>
        </w:tc>
        <w:tc>
          <w:tcPr>
            <w:tcW w:w="0" w:type="dxa"/>
            <w:vAlign w:val="bottom"/>
          </w:tcPr>
          <w:p>
            <w:pPr>
              <w:spacing w:after="0"/>
              <w:rPr>
                <w:sz w:val="1"/>
                <w:szCs w:val="1"/>
                <w:color w:val="auto"/>
              </w:rPr>
            </w:pPr>
          </w:p>
        </w:tc>
      </w:tr>
      <w:tr>
        <w:trPr>
          <w:trHeight w:val="23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1,758,692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1,987,123</w:t>
            </w: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Preferred stock, $0.00001 par value, 10,000 shares authorized at March 31, 2024 and December 31, 2023; 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shares issued and outstanding at March 31, 2024 and December 31, 2023</w:t>
            </w:r>
          </w:p>
        </w:tc>
        <w:tc>
          <w:tcPr>
            <w:tcW w:w="2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Common stock, $0.00001 par value; 500,000 shares authorized at March 31, 2024 and December 31, 2023;</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140,024 and 138,577 shares issued and outstanding at March 31, 2024 and December 31, 2023</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9"/>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1,400,181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1,387,715</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(2,076)</w:t>
            </w:r>
          </w:p>
        </w:tc>
        <w:tc>
          <w:tcPr>
            <w:tcW w:w="0" w:type="dxa"/>
            <w:vAlign w:val="bottom"/>
          </w:tcPr>
          <w:p>
            <w:pPr>
              <w:spacing w:after="0"/>
              <w:rPr>
                <w:sz w:val="1"/>
                <w:szCs w:val="1"/>
                <w:color w:val="auto"/>
              </w:rPr>
            </w:pPr>
          </w:p>
        </w:tc>
      </w:tr>
      <w:tr>
        <w:trPr>
          <w:trHeight w:val="259"/>
        </w:trPr>
        <w:tc>
          <w:tcPr>
            <w:tcW w:w="77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(701,715)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(683,958)</w:t>
            </w:r>
          </w:p>
        </w:tc>
        <w:tc>
          <w:tcPr>
            <w:tcW w:w="0" w:type="dxa"/>
            <w:vAlign w:val="bottom"/>
          </w:tcPr>
          <w:p>
            <w:pPr>
              <w:spacing w:after="0"/>
              <w:rPr>
                <w:sz w:val="1"/>
                <w:szCs w:val="1"/>
                <w:color w:val="auto"/>
              </w:rPr>
            </w:pPr>
          </w:p>
        </w:tc>
      </w:tr>
      <w:tr>
        <w:trPr>
          <w:trHeight w:val="23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695,377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701,683</w:t>
            </w:r>
          </w:p>
        </w:tc>
        <w:tc>
          <w:tcPr>
            <w:tcW w:w="0" w:type="dxa"/>
            <w:vAlign w:val="bottom"/>
          </w:tcPr>
          <w:p>
            <w:pPr>
              <w:spacing w:after="0"/>
              <w:rPr>
                <w:sz w:val="1"/>
                <w:szCs w:val="1"/>
                <w:color w:val="auto"/>
              </w:rPr>
            </w:pPr>
          </w:p>
        </w:tc>
      </w:tr>
      <w:tr>
        <w:trPr>
          <w:trHeight w:val="213"/>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2,454,069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2,688,806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4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5"/>
                <w:szCs w:val="15"/>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8"/>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130,150</w:t>
            </w: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124,828</w:t>
            </w:r>
          </w:p>
        </w:tc>
      </w:tr>
      <w:tr>
        <w:trPr>
          <w:trHeight w:val="220"/>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53,049</w:t>
            </w: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24,215</w:t>
            </w:r>
          </w:p>
        </w:tc>
      </w:tr>
      <w:tr>
        <w:trPr>
          <w:trHeight w:val="220"/>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21,088</w:t>
            </w: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Merger, acquisition, and restructuring costs</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7,465</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163,147</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230,645</w:t>
            </w: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(100,495)</w:t>
            </w: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8,175</w:t>
            </w:r>
          </w:p>
        </w:tc>
      </w:tr>
      <w:tr>
        <w:trPr>
          <w:trHeight w:val="220"/>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exchange (gain) loss,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(8,549)</w:t>
            </w:r>
          </w:p>
        </w:tc>
      </w:tr>
      <w:tr>
        <w:trPr>
          <w:trHeight w:val="220"/>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w:t>
            </w: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(99,041)</w:t>
            </w: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Benefit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(17,757)</w:t>
            </w:r>
          </w:p>
        </w:tc>
        <w:tc>
          <w:tcPr>
            <w:tcW w:w="100" w:type="dxa"/>
            <w:vAlign w:val="bottom"/>
          </w:tcPr>
          <w:p>
            <w:pPr>
              <w:spacing w:after="0"/>
              <w:rPr>
                <w:sz w:val="18"/>
                <w:szCs w:val="18"/>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(98,732)</w:t>
            </w: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94"/>
        </w:trPr>
        <w:tc>
          <w:tcPr>
            <w:tcW w:w="7760" w:type="dxa"/>
            <w:vAlign w:val="bottom"/>
          </w:tcPr>
          <w:p>
            <w:pPr>
              <w:ind w:left="340"/>
              <w:spacing w:after="0" w:line="194" w:lineRule="exact"/>
              <w:rPr>
                <w:sz w:val="20"/>
                <w:szCs w:val="20"/>
                <w:color w:val="auto"/>
              </w:rPr>
            </w:pPr>
            <w:r>
              <w:rPr>
                <w:rFonts w:ascii="Times New Roman" w:cs="Times New Roman" w:eastAsia="Times New Roman" w:hAnsi="Times New Roman"/>
                <w:sz w:val="17"/>
                <w:szCs w:val="17"/>
                <w:color w:val="auto"/>
              </w:rPr>
              <w:t>Basic and diluted</w:t>
            </w:r>
          </w:p>
        </w:tc>
        <w:tc>
          <w:tcPr>
            <w:tcW w:w="240" w:type="dxa"/>
            <w:vAlign w:val="bottom"/>
            <w:tcBorders>
              <w:bottom w:val="single" w:sz="8" w:color="auto"/>
            </w:tcBorders>
          </w:tcPr>
          <w:p>
            <w:pPr>
              <w:jc w:val="right"/>
              <w:ind w:right="5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(0.13)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4"/>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(0.73)</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6"/>
        </w:trPr>
        <w:tc>
          <w:tcPr>
            <w:tcW w:w="77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Weighted average shares used to compute net loss per share:</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0"/>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 and diluted</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139,297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134,667</w:t>
            </w: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gridSpan w:val="4"/>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1"/>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5"/>
                <w:szCs w:val="15"/>
                <w:color w:val="auto"/>
              </w:rPr>
            </w:pPr>
          </w:p>
        </w:tc>
        <w:tc>
          <w:tcPr>
            <w:tcW w:w="14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8"/>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(98,732)</w:t>
            </w: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(98,365)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5"/>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60" w:type="dxa"/>
            <w:vAlign w:val="bottom"/>
          </w:tcPr>
          <w:p>
            <w:pPr>
              <w:spacing w:after="0"/>
              <w:rPr>
                <w:sz w:val="13"/>
                <w:szCs w:val="13"/>
                <w:color w:val="auto"/>
              </w:rPr>
            </w:pPr>
          </w:p>
        </w:tc>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vMerge w:val="restart"/>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5"/>
            <w:vMerge w:val="restart"/>
          </w:tcPr>
          <w:p>
            <w:pPr>
              <w:jc w:val="center"/>
              <w:ind w:right="16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60" w:type="dxa"/>
            <w:vAlign w:val="bottom"/>
            <w:gridSpan w:val="5"/>
            <w:vMerge w:val="restart"/>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8"/>
                <w:szCs w:val="8"/>
                <w:color w:val="auto"/>
              </w:rPr>
            </w:pPr>
          </w:p>
        </w:tc>
        <w:tc>
          <w:tcPr>
            <w:tcW w:w="900" w:type="dxa"/>
            <w:vAlign w:val="bottom"/>
            <w:gridSpan w:val="2"/>
            <w:vMerge w:val="restart"/>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1100" w:type="dxa"/>
            <w:vAlign w:val="bottom"/>
            <w:gridSpan w:val="5"/>
            <w:vMerge w:val="continue"/>
          </w:tcPr>
          <w:p>
            <w:pPr>
              <w:spacing w:after="0" w:line="20" w:lineRule="exact"/>
              <w:rPr>
                <w:sz w:val="1"/>
                <w:szCs w:val="1"/>
                <w:color w:val="auto"/>
              </w:rPr>
            </w:pPr>
          </w:p>
        </w:tc>
        <w:tc>
          <w:tcPr>
            <w:tcW w:w="106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780" w:type="dxa"/>
            <w:vAlign w:val="bottom"/>
            <w:gridSpan w:val="2"/>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5"/>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134,006</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gridSpan w:val="4"/>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1,319,221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(524,774)</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791,298</w:t>
            </w:r>
          </w:p>
        </w:tc>
        <w:tc>
          <w:tcPr>
            <w:tcW w:w="0" w:type="dxa"/>
            <w:vAlign w:val="bottom"/>
          </w:tcPr>
          <w:p>
            <w:pPr>
              <w:spacing w:after="0"/>
              <w:rPr>
                <w:sz w:val="1"/>
                <w:szCs w:val="1"/>
                <w:color w:val="auto"/>
              </w:rPr>
            </w:pPr>
          </w:p>
        </w:tc>
      </w:tr>
      <w:tr>
        <w:trPr>
          <w:trHeight w:val="205"/>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1,486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auto"/>
                <w:w w:val="94"/>
              </w:rPr>
              <w:t>(9,046)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(9,046)</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19,856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19,856</w:t>
            </w:r>
          </w:p>
        </w:tc>
        <w:tc>
          <w:tcPr>
            <w:tcW w:w="0" w:type="dxa"/>
            <w:vAlign w:val="bottom"/>
          </w:tcPr>
          <w:p>
            <w:pPr>
              <w:spacing w:after="0"/>
              <w:rPr>
                <w:sz w:val="1"/>
                <w:szCs w:val="1"/>
                <w:color w:val="auto"/>
              </w:rPr>
            </w:pPr>
          </w:p>
        </w:tc>
      </w:tr>
      <w:tr>
        <w:trPr>
          <w:trHeight w:val="205"/>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(98,732)</w:t>
            </w:r>
          </w:p>
        </w:tc>
        <w:tc>
          <w:tcPr>
            <w:tcW w:w="0" w:type="dxa"/>
            <w:vAlign w:val="bottom"/>
          </w:tcPr>
          <w:p>
            <w:pPr>
              <w:spacing w:after="0"/>
              <w:rPr>
                <w:sz w:val="1"/>
                <w:szCs w:val="1"/>
                <w:color w:val="auto"/>
              </w:rPr>
            </w:pPr>
          </w:p>
        </w:tc>
      </w:tr>
      <w:tr>
        <w:trPr>
          <w:trHeight w:val="20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780" w:type="dxa"/>
            <w:vAlign w:val="bottom"/>
            <w:tcBorders>
              <w:top w:val="single" w:sz="8" w:color="auto"/>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6"/>
                <w:szCs w:val="16"/>
                <w:color w:val="auto"/>
              </w:rPr>
              <w:t>135,438</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6"/>
                <w:szCs w:val="16"/>
                <w:color w:val="auto"/>
              </w:rPr>
              <w:t>1,331,517</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(623,506)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705,229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5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8"/>
          </w:tcPr>
          <w:p>
            <w:pPr>
              <w:jc w:val="right"/>
              <w:ind w:right="23"/>
              <w:spacing w:after="0" w:line="154"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320"/>
              <w:spacing w:after="0" w:line="154"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124"/>
              <w:spacing w:after="0" w:line="15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5"/>
        </w:trPr>
        <w:tc>
          <w:tcPr>
            <w:tcW w:w="5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restart"/>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0" w:type="dxa"/>
            <w:vAlign w:val="bottom"/>
          </w:tcPr>
          <w:p>
            <w:pPr>
              <w:spacing w:after="0"/>
              <w:rPr>
                <w:sz w:val="5"/>
                <w:szCs w:val="5"/>
                <w:color w:val="auto"/>
              </w:rPr>
            </w:pPr>
          </w:p>
        </w:tc>
        <w:tc>
          <w:tcPr>
            <w:tcW w:w="980" w:type="dxa"/>
            <w:vAlign w:val="bottom"/>
            <w:gridSpan w:val="4"/>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5"/>
                <w:szCs w:val="5"/>
                <w:color w:val="auto"/>
              </w:rPr>
            </w:pPr>
          </w:p>
        </w:tc>
        <w:tc>
          <w:tcPr>
            <w:tcW w:w="9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45"/>
        </w:trPr>
        <w:tc>
          <w:tcPr>
            <w:tcW w:w="5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gridSpan w:val="4"/>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gridSpan w:val="3"/>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5"/>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138,577</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1,387,715</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(2,076)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(683,958)</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701,683</w:t>
            </w:r>
          </w:p>
        </w:tc>
        <w:tc>
          <w:tcPr>
            <w:tcW w:w="0" w:type="dxa"/>
            <w:vAlign w:val="bottom"/>
          </w:tcPr>
          <w:p>
            <w:pPr>
              <w:spacing w:after="0"/>
              <w:rPr>
                <w:sz w:val="1"/>
                <w:szCs w:val="1"/>
                <w:color w:val="auto"/>
              </w:rPr>
            </w:pPr>
          </w:p>
        </w:tc>
      </w:tr>
      <w:tr>
        <w:trPr>
          <w:trHeight w:val="205"/>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6"/>
              </w:rPr>
              <w:t>(916)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0" w:type="dxa"/>
            <w:vAlign w:val="bottom"/>
          </w:tcPr>
          <w:p>
            <w:pPr>
              <w:spacing w:after="0"/>
              <w:rPr>
                <w:sz w:val="1"/>
                <w:szCs w:val="1"/>
                <w:color w:val="auto"/>
              </w:rPr>
            </w:pPr>
          </w:p>
        </w:tc>
      </w:tr>
      <w:tr>
        <w:trPr>
          <w:trHeight w:val="205"/>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21,407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21,407</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05"/>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(17,757)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0" w:type="dxa"/>
            <w:vAlign w:val="bottom"/>
          </w:tcPr>
          <w:p>
            <w:pPr>
              <w:spacing w:after="0"/>
              <w:rPr>
                <w:sz w:val="1"/>
                <w:szCs w:val="1"/>
                <w:color w:val="auto"/>
              </w:rPr>
            </w:pPr>
          </w:p>
        </w:tc>
      </w:tr>
      <w:tr>
        <w:trPr>
          <w:trHeight w:val="22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140,024</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1,400,181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(3,091)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(701,715)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695,377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80" w:type="dxa"/>
            <w:vAlign w:val="bottom"/>
            <w:gridSpan w:val="4"/>
          </w:tcPr>
          <w:p>
            <w:pPr>
              <w:jc w:val="right"/>
              <w:ind w:right="100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0"/>
        </w:trPr>
        <w:tc>
          <w:tcPr>
            <w:tcW w:w="7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(98,732)</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95,795</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19,287</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foreign currency gain,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items, net</w:t>
            </w:r>
          </w:p>
        </w:tc>
        <w:tc>
          <w:tcPr>
            <w:tcW w:w="24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5"/>
        </w:trPr>
        <w:tc>
          <w:tcPr>
            <w:tcW w:w="7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100,142</w:t>
            </w:r>
          </w:p>
        </w:tc>
      </w:tr>
      <w:tr>
        <w:trPr>
          <w:trHeight w:val="209"/>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r>
      <w:tr>
        <w:trPr>
          <w:trHeight w:val="205"/>
        </w:trPr>
        <w:tc>
          <w:tcPr>
            <w:tcW w:w="7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(141,068)</w:t>
            </w:r>
          </w:p>
        </w:tc>
      </w:tr>
      <w:tr>
        <w:trPr>
          <w:trHeight w:val="209"/>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r>
      <w:tr>
        <w:trPr>
          <w:trHeight w:val="198"/>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(60,411)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(30,893)</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internal use software development costs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w:t>
            </w:r>
          </w:p>
        </w:tc>
      </w:tr>
      <w:tr>
        <w:trPr>
          <w:trHeight w:val="198"/>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(7,467)</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2024 Term Loan B Facility, net of debt discount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2021 Term Loan B Facility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for debt issuance costs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debt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Convertible Senior Notes</w:t>
            </w:r>
          </w:p>
        </w:tc>
        <w:tc>
          <w:tcPr>
            <w:tcW w:w="24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(40,828)</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financing lease</w:t>
            </w:r>
          </w:p>
        </w:tc>
        <w:tc>
          <w:tcPr>
            <w:tcW w:w="24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(9,046)</w:t>
            </w:r>
          </w:p>
        </w:tc>
      </w:tr>
      <w:tr>
        <w:trPr>
          <w:trHeight w:val="205"/>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 of indemnification claims holdback</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(2,313)</w:t>
            </w:r>
          </w:p>
        </w:tc>
      </w:tr>
      <w:tr>
        <w:trPr>
          <w:trHeight w:val="202"/>
        </w:trPr>
        <w:tc>
          <w:tcPr>
            <w:tcW w:w="7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(51,809)</w:t>
            </w:r>
          </w:p>
        </w:tc>
      </w:tr>
      <w:tr>
        <w:trPr>
          <w:trHeight w:val="19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(73,385)</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(89,904)</w:t>
            </w:r>
          </w:p>
        </w:tc>
      </w:tr>
      <w:tr>
        <w:trPr>
          <w:trHeight w:val="19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326,219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326,502</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252,834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236,598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40"/>
        </w:trPr>
        <w:tc>
          <w:tcPr>
            <w:tcW w:w="8120" w:type="dxa"/>
            <w:vAlign w:val="bottom"/>
            <w:tcBorders>
              <w:top w:val="single" w:sz="8" w:color="CCEEFF"/>
            </w:tcBorders>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 CONSOLIDATED BALANCE</w:t>
            </w:r>
          </w:p>
        </w:tc>
        <w:tc>
          <w:tcPr>
            <w:tcW w:w="2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r>
      <w:tr>
        <w:trPr>
          <w:trHeight w:val="207"/>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SHEETS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252,834</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236,550</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0"/>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252,834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236,598</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OTHER CASH FLOW INFORMATION:</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8,987</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assets financed by accounts payable and accrued expenses and other liabilities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1—Organization and Summary of Significant Accounting Policies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Company Overview</w:t>
      </w:r>
    </w:p>
    <w:p>
      <w:pPr>
        <w:spacing w:after="0" w:line="93" w:lineRule="exact"/>
        <w:rPr>
          <w:sz w:val="20"/>
          <w:szCs w:val="20"/>
          <w:color w:val="auto"/>
        </w:rPr>
      </w:pPr>
    </w:p>
    <w:p>
      <w:pPr>
        <w:ind w:right="280" w:firstLine="621"/>
        <w:spacing w:after="0" w:line="291" w:lineRule="auto"/>
        <w:rPr>
          <w:sz w:val="20"/>
          <w:szCs w:val="20"/>
          <w:color w:val="auto"/>
        </w:rPr>
      </w:pPr>
      <w:r>
        <w:rPr>
          <w:rFonts w:ascii="Times New Roman" w:cs="Times New Roman" w:eastAsia="Times New Roman" w:hAnsi="Times New Roman"/>
          <w:sz w:val="17"/>
          <w:szCs w:val="17"/>
          <w:color w:val="auto"/>
        </w:rPr>
        <w:t>Magnite, Inc. ("Magnite" or the "Company") was formed in Delaware and began operations on April 20, 2007. The Company operates a sell side advertising platform that offers buyers and sellers of digital advertising a single partner for transacting globally across all channels, formats, and auction types.</w:t>
      </w:r>
    </w:p>
    <w:p>
      <w:pPr>
        <w:spacing w:after="0" w:line="30" w:lineRule="exact"/>
        <w:rPr>
          <w:sz w:val="20"/>
          <w:szCs w:val="20"/>
          <w:color w:val="auto"/>
        </w:rPr>
      </w:pPr>
    </w:p>
    <w:p>
      <w:pPr>
        <w:ind w:right="100" w:firstLine="621"/>
        <w:spacing w:after="0" w:line="272" w:lineRule="auto"/>
        <w:rPr>
          <w:sz w:val="20"/>
          <w:szCs w:val="20"/>
          <w:color w:val="auto"/>
        </w:rPr>
      </w:pPr>
      <w:r>
        <w:rPr>
          <w:rFonts w:ascii="Times New Roman" w:cs="Times New Roman" w:eastAsia="Times New Roman" w:hAnsi="Times New Roman"/>
          <w:sz w:val="17"/>
          <w:szCs w:val="17"/>
          <w:color w:val="auto"/>
        </w:rPr>
        <w:t>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spacing w:after="0" w:line="47"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The Company’s platform features applications and services for sellers of digital advertising inventory, or publishers, that own or operate websites, applications, connected television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Summary of Significant Accounting Policies</w:t>
      </w:r>
    </w:p>
    <w:p>
      <w:pPr>
        <w:spacing w:after="0" w:line="106" w:lineRule="exact"/>
        <w:rPr>
          <w:sz w:val="20"/>
          <w:szCs w:val="20"/>
          <w:color w:val="auto"/>
        </w:rPr>
      </w:pPr>
    </w:p>
    <w:p>
      <w:pPr>
        <w:ind w:right="300" w:firstLine="621"/>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months ended March 31, 2024 are not necessarily indicative of the results that may be expected for any future interim period, the year ending December 31, 2024, or for any future year.</w:t>
      </w:r>
    </w:p>
    <w:p>
      <w:pPr>
        <w:spacing w:after="0" w:line="57" w:lineRule="exact"/>
        <w:rPr>
          <w:sz w:val="20"/>
          <w:szCs w:val="20"/>
          <w:color w:val="auto"/>
        </w:rPr>
      </w:pPr>
    </w:p>
    <w:p>
      <w:pPr>
        <w:ind w:right="20" w:firstLine="621"/>
        <w:spacing w:after="0" w:line="272" w:lineRule="auto"/>
        <w:rPr>
          <w:sz w:val="20"/>
          <w:szCs w:val="20"/>
          <w:color w:val="auto"/>
        </w:rPr>
      </w:pPr>
      <w:r>
        <w:rPr>
          <w:rFonts w:ascii="Times New Roman" w:cs="Times New Roman" w:eastAsia="Times New Roman" w:hAnsi="Times New Roman"/>
          <w:sz w:val="17"/>
          <w:szCs w:val="17"/>
          <w:color w:val="auto"/>
        </w:rPr>
        <w:t>The condensed consolidated balance sheet at December 31, 2023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2023 included in its 2023 Annual Report on Form 10-K.</w:t>
      </w:r>
    </w:p>
    <w:p>
      <w:pPr>
        <w:spacing w:after="0" w:line="34" w:lineRule="exact"/>
        <w:rPr>
          <w:sz w:val="20"/>
          <w:szCs w:val="20"/>
          <w:color w:val="auto"/>
        </w:rPr>
      </w:pPr>
    </w:p>
    <w:p>
      <w:pPr>
        <w:ind w:right="220" w:firstLine="621"/>
        <w:spacing w:after="0" w:line="291" w:lineRule="auto"/>
        <w:rPr>
          <w:sz w:val="20"/>
          <w:szCs w:val="20"/>
          <w:color w:val="auto"/>
        </w:rPr>
      </w:pPr>
      <w:r>
        <w:rPr>
          <w:rFonts w:ascii="Times New Roman" w:cs="Times New Roman" w:eastAsia="Times New Roman" w:hAnsi="Times New Roman"/>
          <w:sz w:val="17"/>
          <w:szCs w:val="17"/>
          <w:color w:val="auto"/>
        </w:rPr>
        <w:t>There have been no significant changes in the Company's accounting policies from those disclosed in its audited consolidated financial statements and notes thereto for the year ended December 31, 2023 included in its Annual Report on Form 10-K.</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9" w:lineRule="exact"/>
        <w:rPr>
          <w:sz w:val="20"/>
          <w:szCs w:val="20"/>
          <w:color w:val="auto"/>
        </w:rPr>
      </w:pPr>
    </w:p>
    <w:p>
      <w:pPr>
        <w:ind w:right="80" w:firstLine="621"/>
        <w:spacing w:after="0" w:line="291" w:lineRule="auto"/>
        <w:rPr>
          <w:sz w:val="20"/>
          <w:szCs w:val="20"/>
          <w:color w:val="auto"/>
        </w:rPr>
      </w:pPr>
      <w:r>
        <w:rPr>
          <w:rFonts w:ascii="Times New Roman" w:cs="Times New Roman" w:eastAsia="Times New Roman" w:hAnsi="Times New Roman"/>
          <w:sz w:val="17"/>
          <w:szCs w:val="17"/>
          <w:color w:val="auto"/>
        </w:rPr>
        <w:t xml:space="preserve">The preparation of condensed consolidated financial statements in conformity with GAAP requires management to make estimates and assumptions that affect the reported and disclosed financial statements and accompanying footnotes. </w:t>
      </w:r>
      <w:r>
        <w:rPr>
          <w:rFonts w:ascii="Times New Roman" w:cs="Times New Roman" w:eastAsia="Times New Roman" w:hAnsi="Times New Roman"/>
          <w:sz w:val="17"/>
          <w:szCs w:val="17"/>
          <w:color w:val="212529"/>
        </w:rPr>
        <w:t>Actual results could differ materially from these estimates.</w:t>
      </w:r>
    </w:p>
    <w:p>
      <w:pPr>
        <w:spacing w:after="0" w:line="30" w:lineRule="exact"/>
        <w:rPr>
          <w:sz w:val="20"/>
          <w:szCs w:val="20"/>
          <w:color w:val="auto"/>
        </w:rPr>
      </w:pPr>
    </w:p>
    <w:p>
      <w:pPr>
        <w:ind w:firstLine="621"/>
        <w:spacing w:after="0" w:line="262" w:lineRule="auto"/>
        <w:rPr>
          <w:sz w:val="20"/>
          <w:szCs w:val="20"/>
          <w:color w:val="auto"/>
        </w:rPr>
      </w:pPr>
      <w:r>
        <w:rPr>
          <w:rFonts w:ascii="Times New Roman" w:cs="Times New Roman" w:eastAsia="Times New Roman" w:hAnsi="Times New Roman"/>
          <w:sz w:val="17"/>
          <w:szCs w:val="17"/>
          <w:color w:val="212529"/>
        </w:rPr>
        <w:t xml:space="preserve">In connection with the Company's periodic review of the estimated useful lives of its property and equipment, the Company extended the estimated useful lives of its network hardware assets from three years to five years effective January 1, 2024. The change in estimated useful lives were due to actual and expected longer refresh cycles for these assets. Based on the carrying value of network hardware assets as of December 31, 2023 and those placed in service during the three months ended March 31, 2024, the effect of this change in estimate was a decrease in loss from operations of </w:t>
      </w:r>
      <w:r>
        <w:rPr>
          <w:rFonts w:ascii="Times New Roman" w:cs="Times New Roman" w:eastAsia="Times New Roman" w:hAnsi="Times New Roman"/>
          <w:sz w:val="17"/>
          <w:szCs w:val="17"/>
          <w:color w:val="000000"/>
        </w:rPr>
        <w:t>$3.6 million</w:t>
      </w:r>
      <w:r>
        <w:rPr>
          <w:rFonts w:ascii="Times New Roman" w:cs="Times New Roman" w:eastAsia="Times New Roman" w:hAnsi="Times New Roman"/>
          <w:sz w:val="17"/>
          <w:szCs w:val="17"/>
          <w:color w:val="212529"/>
        </w:rPr>
        <w:t xml:space="preserve"> and an increase in net loss of </w:t>
      </w:r>
      <w:r>
        <w:rPr>
          <w:rFonts w:ascii="Times New Roman" w:cs="Times New Roman" w:eastAsia="Times New Roman" w:hAnsi="Times New Roman"/>
          <w:sz w:val="17"/>
          <w:szCs w:val="17"/>
          <w:color w:val="000000"/>
        </w:rPr>
        <w:t>$2.0 million</w:t>
      </w:r>
      <w:r>
        <w:rPr>
          <w:rFonts w:ascii="Times New Roman" w:cs="Times New Roman" w:eastAsia="Times New Roman" w:hAnsi="Times New Roman"/>
          <w:sz w:val="17"/>
          <w:szCs w:val="17"/>
          <w:color w:val="212529"/>
        </w:rPr>
        <w:t xml:space="preserve">, or </w:t>
      </w:r>
      <w:r>
        <w:rPr>
          <w:rFonts w:ascii="Times New Roman" w:cs="Times New Roman" w:eastAsia="Times New Roman" w:hAnsi="Times New Roman"/>
          <w:sz w:val="17"/>
          <w:szCs w:val="17"/>
          <w:color w:val="000000"/>
        </w:rPr>
        <w:t>$0.01</w:t>
      </w:r>
      <w:r>
        <w:rPr>
          <w:rFonts w:ascii="Times New Roman" w:cs="Times New Roman" w:eastAsia="Times New Roman" w:hAnsi="Times New Roman"/>
          <w:sz w:val="17"/>
          <w:szCs w:val="17"/>
          <w:color w:val="212529"/>
        </w:rPr>
        <w:t xml:space="preserve"> per basic and diluted share, for the three months ended March 31, 2024. The updated policy reflecting the change in estimated useful lives is below.</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19" w:lineRule="exact"/>
        <w:rPr>
          <w:sz w:val="20"/>
          <w:szCs w:val="20"/>
          <w:color w:val="auto"/>
        </w:rPr>
      </w:pPr>
    </w:p>
    <w:p>
      <w:pPr>
        <w:ind w:right="100" w:firstLine="621"/>
        <w:spacing w:after="0" w:line="291" w:lineRule="auto"/>
        <w:rPr>
          <w:sz w:val="20"/>
          <w:szCs w:val="20"/>
          <w:color w:val="auto"/>
        </w:rPr>
      </w:pPr>
      <w:r>
        <w:rPr>
          <w:rFonts w:ascii="Times New Roman" w:cs="Times New Roman" w:eastAsia="Times New Roman" w:hAnsi="Times New Roman"/>
          <w:sz w:val="17"/>
          <w:szCs w:val="17"/>
          <w:color w:val="auto"/>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420" w:type="dxa"/>
            <w:vAlign w:val="bottom"/>
          </w:tcPr>
          <w:p>
            <w:pPr>
              <w:spacing w:after="0"/>
              <w:rPr>
                <w:sz w:val="17"/>
                <w:szCs w:val="17"/>
                <w:color w:val="auto"/>
              </w:rPr>
            </w:pPr>
          </w:p>
        </w:tc>
      </w:tr>
      <w:tr>
        <w:trPr>
          <w:trHeight w:val="847"/>
        </w:trPr>
        <w:tc>
          <w:tcPr>
            <w:tcW w:w="1220" w:type="dxa"/>
            <w:vAlign w:val="bottom"/>
            <w:tcBorders>
              <w:top w:val="single" w:sz="8" w:color="0000FF"/>
              <w:bottom w:val="single" w:sz="8" w:color="CCEEFF"/>
            </w:tcBorders>
          </w:tcPr>
          <w:p>
            <w:pPr>
              <w:spacing w:after="0"/>
              <w:rPr>
                <w:sz w:val="24"/>
                <w:szCs w:val="24"/>
                <w:color w:val="auto"/>
              </w:rPr>
            </w:pPr>
          </w:p>
        </w:tc>
        <w:tc>
          <w:tcPr>
            <w:tcW w:w="6600" w:type="dxa"/>
            <w:vAlign w:val="bottom"/>
            <w:tcBorders>
              <w:bottom w:val="single" w:sz="8" w:color="CCEEFF"/>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Years</w:t>
            </w:r>
          </w:p>
        </w:tc>
      </w:tr>
      <w:tr>
        <w:trPr>
          <w:trHeight w:val="21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network hardware</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 to 5</w:t>
            </w:r>
          </w:p>
        </w:tc>
      </w:tr>
      <w:tr>
        <w:trPr>
          <w:trHeight w:val="22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fixtures, and office equipment</w:t>
            </w:r>
          </w:p>
        </w:tc>
        <w:tc>
          <w:tcPr>
            <w:tcW w:w="3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 to 7</w:t>
            </w:r>
          </w:p>
        </w:tc>
      </w:tr>
      <w:tr>
        <w:trPr>
          <w:trHeight w:val="22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Shorter of useful life or life of lease</w:t>
            </w:r>
          </w:p>
        </w:tc>
      </w:tr>
    </w:tbl>
    <w:p>
      <w:pPr>
        <w:spacing w:after="0" w:line="163" w:lineRule="exact"/>
        <w:rPr>
          <w:sz w:val="20"/>
          <w:szCs w:val="20"/>
          <w:color w:val="auto"/>
        </w:rPr>
      </w:pPr>
    </w:p>
    <w:p>
      <w:pPr>
        <w:ind w:right="60" w:firstLine="621"/>
        <w:spacing w:after="0" w:line="272" w:lineRule="auto"/>
        <w:rPr>
          <w:sz w:val="20"/>
          <w:szCs w:val="20"/>
          <w:color w:val="auto"/>
        </w:rPr>
      </w:pPr>
      <w:r>
        <w:rPr>
          <w:rFonts w:ascii="Times New Roman" w:cs="Times New Roman" w:eastAsia="Times New Roman" w:hAnsi="Times New Roman"/>
          <w:sz w:val="17"/>
          <w:szCs w:val="17"/>
          <w:color w:val="auto"/>
        </w:rPr>
        <w:t>Repair and maintenance costs are charged to expense as incurred, while renewals and improvements are capitalized. When assets are retired or otherwise disposed of, the cost and related accumulated depreciation are removed from the accounts and any resulting gains or loss is reflected in the Company's results of operations.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19"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Segment Reporting (Topic 280) –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xml:space="preserve"> ("ASU 2023-07").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ASU 2023-07 is effective for annual periods beginning after December 15, 2023 and for interim periods beginning after December 15, 2024. Early adoption is permitted. The Company is currently evaluating the impact of adopting this new accounting guidance on its disclosures.</w:t>
      </w:r>
    </w:p>
    <w:p>
      <w:pPr>
        <w:spacing w:after="0" w:line="55" w:lineRule="exact"/>
        <w:rPr>
          <w:sz w:val="20"/>
          <w:szCs w:val="20"/>
          <w:color w:val="auto"/>
        </w:rPr>
      </w:pPr>
    </w:p>
    <w:p>
      <w:pPr>
        <w:ind w:right="140" w:firstLine="621"/>
        <w:spacing w:after="0" w:line="273"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Income Taxes (Topic 740) –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("ASU 2023-09") to enhance income tax information primarily through changes in the rate reconciliation and income taxes paid information. ASU 2023-09 is effective for annual periods beginning after December 15, 2024 on a prospective basis. The Company is evaluating the impact of adopting this new accounting guidance on its disclosures.</w:t>
      </w:r>
    </w:p>
    <w:p>
      <w:pPr>
        <w:spacing w:after="0" w:line="33" w:lineRule="exact"/>
        <w:rPr>
          <w:sz w:val="20"/>
          <w:szCs w:val="20"/>
          <w:color w:val="auto"/>
        </w:rPr>
      </w:pPr>
    </w:p>
    <w:p>
      <w:pPr>
        <w:ind w:right="180" w:firstLine="621"/>
        <w:spacing w:after="0" w:line="275" w:lineRule="auto"/>
        <w:rPr>
          <w:sz w:val="20"/>
          <w:szCs w:val="20"/>
          <w:color w:val="auto"/>
        </w:rPr>
      </w:pPr>
      <w:r>
        <w:rPr>
          <w:rFonts w:ascii="Times New Roman" w:cs="Times New Roman" w:eastAsia="Times New Roman" w:hAnsi="Times New Roman"/>
          <w:sz w:val="17"/>
          <w:szCs w:val="17"/>
          <w:color w:val="auto"/>
        </w:rPr>
        <w:t>The Company does not believe there are any other recently issued and effective or not yet effective pronouncements that would have or are expected to have a material impact on the Company’s present or future condensed consolidated financial statements.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2—Net Loss Per Share</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basic and diluted net loss per share:</w:t>
      </w:r>
    </w:p>
    <w:p>
      <w:pPr>
        <w:spacing w:after="0" w:line="130"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86"/>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4"/>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2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Loss Per Share: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(98,732)</w:t>
            </w:r>
          </w:p>
        </w:tc>
      </w:tr>
      <w:tr>
        <w:trPr>
          <w:trHeight w:val="21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used to compute net loss per share</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139,297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134,667</w:t>
            </w: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loss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(0.73)</w:t>
            </w:r>
          </w:p>
        </w:tc>
      </w:tr>
      <w:tr>
        <w:trPr>
          <w:trHeight w:val="20"/>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right="300" w:firstLine="621"/>
        <w:spacing w:after="0" w:line="291" w:lineRule="auto"/>
        <w:rPr>
          <w:sz w:val="20"/>
          <w:szCs w:val="20"/>
          <w:color w:val="auto"/>
        </w:rPr>
      </w:pPr>
      <w:r>
        <w:rPr>
          <w:rFonts w:ascii="Times New Roman" w:cs="Times New Roman" w:eastAsia="Times New Roman" w:hAnsi="Times New Roman"/>
          <w:sz w:val="17"/>
          <w:szCs w:val="17"/>
          <w:color w:val="auto"/>
        </w:rPr>
        <w:t>The following weighted-average shares have been excluded from the calculation of diluted net loss per share attributable to common stockholders for each period presented because they are anti-dilutive:</w:t>
      </w:r>
    </w:p>
    <w:p>
      <w:pPr>
        <w:spacing w:after="0" w:line="59"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150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86"/>
        </w:trPr>
        <w:tc>
          <w:tcPr>
            <w:tcW w:w="8320" w:type="dxa"/>
            <w:vAlign w:val="bottom"/>
          </w:tcPr>
          <w:p>
            <w:pPr>
              <w:spacing w:after="0"/>
              <w:rPr>
                <w:sz w:val="16"/>
                <w:szCs w:val="16"/>
                <w:color w:val="auto"/>
              </w:rPr>
            </w:pPr>
          </w:p>
        </w:tc>
        <w:tc>
          <w:tcPr>
            <w:tcW w:w="288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w:t>
            </w:r>
          </w:p>
        </w:tc>
      </w:tr>
      <w:tr>
        <w:trPr>
          <w:trHeight w:val="220"/>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w:t>
            </w:r>
          </w:p>
        </w:tc>
      </w:tr>
      <w:tr>
        <w:trPr>
          <w:trHeight w:val="22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performance stock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20"/>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ESPP shares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6,026</w:t>
            </w: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shares excluded from net loss per share</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7,646</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9,658</w:t>
            </w:r>
          </w:p>
        </w:tc>
      </w:tr>
      <w:tr>
        <w:trPr>
          <w:trHeight w:val="20"/>
        </w:trPr>
        <w:tc>
          <w:tcPr>
            <w:tcW w:w="8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300" w:firstLine="621"/>
        <w:spacing w:after="0" w:line="266" w:lineRule="auto"/>
        <w:rPr>
          <w:sz w:val="20"/>
          <w:szCs w:val="20"/>
          <w:color w:val="auto"/>
        </w:rPr>
      </w:pPr>
      <w:r>
        <w:rPr>
          <w:rFonts w:ascii="Times New Roman" w:cs="Times New Roman" w:eastAsia="Times New Roman" w:hAnsi="Times New Roman"/>
          <w:sz w:val="17"/>
          <w:szCs w:val="17"/>
          <w:color w:val="auto"/>
        </w:rPr>
        <w:t>For the three months ended March 31, 2024 and 2023, the Company excluded outstanding performance stock units from the calculation of diluted net loss per share because they were anti-dilutive. As of March 31, 2024, the performance stock units granted during 2021, 2022, 2023, and 2024 had expected achievement levels of 0%, 80%, 93%, and 150%, respectively. As of March 31, 2023, the performance stock units granted in 2020, 2021, 2022, and 2023 had expected achievement levels of 94%, 0%,</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 and 29%, respectively. Refer to Note 9—"Stock-Based Compensation" for additional information related to performance stock units.</w:t>
      </w:r>
    </w:p>
    <w:p>
      <w:pPr>
        <w:spacing w:after="0" w:line="89" w:lineRule="exact"/>
        <w:rPr>
          <w:sz w:val="20"/>
          <w:szCs w:val="20"/>
          <w:color w:val="auto"/>
        </w:rPr>
      </w:pPr>
    </w:p>
    <w:p>
      <w:pPr>
        <w:ind w:right="120" w:firstLine="621"/>
        <w:spacing w:after="0" w:line="263" w:lineRule="auto"/>
        <w:rPr>
          <w:sz w:val="20"/>
          <w:szCs w:val="20"/>
          <w:color w:val="auto"/>
        </w:rPr>
      </w:pPr>
      <w:r>
        <w:rPr>
          <w:rFonts w:ascii="Times New Roman" w:cs="Times New Roman" w:eastAsia="Times New Roman" w:hAnsi="Times New Roman"/>
          <w:sz w:val="17"/>
          <w:szCs w:val="17"/>
          <w:color w:val="auto"/>
        </w:rPr>
        <w:t>For the three months ended March 31, 2024 and 2023, shares that would be issuable assuming conversion of all of the Convertible Senior Notes (as defined in Note 13) were excluded from the calculation of diluted loss per share because they were anti-dilutive. The Convertible Senior Notes have an initial conversion rate of 15.6539 shares of common stock per $1,000 principal amount of the Convertible Senior Notes, which will be subject to anti-dilution adjustments in certain circumstances. As of March 31, 2024 and 2023, the number of shares that would be issuable assuming conversion of all of the Convertible Senior Notes is approximately 3,210,098 and 5,474,952,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3—Revenue</w:t>
      </w:r>
    </w:p>
    <w:p>
      <w:pPr>
        <w:spacing w:after="0" w:line="18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Company's revenue recognized on a net basis and on a gross basis for the three months ended March 31, 2024 and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00" w:type="dxa"/>
            <w:vAlign w:val="bottom"/>
          </w:tcPr>
          <w:p>
            <w:pPr>
              <w:spacing w:after="0"/>
              <w:rPr>
                <w:sz w:val="15"/>
                <w:szCs w:val="15"/>
                <w:color w:val="auto"/>
              </w:rPr>
            </w:pPr>
          </w:p>
        </w:tc>
      </w:tr>
      <w:tr>
        <w:trPr>
          <w:trHeight w:val="23"/>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7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March 31, 2023</w:t>
            </w:r>
          </w:p>
        </w:tc>
        <w:tc>
          <w:tcPr>
            <w:tcW w:w="500" w:type="dxa"/>
            <w:vAlign w:val="bottom"/>
            <w:tcBorders>
              <w:bottom w:val="single" w:sz="8" w:color="auto"/>
            </w:tcBorders>
          </w:tcPr>
          <w:p>
            <w:pPr>
              <w:spacing w:after="0"/>
              <w:rPr>
                <w:sz w:val="15"/>
                <w:szCs w:val="15"/>
                <w:color w:val="auto"/>
              </w:rPr>
            </w:pPr>
          </w:p>
        </w:tc>
      </w:tr>
      <w:tr>
        <w:trPr>
          <w:trHeight w:val="187"/>
        </w:trPr>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500" w:type="dxa"/>
            <w:vAlign w:val="bottom"/>
          </w:tcPr>
          <w:p>
            <w:pPr>
              <w:spacing w:after="0"/>
              <w:rPr>
                <w:sz w:val="16"/>
                <w:szCs w:val="16"/>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0"/>
        </w:trPr>
        <w:tc>
          <w:tcPr>
            <w:tcW w:w="7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basis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r>
      <w:tr>
        <w:trPr>
          <w:trHeight w:val="220"/>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Gross basis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149,319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130,150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Company's revenue by channel for the three months ended March 31, 2024 and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00" w:type="dxa"/>
            <w:vAlign w:val="bottom"/>
          </w:tcPr>
          <w:p>
            <w:pPr>
              <w:spacing w:after="0"/>
              <w:rPr>
                <w:sz w:val="15"/>
                <w:szCs w:val="15"/>
                <w:color w:val="auto"/>
              </w:rPr>
            </w:pPr>
          </w:p>
        </w:tc>
      </w:tr>
      <w:tr>
        <w:trPr>
          <w:trHeight w:val="23"/>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7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March 31, 2023</w:t>
            </w:r>
          </w:p>
        </w:tc>
        <w:tc>
          <w:tcPr>
            <w:tcW w:w="500" w:type="dxa"/>
            <w:vAlign w:val="bottom"/>
            <w:tcBorders>
              <w:bottom w:val="single" w:sz="8" w:color="auto"/>
            </w:tcBorders>
          </w:tcPr>
          <w:p>
            <w:pPr>
              <w:spacing w:after="0"/>
              <w:rPr>
                <w:sz w:val="15"/>
                <w:szCs w:val="15"/>
                <w:color w:val="auto"/>
              </w:rPr>
            </w:pPr>
          </w:p>
        </w:tc>
      </w:tr>
      <w:tr>
        <w:trPr>
          <w:trHeight w:val="187"/>
        </w:trPr>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500" w:type="dxa"/>
            <w:vAlign w:val="bottom"/>
          </w:tcPr>
          <w:p>
            <w:pPr>
              <w:spacing w:after="0"/>
              <w:rPr>
                <w:sz w:val="16"/>
                <w:szCs w:val="16"/>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Channel:</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0"/>
        </w:trPr>
        <w:tc>
          <w:tcPr>
            <w:tcW w:w="7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CTV</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r>
      <w:tr>
        <w:trPr>
          <w:trHeight w:val="220"/>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Mobile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7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Desktop</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r>
      <w:tr>
        <w:trPr>
          <w:trHeight w:val="23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130,150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00" w:firstLine="169"/>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Company's revenue disaggregated by geographic location, based on the location of the Company's sellers for the three months ended March 31, 2024 and 2023: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4"/>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8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87"/>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4"/>
          </w:tcPr>
          <w:p>
            <w:pPr>
              <w:jc w:val="right"/>
              <w:ind w:right="93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113,412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97,156</w:t>
            </w:r>
          </w:p>
        </w:tc>
      </w:tr>
      <w:tr>
        <w:trPr>
          <w:trHeight w:val="22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35,907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32,994</w:t>
            </w:r>
          </w:p>
        </w:tc>
      </w:tr>
      <w:tr>
        <w:trPr>
          <w:trHeight w:val="23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149,319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130,150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60" w:firstLine="621"/>
        <w:spacing w:after="0" w:line="261" w:lineRule="auto"/>
        <w:rPr>
          <w:sz w:val="20"/>
          <w:szCs w:val="20"/>
          <w:color w:val="auto"/>
        </w:rPr>
      </w:pPr>
      <w:r>
        <w:rPr>
          <w:rFonts w:ascii="Times New Roman" w:cs="Times New Roman" w:eastAsia="Times New Roman" w:hAnsi="Times New Roman"/>
          <w:sz w:val="17"/>
          <w:szCs w:val="17"/>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are presented net of an allowance for doubtful accounts of $2.5 million at March 31, 2024, and $20.4 million at December 31, 2023. Accounts receivable are written off against the allowance for doubtful accounts when the Company determines amounts are no longer collectible.</w:t>
      </w:r>
    </w:p>
    <w:p>
      <w:pPr>
        <w:spacing w:after="0" w:line="70"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$1.5 million and $1.1 million as of March 31, 2024 and December 31, 2023, respectively.</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activity in the allowance for doubtful accounts for the three months ended March 31, 2024 and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8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8"/>
              </w:rPr>
              <w:t>March 31, 2023</w:t>
            </w:r>
          </w:p>
        </w:tc>
      </w:tr>
      <w:tr>
        <w:trPr>
          <w:trHeight w:val="187"/>
        </w:trPr>
        <w:tc>
          <w:tcPr>
            <w:tcW w:w="8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 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20,363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r>
      <w:tr>
        <w:trPr>
          <w:trHeight w:val="220"/>
        </w:trPr>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provision for expected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615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 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2,467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1,662</w:t>
            </w:r>
          </w:p>
        </w:tc>
      </w:tr>
      <w:tr>
        <w:trPr>
          <w:trHeight w:val="20"/>
        </w:trPr>
        <w:tc>
          <w:tcPr>
            <w:tcW w:w="8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780" w:firstLine="621"/>
        <w:spacing w:after="0" w:line="291" w:lineRule="auto"/>
        <w:rPr>
          <w:sz w:val="20"/>
          <w:szCs w:val="20"/>
          <w:color w:val="auto"/>
        </w:rPr>
      </w:pPr>
      <w:r>
        <w:rPr>
          <w:rFonts w:ascii="Times New Roman" w:cs="Times New Roman" w:eastAsia="Times New Roman" w:hAnsi="Times New Roman"/>
          <w:sz w:val="17"/>
          <w:szCs w:val="17"/>
          <w:color w:val="auto"/>
        </w:rPr>
        <w:t>During the three months ended March 31, 2024 the Company wrote off $18.5 million of allowance for doubtful accounts, which was primarily attributable to the outstanding accounts receivable from a buyer that had filed for bankruptcy during 2023.</w:t>
      </w:r>
    </w:p>
    <w:p>
      <w:pPr>
        <w:spacing w:after="0" w:line="18" w:lineRule="exact"/>
        <w:rPr>
          <w:sz w:val="20"/>
          <w:szCs w:val="20"/>
          <w:color w:val="auto"/>
        </w:rPr>
      </w:pPr>
    </w:p>
    <w:p>
      <w:pPr>
        <w:ind w:right="200" w:firstLine="621"/>
        <w:spacing w:after="0" w:line="263" w:lineRule="auto"/>
        <w:rPr>
          <w:sz w:val="20"/>
          <w:szCs w:val="20"/>
          <w:color w:val="auto"/>
        </w:rPr>
      </w:pPr>
      <w:r>
        <w:rPr>
          <w:rFonts w:ascii="Times New Roman" w:cs="Times New Roman" w:eastAsia="Times New Roman" w:hAnsi="Times New Roman"/>
          <w:sz w:val="17"/>
          <w:szCs w:val="17"/>
          <w:color w:val="auto"/>
        </w:rPr>
        <w:t>During the three months ended March 31, 2024, the provision for expected credit losses associated with accounts receivable increased by $0.6 million, offset by increases of contra seller payables related to recoveries of uncollected buyer receivables of $0.5 million, which resulted in $0.1 million of bad debt expense. During the three months ended March 31, 2023, the provision for expected credit losses associated with accounts receivable increased by $0.6 million, offset by increases of contra seller payables related to recoveries of uncollected buyer receivables of $0.5 million, which resulted in $0.1 million of bad debt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4—Fair Value Measurements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19"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32" w:lineRule="exact"/>
        <w:rPr>
          <w:sz w:val="20"/>
          <w:szCs w:val="20"/>
          <w:color w:val="auto"/>
        </w:rPr>
      </w:pPr>
    </w:p>
    <w:p>
      <w:pPr>
        <w:ind w:left="1100" w:right="820" w:hanging="476"/>
        <w:spacing w:after="0" w:line="291" w:lineRule="auto"/>
        <w:tabs>
          <w:tab w:leader="none" w:pos="10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(unadjusted) in active markets for identical assets or liabilities that the Company has the ability to access at the measurement date.</w:t>
      </w:r>
    </w:p>
    <w:p>
      <w:pPr>
        <w:spacing w:after="0" w:line="30"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prices included within Level 1 that are observable for the asset or liability, either directly or indirectly.</w:t>
      </w:r>
    </w:p>
    <w:p>
      <w:pPr>
        <w:spacing w:after="0" w:line="89"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a summary of financial instruments that are measured at fair value on a recurring basis at March 31, 2024:</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680" w:type="dxa"/>
            <w:vAlign w:val="bottom"/>
            <w:vMerge w:val="restart"/>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920" w:type="dxa"/>
            <w:vAlign w:val="bottom"/>
            <w:vMerge w:val="restart"/>
          </w:tcPr>
          <w:p>
            <w:pPr>
              <w:jc w:val="center"/>
              <w:ind w:left="847"/>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ind w:right="248"/>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6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1720" w:type="dxa"/>
            <w:vAlign w:val="bottom"/>
          </w:tcPr>
          <w:p>
            <w:pPr>
              <w:jc w:val="center"/>
              <w:ind w:right="248"/>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680" w:type="dxa"/>
            <w:vAlign w:val="bottom"/>
          </w:tcPr>
          <w:p>
            <w:pPr>
              <w:jc w:val="center"/>
              <w:ind w:left="327"/>
              <w:spacing w:after="0" w:line="131"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1920" w:type="dxa"/>
            <w:vAlign w:val="bottom"/>
          </w:tcPr>
          <w:p>
            <w:pPr>
              <w:ind w:left="800"/>
              <w:spacing w:after="0" w:line="131" w:lineRule="exact"/>
              <w:rPr>
                <w:sz w:val="20"/>
                <w:szCs w:val="20"/>
                <w:color w:val="auto"/>
              </w:rPr>
            </w:pPr>
            <w:r>
              <w:rPr>
                <w:rFonts w:ascii="Times New Roman" w:cs="Times New Roman" w:eastAsia="Times New Roman" w:hAnsi="Times New Roman"/>
                <w:sz w:val="14"/>
                <w:szCs w:val="14"/>
                <w:b w:val="1"/>
                <w:bCs w:val="1"/>
                <w:color w:val="auto"/>
                <w:w w:val="95"/>
              </w:rPr>
              <w:t>Unobservable Inpu</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80" w:type="dxa"/>
            <w:vAlign w:val="bottom"/>
          </w:tcPr>
          <w:p>
            <w:pPr>
              <w:jc w:val="center"/>
              <w:ind w:left="36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920" w:type="dxa"/>
            <w:vAlign w:val="bottom"/>
          </w:tcPr>
          <w:p>
            <w:pPr>
              <w:jc w:val="center"/>
              <w:ind w:left="867"/>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gridSpan w:val="2"/>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gridSpan w:val="2"/>
          </w:tcPr>
          <w:p>
            <w:pPr>
              <w:jc w:val="right"/>
              <w:ind w:right="86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212,417</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rPr>
              <w:t>212,417</w:t>
            </w:r>
          </w:p>
        </w:tc>
        <w:tc>
          <w:tcPr>
            <w:tcW w:w="1680" w:type="dxa"/>
            <w:vAlign w:val="bottom"/>
            <w:shd w:val="clear" w:color="auto" w:fill="CCEEFF"/>
          </w:tcPr>
          <w:p>
            <w:pPr>
              <w:jc w:val="right"/>
              <w:ind w:right="1427"/>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3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a summary of financial instruments that are measured at fair value on a recurring basis at December 31, 2023:</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70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920" w:type="dxa"/>
            <w:vAlign w:val="bottom"/>
            <w:vMerge w:val="restart"/>
          </w:tcPr>
          <w:p>
            <w:pPr>
              <w:jc w:val="center"/>
              <w:ind w:left="807"/>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ind w:right="248"/>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7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1720" w:type="dxa"/>
            <w:vAlign w:val="bottom"/>
          </w:tcPr>
          <w:p>
            <w:pPr>
              <w:jc w:val="center"/>
              <w:ind w:right="248"/>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700" w:type="dxa"/>
            <w:vAlign w:val="bottom"/>
          </w:tcPr>
          <w:p>
            <w:pPr>
              <w:jc w:val="center"/>
              <w:ind w:left="307"/>
              <w:spacing w:after="0" w:line="131"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1920" w:type="dxa"/>
            <w:vAlign w:val="bottom"/>
          </w:tcPr>
          <w:p>
            <w:pPr>
              <w:ind w:left="780"/>
              <w:spacing w:after="0" w:line="131" w:lineRule="exact"/>
              <w:rPr>
                <w:sz w:val="20"/>
                <w:szCs w:val="20"/>
                <w:color w:val="auto"/>
              </w:rPr>
            </w:pPr>
            <w:r>
              <w:rPr>
                <w:rFonts w:ascii="Times New Roman" w:cs="Times New Roman" w:eastAsia="Times New Roman" w:hAnsi="Times New Roman"/>
                <w:sz w:val="14"/>
                <w:szCs w:val="14"/>
                <w:b w:val="1"/>
                <w:bCs w:val="1"/>
                <w:color w:val="auto"/>
                <w:w w:val="97"/>
              </w:rPr>
              <w:t>Unobservable Inpu</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700" w:type="dxa"/>
            <w:vAlign w:val="bottom"/>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920" w:type="dxa"/>
            <w:vAlign w:val="bottom"/>
          </w:tcPr>
          <w:p>
            <w:pPr>
              <w:jc w:val="center"/>
              <w:ind w:left="827"/>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2"/>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gridSpan w:val="2"/>
          </w:tcPr>
          <w:p>
            <w:pPr>
              <w:jc w:val="right"/>
              <w:ind w:right="88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281,162</w:t>
            </w:r>
          </w:p>
        </w:tc>
        <w:tc>
          <w:tcPr>
            <w:tcW w:w="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281,162</w:t>
            </w:r>
          </w:p>
        </w:tc>
        <w:tc>
          <w:tcPr>
            <w:tcW w:w="1700" w:type="dxa"/>
            <w:vAlign w:val="bottom"/>
            <w:shd w:val="clear" w:color="auto" w:fill="CCEEFF"/>
          </w:tcPr>
          <w:p>
            <w:pPr>
              <w:jc w:val="right"/>
              <w:ind w:right="1447"/>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right="320" w:firstLine="621"/>
        <w:spacing w:after="0" w:line="272" w:lineRule="auto"/>
        <w:rPr>
          <w:sz w:val="20"/>
          <w:szCs w:val="20"/>
          <w:color w:val="auto"/>
        </w:rPr>
      </w:pPr>
      <w:r>
        <w:rPr>
          <w:rFonts w:ascii="Times New Roman" w:cs="Times New Roman" w:eastAsia="Times New Roman" w:hAnsi="Times New Roman"/>
          <w:sz w:val="17"/>
          <w:szCs w:val="17"/>
          <w:color w:val="auto"/>
        </w:rPr>
        <w:t>At March 31, 2024 and December 31, 2023, cash equivalents of $212.4 million and $281.2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47" w:lineRule="exact"/>
        <w:rPr>
          <w:sz w:val="20"/>
          <w:szCs w:val="20"/>
          <w:color w:val="auto"/>
        </w:rPr>
      </w:pPr>
    </w:p>
    <w:p>
      <w:pPr>
        <w:ind w:right="240" w:firstLine="621"/>
        <w:spacing w:after="0" w:line="265" w:lineRule="auto"/>
        <w:rPr>
          <w:sz w:val="20"/>
          <w:szCs w:val="20"/>
          <w:color w:val="auto"/>
        </w:rPr>
      </w:pPr>
      <w:r>
        <w:rPr>
          <w:rFonts w:ascii="Times New Roman" w:cs="Times New Roman" w:eastAsia="Times New Roman" w:hAnsi="Times New Roman"/>
          <w:sz w:val="17"/>
          <w:szCs w:val="17"/>
          <w:color w:val="auto"/>
        </w:rPr>
        <w:t>At March 31, 2024 the Company had debt outstanding under its Convertible Senior Notes and loans under its 2024 Term Loan B Facility (as defined in Note 13), and at December 31, 2023, had debt outstanding under its Convertible Senior Notes and loans under its 2021 Term Loan B Facility (as defined in Note</w:t>
      </w:r>
    </w:p>
    <w:p>
      <w:pPr>
        <w:spacing w:after="0" w:line="1" w:lineRule="exact"/>
        <w:rPr>
          <w:sz w:val="20"/>
          <w:szCs w:val="20"/>
          <w:color w:val="auto"/>
        </w:rPr>
      </w:pPr>
    </w:p>
    <w:p>
      <w:pPr>
        <w:ind w:right="200" w:firstLine="3"/>
        <w:spacing w:after="0" w:line="256" w:lineRule="auto"/>
        <w:tabs>
          <w:tab w:leader="none" w:pos="27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its balance sheets, respectively. The estimated fair value of the Company's Convertible Senior Notes was $183.3 million and $174.3 million as of March 31, 2024 and December 31, 2023, respectively. The estimated fair value of Convertible Senior Notes is based on market rates and the closing trading price of the Convertible Senior Notes as of March 31, 2024 and December 31, 2023 and is classified as Level 2 in the fair value hierarchy. At March 31, 2024 and December 31, 2023, the estimated fair value of the Company's 2024 Term Loan B Facility and of the Company's 2021 Term Loan B Facility was $365.5 million and $352.3 million, respectively. The estimated fair value is based on borrowing rates currently available to the Company for financing with similar terms and is classified as Level 2 in the fair value hierarchy.</w:t>
      </w:r>
    </w:p>
    <w:p>
      <w:pPr>
        <w:spacing w:after="0" w:line="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transfers between Level 1 and Level 2 fair value measurements during the three months ended March 31,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5—Other Balance Sheet Amounts</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 included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5"/>
                <w:szCs w:val="15"/>
                <w:color w:val="auto"/>
              </w:rPr>
            </w:pPr>
          </w:p>
        </w:tc>
        <w:tc>
          <w:tcPr>
            <w:tcW w:w="14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4"/>
          </w:tcPr>
          <w:p>
            <w:pPr>
              <w:spacing w:after="0" w:line="20" w:lineRule="exact"/>
              <w:rPr>
                <w:sz w:val="1"/>
                <w:szCs w:val="1"/>
                <w:color w:val="auto"/>
              </w:rPr>
            </w:pPr>
          </w:p>
        </w:tc>
      </w:tr>
      <w:tr>
        <w:trPr>
          <w:trHeight w:val="181"/>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4"/>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payable—seller</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1,072,080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1,333,242</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payable—trade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23,844</w:t>
            </w: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employee-related payables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15,090</w:t>
            </w:r>
          </w:p>
        </w:tc>
      </w:tr>
      <w:tr>
        <w:trPr>
          <w:trHeight w:val="213"/>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1,123,407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1,372,176</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6—Property and Equipment</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Major classes of property and equipment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5"/>
                <w:szCs w:val="15"/>
                <w:color w:val="auto"/>
              </w:rPr>
            </w:pP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4"/>
          </w:tcPr>
          <w:p>
            <w:pPr>
              <w:spacing w:after="0" w:line="20" w:lineRule="exact"/>
              <w:rPr>
                <w:sz w:val="1"/>
                <w:szCs w:val="1"/>
                <w:color w:val="auto"/>
              </w:rPr>
            </w:pPr>
          </w:p>
        </w:tc>
      </w:tr>
      <w:tr>
        <w:trPr>
          <w:trHeight w:val="181"/>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network hardware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154,821</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fixtures, and office equipment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4,031</w:t>
            </w: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w:t>
            </w:r>
          </w:p>
        </w:tc>
      </w:tr>
      <w:tr>
        <w:trPr>
          <w:trHeight w:val="22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Purchased software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w:t>
            </w:r>
          </w:p>
        </w:tc>
      </w:tr>
      <w:tr>
        <w:trPr>
          <w:trHeight w:val="213"/>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property and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163,869</w:t>
            </w:r>
          </w:p>
        </w:tc>
      </w:tr>
      <w:tr>
        <w:trPr>
          <w:trHeight w:val="22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(116,498)</w:t>
            </w:r>
          </w:p>
        </w:tc>
      </w:tr>
      <w:tr>
        <w:trPr>
          <w:trHeight w:val="23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property and equipment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900" w:firstLine="621"/>
        <w:spacing w:after="0" w:line="291" w:lineRule="auto"/>
        <w:rPr>
          <w:sz w:val="20"/>
          <w:szCs w:val="20"/>
          <w:color w:val="auto"/>
        </w:rPr>
      </w:pPr>
      <w:r>
        <w:rPr>
          <w:rFonts w:ascii="Times New Roman" w:cs="Times New Roman" w:eastAsia="Times New Roman" w:hAnsi="Times New Roman"/>
          <w:sz w:val="17"/>
          <w:szCs w:val="17"/>
          <w:color w:val="auto"/>
        </w:rPr>
        <w:t>Depreciation expense on property and equipment totaled $3.2 million and $5.3 million for the three months ended March 31, 2024 and 2023, respectively. See Note 1 for information related to the change in estimated useful lives of network hardware assets.</w:t>
      </w:r>
    </w:p>
    <w:p>
      <w:pPr>
        <w:spacing w:after="0" w:line="1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property and equipment, net by geographical region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5"/>
                <w:szCs w:val="15"/>
                <w:color w:val="auto"/>
              </w:rPr>
            </w:pP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32,161</w:t>
            </w:r>
          </w:p>
        </w:tc>
        <w:tc>
          <w:tcPr>
            <w:tcW w:w="0" w:type="dxa"/>
            <w:vAlign w:val="bottom"/>
          </w:tcPr>
          <w:p>
            <w:pPr>
              <w:spacing w:after="0"/>
              <w:rPr>
                <w:sz w:val="1"/>
                <w:szCs w:val="1"/>
                <w:color w:val="auto"/>
              </w:rPr>
            </w:pPr>
          </w:p>
        </w:tc>
      </w:tr>
      <w:tr>
        <w:trPr>
          <w:trHeight w:val="22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15,210</w:t>
            </w:r>
          </w:p>
        </w:tc>
        <w:tc>
          <w:tcPr>
            <w:tcW w:w="0" w:type="dxa"/>
            <w:vAlign w:val="bottom"/>
          </w:tcPr>
          <w:p>
            <w:pPr>
              <w:spacing w:after="0"/>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7—Intangible Assets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9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Company’s intangible assets as of March 31, 2024 and December 31, 2023 included the following:</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24"/>
                <w:szCs w:val="24"/>
                <w:color w:val="auto"/>
              </w:rPr>
            </w:pP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Developed technology</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109,736</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Customer relationships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37,300</w:t>
            </w:r>
          </w:p>
        </w:tc>
        <w:tc>
          <w:tcPr>
            <w:tcW w:w="0" w:type="dxa"/>
            <w:vAlign w:val="bottom"/>
          </w:tcPr>
          <w:p>
            <w:pPr>
              <w:spacing w:after="0"/>
              <w:rPr>
                <w:sz w:val="1"/>
                <w:szCs w:val="1"/>
                <w:color w:val="auto"/>
              </w:rPr>
            </w:pPr>
          </w:p>
        </w:tc>
      </w:tr>
      <w:tr>
        <w:trPr>
          <w:trHeight w:val="220"/>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8,830</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Trademarks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20"/>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Non-compete agreements</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13"/>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 gross</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156,766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156,966</w:t>
            </w:r>
          </w:p>
        </w:tc>
        <w:tc>
          <w:tcPr>
            <w:tcW w:w="0" w:type="dxa"/>
            <w:vAlign w:val="bottom"/>
          </w:tcPr>
          <w:p>
            <w:pPr>
              <w:spacing w:after="0"/>
              <w:rPr>
                <w:sz w:val="1"/>
                <w:szCs w:val="1"/>
                <w:color w:val="auto"/>
              </w:rPr>
            </w:pP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amortization—intangible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Developed technology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(75,321)</w:t>
            </w:r>
          </w:p>
        </w:tc>
        <w:tc>
          <w:tcPr>
            <w:tcW w:w="0" w:type="dxa"/>
            <w:vAlign w:val="bottom"/>
          </w:tcPr>
          <w:p>
            <w:pPr>
              <w:spacing w:after="0"/>
              <w:rPr>
                <w:sz w:val="1"/>
                <w:szCs w:val="1"/>
                <w:color w:val="auto"/>
              </w:rPr>
            </w:pPr>
          </w:p>
        </w:tc>
      </w:tr>
      <w:tr>
        <w:trPr>
          <w:trHeight w:val="220"/>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Customer relationships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(24,867)</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(4,832)</w:t>
            </w:r>
          </w:p>
        </w:tc>
        <w:tc>
          <w:tcPr>
            <w:tcW w:w="0" w:type="dxa"/>
            <w:vAlign w:val="bottom"/>
          </w:tcPr>
          <w:p>
            <w:pPr>
              <w:spacing w:after="0"/>
              <w:rPr>
                <w:sz w:val="1"/>
                <w:szCs w:val="1"/>
                <w:color w:val="auto"/>
              </w:rPr>
            </w:pPr>
          </w:p>
        </w:tc>
      </w:tr>
      <w:tr>
        <w:trPr>
          <w:trHeight w:val="220"/>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Trademarks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20"/>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Non-compete agreements</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accumulated amortization—intangible assets</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(113,344)</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(105,955)</w:t>
            </w:r>
          </w:p>
        </w:tc>
        <w:tc>
          <w:tcPr>
            <w:tcW w:w="0" w:type="dxa"/>
            <w:vAlign w:val="bottom"/>
          </w:tcPr>
          <w:p>
            <w:pPr>
              <w:spacing w:after="0"/>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7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Amortization of intangible assets for the three months ended March 31, 2024 and 2023 was $7.6 million and $86.4 million, respectively.</w:t>
      </w:r>
    </w:p>
    <w:p>
      <w:pPr>
        <w:spacing w:after="0" w:line="1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estimated remaining amortization expense associated with the Company's intangible assets was as follows as of March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9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22,545</w:t>
            </w:r>
          </w:p>
        </w:tc>
      </w:tr>
      <w:tr>
        <w:trPr>
          <w:trHeight w:val="220"/>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14,445</w:t>
            </w:r>
          </w:p>
        </w:tc>
      </w:tr>
      <w:tr>
        <w:trPr>
          <w:trHeight w:val="22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6,001</w:t>
            </w:r>
          </w:p>
        </w:tc>
      </w:tr>
      <w:tr>
        <w:trPr>
          <w:trHeight w:val="220"/>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38"/>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43,422</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8—Merger, Acquisition, and Restructuring Costs</w:t>
      </w:r>
    </w:p>
    <w:p>
      <w:pPr>
        <w:spacing w:after="0" w:line="104" w:lineRule="exact"/>
        <w:rPr>
          <w:sz w:val="20"/>
          <w:szCs w:val="20"/>
          <w:color w:val="auto"/>
        </w:rPr>
      </w:pPr>
    </w:p>
    <w:p>
      <w:pPr>
        <w:ind w:right="540" w:firstLine="621"/>
        <w:spacing w:after="0" w:line="291" w:lineRule="auto"/>
        <w:rPr>
          <w:sz w:val="20"/>
          <w:szCs w:val="20"/>
          <w:color w:val="auto"/>
        </w:rPr>
      </w:pPr>
      <w:r>
        <w:rPr>
          <w:rFonts w:ascii="Times New Roman" w:cs="Times New Roman" w:eastAsia="Times New Roman" w:hAnsi="Times New Roman"/>
          <w:sz w:val="17"/>
          <w:szCs w:val="17"/>
          <w:color w:val="auto"/>
        </w:rPr>
        <w:t>Merger, acquisition, and restructuring costs primarily consists of professional services fees and employee termination costs, including stock-based compensation charges, associated with historical acquisitions and restructuring activities.</w:t>
      </w:r>
    </w:p>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merger, acquisition, and restructuring cost activity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23"/>
        </w:trPr>
        <w:tc>
          <w:tcPr>
            <w:tcW w:w="9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1"/>
        </w:trPr>
        <w:tc>
          <w:tcPr>
            <w:tcW w:w="9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80"/>
        </w:trPr>
        <w:tc>
          <w:tcPr>
            <w:tcW w:w="9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0"/>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Personnel related (severance and one-time termination benefit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w:t>
            </w:r>
          </w:p>
        </w:tc>
      </w:tr>
      <w:tr>
        <w:trPr>
          <w:trHeight w:val="22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contracts (facilities related)</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w:t>
            </w:r>
          </w:p>
        </w:tc>
      </w:tr>
      <w:tr>
        <w:trPr>
          <w:trHeight w:val="220"/>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Exit costs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r>
      <w:tr>
        <w:trPr>
          <w:trHeight w:val="22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Impairment of property and equipment, net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r>
      <w:tr>
        <w:trPr>
          <w:trHeight w:val="220"/>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stock-based compensation (double-trigger acceleration and severance)</w:t>
            </w: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3"/>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merger, acquisition, and restructuring costs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7,465</w:t>
            </w:r>
          </w:p>
        </w:tc>
      </w:tr>
      <w:tr>
        <w:trPr>
          <w:trHeight w:val="20"/>
        </w:trPr>
        <w:tc>
          <w:tcPr>
            <w:tcW w:w="9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firstLine="621"/>
        <w:spacing w:after="0" w:line="243" w:lineRule="auto"/>
        <w:rPr>
          <w:sz w:val="20"/>
          <w:szCs w:val="20"/>
          <w:color w:val="auto"/>
        </w:rPr>
      </w:pPr>
      <w:r>
        <w:rPr>
          <w:rFonts w:ascii="Times New Roman" w:cs="Times New Roman" w:eastAsia="Times New Roman" w:hAnsi="Times New Roman"/>
          <w:sz w:val="17"/>
          <w:szCs w:val="17"/>
          <w:color w:val="auto"/>
        </w:rPr>
        <w:t>During the three months ended March 31, 2024, the Company did not incur any merger, acquisition, and restructuring costs. During the three months ended March 31, 2023, the Company incurred merger, acquisition, and restructuring costs of $7.5 million, which included the Company's reduction of its global workforce primarily associated with the elimination of duplicative roles and other costs associated with the consolidation of its legacy CTV and SpotX CTV platforms following the 2021 acquisition of SpotX Inc., including loss contracts for office facilities the Company does not plan to continue to occupy and impairment charges related to certain assets it no longer plans to utilize.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9—Stock-Based Compensation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stock option activity for the three months ended March 31, 2024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220" w:type="dxa"/>
            <w:vAlign w:val="bottom"/>
          </w:tcPr>
          <w:p>
            <w:pPr>
              <w:spacing w:after="0"/>
              <w:rPr>
                <w:sz w:val="13"/>
                <w:szCs w:val="13"/>
                <w:color w:val="auto"/>
              </w:rPr>
            </w:pPr>
          </w:p>
        </w:tc>
        <w:tc>
          <w:tcPr>
            <w:tcW w:w="12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88"/>
        </w:trPr>
        <w:tc>
          <w:tcPr>
            <w:tcW w:w="50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 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220" w:type="dxa"/>
            <w:vAlign w:val="bottom"/>
          </w:tcPr>
          <w:p>
            <w:pPr>
              <w:spacing w:after="0"/>
              <w:rPr>
                <w:sz w:val="16"/>
                <w:szCs w:val="16"/>
                <w:color w:val="auto"/>
              </w:rPr>
            </w:pPr>
          </w:p>
        </w:tc>
        <w:tc>
          <w:tcPr>
            <w:tcW w:w="12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14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3"/>
        </w:trPr>
        <w:tc>
          <w:tcPr>
            <w:tcW w:w="5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4,262</w:t>
            </w:r>
          </w:p>
        </w:tc>
        <w:tc>
          <w:tcPr>
            <w:tcW w:w="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360" w:type="dxa"/>
            <w:vAlign w:val="bottom"/>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4,385</w:t>
            </w:r>
          </w:p>
        </w:tc>
        <w:tc>
          <w:tcPr>
            <w:tcW w:w="360" w:type="dxa"/>
            <w:vAlign w:val="bottom"/>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5.3 years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March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w:t>
            </w:r>
          </w:p>
        </w:tc>
        <w:tc>
          <w:tcPr>
            <w:tcW w:w="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4.8 years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18,036</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At March 31, 2024, the Company had unrecognized employee stock-based compensation expense relating to nonvested stock options of approximately $5.4 million, which is expected to be recognized over a weighted-average period of 2.3 years. Total grant date fair value of options vested during the three months ended March 31, 2024 was $1.1 million.</w:t>
      </w:r>
    </w:p>
    <w:p>
      <w:pPr>
        <w:spacing w:after="0" w:line="47"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The Company estimates the fair value of stock options that contain service conditions using the Black-Scholes option pricing model. The grant date fair value of options granted during the three months ended March 31, 2024 was $6.34 per share. The weighted-average input assumptions used by the Company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0" w:type="dxa"/>
            <w:vAlign w:val="bottom"/>
          </w:tcPr>
          <w:p>
            <w:pPr>
              <w:spacing w:after="0"/>
              <w:rPr>
                <w:sz w:val="15"/>
                <w:szCs w:val="15"/>
                <w:color w:val="auto"/>
              </w:rPr>
            </w:pPr>
          </w:p>
        </w:tc>
        <w:tc>
          <w:tcPr>
            <w:tcW w:w="3440" w:type="dxa"/>
            <w:vAlign w:val="bottom"/>
            <w:gridSpan w:val="3"/>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0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1"/>
        </w:trPr>
        <w:tc>
          <w:tcPr>
            <w:tcW w:w="7800" w:type="dxa"/>
            <w:vAlign w:val="bottom"/>
          </w:tcPr>
          <w:p>
            <w:pPr>
              <w:spacing w:after="0"/>
              <w:rPr>
                <w:sz w:val="15"/>
                <w:szCs w:val="15"/>
                <w:color w:val="auto"/>
              </w:rPr>
            </w:pP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8"/>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3.99 %</w:t>
            </w:r>
          </w:p>
        </w:tc>
      </w:tr>
      <w:tr>
        <w:trPr>
          <w:trHeight w:val="22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3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restricted stock unit ("RSU") activity for the three months ended March 31, 2024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5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Weighted-Average Grant</w:t>
            </w:r>
          </w:p>
        </w:tc>
        <w:tc>
          <w:tcPr>
            <w:tcW w:w="0" w:type="dxa"/>
            <w:vAlign w:val="bottom"/>
          </w:tcPr>
          <w:p>
            <w:pPr>
              <w:spacing w:after="0"/>
              <w:rPr>
                <w:sz w:val="1"/>
                <w:szCs w:val="1"/>
                <w:color w:val="auto"/>
              </w:rPr>
            </w:pPr>
          </w:p>
        </w:tc>
      </w:tr>
      <w:tr>
        <w:trPr>
          <w:trHeight w:val="188"/>
        </w:trPr>
        <w:tc>
          <w:tcPr>
            <w:tcW w:w="794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at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11,450</w:t>
            </w:r>
          </w:p>
        </w:tc>
        <w:tc>
          <w:tcPr>
            <w:tcW w:w="3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0" w:type="dxa"/>
            <w:vAlign w:val="bottom"/>
          </w:tcPr>
          <w:p>
            <w:pPr>
              <w:spacing w:after="0"/>
              <w:rPr>
                <w:sz w:val="1"/>
                <w:szCs w:val="1"/>
                <w:color w:val="auto"/>
              </w:rPr>
            </w:pPr>
          </w:p>
        </w:tc>
      </w:tr>
      <w:tr>
        <w:trPr>
          <w:trHeight w:val="220"/>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6,673</w:t>
            </w:r>
          </w:p>
        </w:tc>
        <w:tc>
          <w:tcPr>
            <w:tcW w:w="360" w:type="dxa"/>
            <w:vAlign w:val="bottom"/>
            <w:gridSpan w:val="2"/>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2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Canceled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3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0" w:type="dxa"/>
            <w:vAlign w:val="bottom"/>
          </w:tcPr>
          <w:p>
            <w:pPr>
              <w:spacing w:after="0"/>
              <w:rPr>
                <w:sz w:val="1"/>
                <w:szCs w:val="1"/>
                <w:color w:val="auto"/>
              </w:rPr>
            </w:pPr>
          </w:p>
        </w:tc>
      </w:tr>
      <w:tr>
        <w:trPr>
          <w:trHeight w:val="22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 and released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36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0" w:type="dxa"/>
            <w:vAlign w:val="bottom"/>
          </w:tcPr>
          <w:p>
            <w:pPr>
              <w:spacing w:after="0"/>
              <w:rPr>
                <w:sz w:val="1"/>
                <w:szCs w:val="1"/>
                <w:color w:val="auto"/>
              </w:rPr>
            </w:pP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and unvested at March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15,544</w:t>
            </w:r>
          </w:p>
        </w:tc>
        <w:tc>
          <w:tcPr>
            <w:tcW w:w="36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right="260" w:firstLine="621"/>
        <w:spacing w:after="0" w:line="266" w:lineRule="auto"/>
        <w:rPr>
          <w:sz w:val="20"/>
          <w:szCs w:val="20"/>
          <w:color w:val="auto"/>
        </w:rPr>
      </w:pPr>
      <w:r>
        <w:rPr>
          <w:rFonts w:ascii="Times New Roman" w:cs="Times New Roman" w:eastAsia="Times New Roman" w:hAnsi="Times New Roman"/>
          <w:sz w:val="17"/>
          <w:szCs w:val="17"/>
          <w:color w:val="auto"/>
        </w:rPr>
        <w:t>The weighted-average grant date fair value per share of restricted stock units granted during the three months ended March 31, 2024 was $9.20. The intrinsic value of restricted stock units that vested during the three months ended March 31, 2024 was $23.2 million. At March 31, 2024, the intrinsic value of unvested restricted stock units was $167.1 million. At March 31, 2024, the Company had unrecognized stock-based compensation expense relating to unvested restricted stock units of approximately $161.2 million, which is expected to be recognized over a weighted-average period of 3.0 years.</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106" w:lineRule="exact"/>
        <w:rPr>
          <w:sz w:val="20"/>
          <w:szCs w:val="20"/>
          <w:color w:val="auto"/>
        </w:rPr>
      </w:pPr>
    </w:p>
    <w:p>
      <w:pPr>
        <w:ind w:firstLine="621"/>
        <w:spacing w:after="0" w:line="272" w:lineRule="auto"/>
        <w:rPr>
          <w:sz w:val="20"/>
          <w:szCs w:val="20"/>
          <w:color w:val="auto"/>
        </w:rPr>
      </w:pPr>
      <w:r>
        <w:rPr>
          <w:rFonts w:ascii="Times New Roman" w:cs="Times New Roman" w:eastAsia="Times New Roman" w:hAnsi="Times New Roman"/>
          <w:sz w:val="17"/>
          <w:szCs w:val="17"/>
          <w:color w:val="auto"/>
        </w:rPr>
        <w:t>The Company grants performance stock units ("PSU") to select executive employees that vest based on share price metrics tied to total shareholder return relative ("TSR") to a peer group, subject to a time-based service component. Between 0% and 150% of the performance stock units will vest at the end of the performance period, which is generally on the third anniversary of the PSU grant date.</w:t>
      </w:r>
    </w:p>
    <w:p>
      <w:pPr>
        <w:spacing w:after="0" w:line="47" w:lineRule="exact"/>
        <w:rPr>
          <w:sz w:val="20"/>
          <w:szCs w:val="20"/>
          <w:color w:val="auto"/>
        </w:rPr>
      </w:pPr>
    </w:p>
    <w:p>
      <w:pPr>
        <w:ind w:right="600" w:firstLine="621"/>
        <w:spacing w:after="0" w:line="291" w:lineRule="auto"/>
        <w:rPr>
          <w:sz w:val="20"/>
          <w:szCs w:val="20"/>
          <w:color w:val="auto"/>
        </w:rPr>
      </w:pPr>
      <w:r>
        <w:rPr>
          <w:rFonts w:ascii="Times New Roman" w:cs="Times New Roman" w:eastAsia="Times New Roman" w:hAnsi="Times New Roman"/>
          <w:sz w:val="17"/>
          <w:szCs w:val="17"/>
          <w:color w:val="auto"/>
        </w:rPr>
        <w:t>During the three months ended March 31, 2024, the Company granted PSUs with an aggregate target of 486,431 shares, assuming a performance measurement of 100%. The amount of shares that will ultimately vest will be determined based on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520"/>
        <w:spacing w:after="0" w:line="291" w:lineRule="auto"/>
        <w:rPr>
          <w:sz w:val="20"/>
          <w:szCs w:val="20"/>
          <w:color w:val="auto"/>
        </w:rPr>
      </w:pPr>
      <w:r>
        <w:rPr>
          <w:rFonts w:ascii="Times New Roman" w:cs="Times New Roman" w:eastAsia="Times New Roman" w:hAnsi="Times New Roman"/>
          <w:sz w:val="17"/>
          <w:szCs w:val="17"/>
          <w:color w:val="auto"/>
        </w:rPr>
        <w:t>Company's TSR relative to the TSRs of a peer group for the three year-period beginning January 1, 2024, as well as certain interim measurements based on relative TSR for the one-year and two-year periods beginning on January 1, 2024.</w:t>
      </w:r>
    </w:p>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PSU activity for the three months ended March 31, 2024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58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Weighted-Average Grant</w:t>
            </w:r>
          </w:p>
        </w:tc>
        <w:tc>
          <w:tcPr>
            <w:tcW w:w="0" w:type="dxa"/>
            <w:vAlign w:val="bottom"/>
          </w:tcPr>
          <w:p>
            <w:pPr>
              <w:spacing w:after="0"/>
              <w:rPr>
                <w:sz w:val="1"/>
                <w:szCs w:val="1"/>
                <w:color w:val="auto"/>
              </w:rPr>
            </w:pPr>
          </w:p>
        </w:tc>
      </w:tr>
      <w:tr>
        <w:trPr>
          <w:trHeight w:val="188"/>
        </w:trPr>
        <w:tc>
          <w:tcPr>
            <w:tcW w:w="796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6"/>
        </w:trPr>
        <w:tc>
          <w:tcPr>
            <w:tcW w:w="7960" w:type="dxa"/>
            <w:vAlign w:val="bottom"/>
          </w:tcPr>
          <w:p>
            <w:pPr>
              <w:spacing w:after="0"/>
              <w:rPr>
                <w:sz w:val="16"/>
                <w:szCs w:val="16"/>
                <w:color w:val="auto"/>
              </w:rPr>
            </w:pPr>
          </w:p>
        </w:tc>
        <w:tc>
          <w:tcPr>
            <w:tcW w:w="15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3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0" w:type="dxa"/>
            <w:vAlign w:val="bottom"/>
          </w:tcPr>
          <w:p>
            <w:pPr>
              <w:spacing w:after="0"/>
              <w:rPr>
                <w:sz w:val="1"/>
                <w:szCs w:val="1"/>
                <w:color w:val="auto"/>
              </w:rPr>
            </w:pPr>
          </w:p>
        </w:tc>
      </w:tr>
      <w:tr>
        <w:trPr>
          <w:trHeight w:val="22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340" w:type="dxa"/>
            <w:vAlign w:val="bottom"/>
            <w:tcBorders>
              <w:bottom w:val="single" w:sz="8" w:color="CCEEFF"/>
            </w:tcBorders>
            <w:gridSpan w:val="2"/>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0" w:type="dxa"/>
            <w:vAlign w:val="bottom"/>
          </w:tcPr>
          <w:p>
            <w:pPr>
              <w:spacing w:after="0"/>
              <w:rPr>
                <w:sz w:val="1"/>
                <w:szCs w:val="1"/>
                <w:color w:val="auto"/>
              </w:rPr>
            </w:pP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March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340" w:type="dxa"/>
            <w:vAlign w:val="bottom"/>
            <w:tcBorders>
              <w:bottom w:val="single" w:sz="8" w:color="CCEEFF"/>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right="160" w:firstLine="621"/>
        <w:spacing w:after="0" w:line="266" w:lineRule="auto"/>
        <w:rPr>
          <w:sz w:val="20"/>
          <w:szCs w:val="20"/>
          <w:color w:val="auto"/>
        </w:rPr>
      </w:pPr>
      <w:r>
        <w:rPr>
          <w:rFonts w:ascii="Times New Roman" w:cs="Times New Roman" w:eastAsia="Times New Roman" w:hAnsi="Times New Roman"/>
          <w:sz w:val="17"/>
          <w:szCs w:val="17"/>
          <w:color w:val="auto"/>
        </w:rPr>
        <w:t>The grant date fair value for the PSUs was estimated using a Monte-Carlo simulation model that incorporates option-pricing inputs covering the period from the grant date through the end of the performance period. Stock-based compensation expense for PSUs is based on the grant date fair value and the number of shares assuming a performance measurement of 100%. The compensation expense will not be reversed if the performance metrics are not met. The weighted-average input assumptions used by the Company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Pr>
          <w:p>
            <w:pPr>
              <w:spacing w:after="0"/>
              <w:rPr>
                <w:sz w:val="15"/>
                <w:szCs w:val="15"/>
                <w:color w:val="auto"/>
              </w:rPr>
            </w:pPr>
          </w:p>
        </w:tc>
        <w:tc>
          <w:tcPr>
            <w:tcW w:w="3500" w:type="dxa"/>
            <w:vAlign w:val="bottom"/>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4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1"/>
        </w:trPr>
        <w:tc>
          <w:tcPr>
            <w:tcW w:w="7740" w:type="dxa"/>
            <w:vAlign w:val="bottom"/>
          </w:tcPr>
          <w:p>
            <w:pPr>
              <w:spacing w:after="0"/>
              <w:rPr>
                <w:sz w:val="15"/>
                <w:szCs w:val="15"/>
                <w:color w:val="auto"/>
              </w:rPr>
            </w:pP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7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1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period (in years)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4.19 %</w:t>
            </w: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 of Magnite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 of selected peer companies</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correlation coefficients of Magnite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correlation coefficients of selected peer companies</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0.54</w:t>
            </w: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163" w:lineRule="exact"/>
        <w:rPr>
          <w:sz w:val="20"/>
          <w:szCs w:val="20"/>
          <w:color w:val="auto"/>
        </w:rPr>
      </w:pPr>
    </w:p>
    <w:p>
      <w:pPr>
        <w:ind w:right="120" w:firstLine="621"/>
        <w:spacing w:after="0" w:line="272" w:lineRule="auto"/>
        <w:rPr>
          <w:sz w:val="20"/>
          <w:szCs w:val="20"/>
          <w:color w:val="auto"/>
        </w:rPr>
      </w:pPr>
      <w:r>
        <w:rPr>
          <w:rFonts w:ascii="Times New Roman" w:cs="Times New Roman" w:eastAsia="Times New Roman" w:hAnsi="Times New Roman"/>
          <w:sz w:val="17"/>
          <w:szCs w:val="17"/>
          <w:color w:val="auto"/>
        </w:rPr>
        <w:t>At March 31, 2024, the intrinsic value of unvested performance stock units based on expected achievement levels was $13.3 million. As of March 31, 2024, the Company had unrecognized stock-based compensation expense relating to outstanding PSUs of approximately $12.0 million, which will be recognized over a weighted-average period of 2.2 years.</w:t>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stock-based compensation expense recorded in the condensed consolidated statements of operations was as follows: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1"/>
        </w:trPr>
        <w:tc>
          <w:tcPr>
            <w:tcW w:w="7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87"/>
        </w:trPr>
        <w:tc>
          <w:tcPr>
            <w:tcW w:w="7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7,405</w:t>
            </w: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5,446</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5,825</w:t>
            </w: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Merger, acquisition, and restructuring costs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20,831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19,287</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right="500" w:firstLine="582"/>
        <w:spacing w:after="0" w:line="275" w:lineRule="auto"/>
        <w:rPr>
          <w:sz w:val="20"/>
          <w:szCs w:val="20"/>
          <w:color w:val="auto"/>
        </w:rPr>
      </w:pPr>
      <w:r>
        <w:rPr>
          <w:rFonts w:ascii="Times New Roman" w:cs="Times New Roman" w:eastAsia="Times New Roman" w:hAnsi="Times New Roman"/>
          <w:sz w:val="17"/>
          <w:szCs w:val="17"/>
          <w:color w:val="auto"/>
        </w:rPr>
        <w:t>As of March 31, 2024, an aggregate of 16,787,890 shares remained available for future grants under the Magnite, Inc. Amended and Restated 2014 Equity Incentive Plan (the "Amended and Restated 2014 Equity Incentive Plan").</w:t>
      </w:r>
    </w:p>
    <w:p>
      <w:pPr>
        <w:spacing w:after="0" w:line="18" w:lineRule="exact"/>
        <w:rPr>
          <w:sz w:val="20"/>
          <w:szCs w:val="20"/>
          <w:color w:val="auto"/>
        </w:rPr>
      </w:pPr>
    </w:p>
    <w:p>
      <w:pPr>
        <w:ind w:right="360" w:firstLine="621"/>
        <w:spacing w:after="0" w:line="275" w:lineRule="auto"/>
        <w:rPr>
          <w:sz w:val="20"/>
          <w:szCs w:val="20"/>
          <w:color w:val="auto"/>
        </w:rPr>
      </w:pPr>
      <w:r>
        <w:rPr>
          <w:rFonts w:ascii="Times New Roman" w:cs="Times New Roman" w:eastAsia="Times New Roman" w:hAnsi="Times New Roman"/>
          <w:sz w:val="17"/>
          <w:szCs w:val="17"/>
          <w:color w:val="auto"/>
        </w:rPr>
        <w:t>As of March 31, 2024, the Company has reserved 4,730,838 shares of its common stock for issuance under the Magnite, Inc. Amended and Restated 2014 Employee Stock Purchase Plan (the "Amended and Restated 2014 Employee Stock Purchase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10—Income Taxes</w:t>
      </w:r>
    </w:p>
    <w:p>
      <w:pPr>
        <w:spacing w:after="0" w:line="91" w:lineRule="exact"/>
        <w:rPr>
          <w:sz w:val="20"/>
          <w:szCs w:val="20"/>
          <w:color w:val="auto"/>
        </w:rPr>
      </w:pPr>
    </w:p>
    <w:p>
      <w:pPr>
        <w:ind w:right="60" w:firstLine="621"/>
        <w:spacing w:after="0" w:line="272" w:lineRule="auto"/>
        <w:rPr>
          <w:sz w:val="20"/>
          <w:szCs w:val="20"/>
          <w:color w:val="auto"/>
        </w:rPr>
      </w:pPr>
      <w:r>
        <w:rPr>
          <w:rFonts w:ascii="Times New Roman" w:cs="Times New Roman" w:eastAsia="Times New Roman" w:hAnsi="Times New Roman"/>
          <w:sz w:val="17"/>
          <w:szCs w:val="17"/>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40" w:firstLine="621"/>
        <w:spacing w:after="0" w:line="243" w:lineRule="auto"/>
        <w:rPr>
          <w:sz w:val="20"/>
          <w:szCs w:val="20"/>
          <w:color w:val="auto"/>
        </w:rPr>
      </w:pPr>
      <w:r>
        <w:rPr>
          <w:rFonts w:ascii="Times New Roman" w:cs="Times New Roman" w:eastAsia="Times New Roman" w:hAnsi="Times New Roman"/>
          <w:sz w:val="17"/>
          <w:szCs w:val="17"/>
          <w:color w:val="auto"/>
        </w:rPr>
        <w:t>The Company recorded an income tax benefit of $7.8 million for the three months ended March 31, 2024, and an income tax benefit of $0.3 million for the three months ended March 31, 2023. The tax benefit for the three months ended March 31, 2024 was primarily the result of the Company's ability to recognize deferred tax assets ("DTAs") subject to the domestic valuation allowance, Base Erosion and Anti-Abuse Tax (“BEAT”), and the foreign income tax provision. The tax benefit for the three months ended March 31, 2023 was primarily the result of the Company's ability to recognize DTAs subject to the domestic valuation allowance and the foreign income tax provision. The Company continues to maintain a partial valuation allowance for the domestic DTAs.</w:t>
      </w:r>
    </w:p>
    <w:p>
      <w:pPr>
        <w:spacing w:after="0" w:line="71" w:lineRule="exact"/>
        <w:rPr>
          <w:sz w:val="20"/>
          <w:szCs w:val="20"/>
          <w:color w:val="auto"/>
        </w:rPr>
      </w:pPr>
    </w:p>
    <w:p>
      <w:pPr>
        <w:ind w:right="180" w:firstLine="621"/>
        <w:spacing w:after="0" w:line="266" w:lineRule="auto"/>
        <w:rPr>
          <w:sz w:val="20"/>
          <w:szCs w:val="20"/>
          <w:color w:val="auto"/>
        </w:rPr>
      </w:pPr>
      <w:r>
        <w:rPr>
          <w:rFonts w:ascii="Times New Roman" w:cs="Times New Roman" w:eastAsia="Times New Roman" w:hAnsi="Times New Roman"/>
          <w:sz w:val="17"/>
          <w:szCs w:val="17"/>
          <w:color w:val="auto"/>
        </w:rPr>
        <w:t>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w:t>
      </w:r>
    </w:p>
    <w:p>
      <w:pPr>
        <w:spacing w:after="0" w:line="52"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Due to the net operating loss carryforwards, all of the Company's United States federal and a majority of its state returns are open to examination by the Internal Revenue Service and state jurisdictions for all years since inception. For the Netherlands, India, Sweden, and the United Kingdom, all tax years remain open for examination by the local country tax authorities, for France, only 2021 and forward are open, for Singapore, only 2019 and forward are open for examination, for Australia, Brazil, Germany, and New Zealand, 2019 and forward are open for examination, for Canada, Italy, and Malaysia, 2018 and forward are open for examination, and for Japan, 2017 and forward remain open for examination.</w:t>
      </w:r>
    </w:p>
    <w:p>
      <w:pPr>
        <w:spacing w:after="0" w:line="41"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Pursuant to Section 382 of the Internal Revenue Code, the Company and Telaria, Inc. both underwent ownership changes for tax purposes (i.e. a more than 50% change in stock ownership in aggregated 5% shareholders) on April 1, 2020 due to the merger with Telaria Inc.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its federal research and development carryforward tax credits will not be recovered prior to expiration.</w:t>
      </w:r>
    </w:p>
    <w:p>
      <w:pPr>
        <w:spacing w:after="0" w:line="57" w:lineRule="exact"/>
        <w:rPr>
          <w:sz w:val="20"/>
          <w:szCs w:val="20"/>
          <w:color w:val="auto"/>
        </w:rPr>
      </w:pPr>
    </w:p>
    <w:p>
      <w:pPr>
        <w:ind w:right="160" w:firstLine="621"/>
        <w:spacing w:after="0" w:line="291" w:lineRule="auto"/>
        <w:rPr>
          <w:sz w:val="20"/>
          <w:szCs w:val="20"/>
          <w:color w:val="auto"/>
        </w:rPr>
      </w:pPr>
      <w:r>
        <w:rPr>
          <w:rFonts w:ascii="Times New Roman" w:cs="Times New Roman" w:eastAsia="Times New Roman" w:hAnsi="Times New Roman"/>
          <w:sz w:val="17"/>
          <w:szCs w:val="17"/>
          <w:color w:val="auto"/>
        </w:rPr>
        <w:t>There was no material change to the Company's unrecognized tax benefits in the three months ended March 31, 2024 and the Company does not expect to have any material changes to unrecognized tax benefits through the end of the fiscal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11—Lease Obligations</w:t>
      </w:r>
    </w:p>
    <w:p>
      <w:pPr>
        <w:spacing w:after="0" w:line="195" w:lineRule="exact"/>
        <w:rPr>
          <w:sz w:val="20"/>
          <w:szCs w:val="20"/>
          <w:color w:val="auto"/>
        </w:rPr>
      </w:pPr>
    </w:p>
    <w:p>
      <w:pPr>
        <w:ind w:right="20" w:firstLine="621"/>
        <w:spacing w:after="0" w:line="291" w:lineRule="auto"/>
        <w:rPr>
          <w:sz w:val="20"/>
          <w:szCs w:val="20"/>
          <w:color w:val="auto"/>
        </w:rPr>
      </w:pPr>
      <w:r>
        <w:rPr>
          <w:rFonts w:ascii="Times New Roman" w:cs="Times New Roman" w:eastAsia="Times New Roman" w:hAnsi="Times New Roman"/>
          <w:sz w:val="17"/>
          <w:szCs w:val="17"/>
          <w:color w:val="auto"/>
        </w:rPr>
        <w:t>Operating lease expense was $5.7 million and $6.5 million for the three months ended March 31, 2024 and 2023, respectively, and variable lease expense was $0.9 million during each of the three months ended March 31, 2024 and 2023.</w:t>
      </w:r>
    </w:p>
    <w:p>
      <w:pPr>
        <w:spacing w:after="0" w:line="18" w:lineRule="exact"/>
        <w:rPr>
          <w:sz w:val="20"/>
          <w:szCs w:val="20"/>
          <w:color w:val="auto"/>
        </w:rPr>
      </w:pPr>
    </w:p>
    <w:p>
      <w:pPr>
        <w:ind w:right="40" w:firstLine="621"/>
        <w:spacing w:after="0" w:line="291" w:lineRule="auto"/>
        <w:rPr>
          <w:sz w:val="20"/>
          <w:szCs w:val="20"/>
          <w:color w:val="auto"/>
        </w:rPr>
      </w:pPr>
      <w:r>
        <w:rPr>
          <w:rFonts w:ascii="Times New Roman" w:cs="Times New Roman" w:eastAsia="Times New Roman" w:hAnsi="Times New Roman"/>
          <w:sz w:val="17"/>
          <w:szCs w:val="17"/>
          <w:color w:val="auto"/>
        </w:rPr>
        <w:t>The Company also received rental income of $1.3 million and $1.3 million for real estate leases for which it subleases the property to third parties during the three months ended March 31, 2024 and 2023, respectively.</w:t>
      </w:r>
    </w:p>
    <w:p>
      <w:pPr>
        <w:spacing w:after="0" w:line="30" w:lineRule="exact"/>
        <w:rPr>
          <w:sz w:val="20"/>
          <w:szCs w:val="20"/>
          <w:color w:val="auto"/>
        </w:rPr>
      </w:pPr>
    </w:p>
    <w:p>
      <w:pPr>
        <w:ind w:right="160" w:firstLine="621"/>
        <w:spacing w:after="0" w:line="266" w:lineRule="auto"/>
        <w:rPr>
          <w:sz w:val="20"/>
          <w:szCs w:val="20"/>
          <w:color w:val="auto"/>
        </w:rPr>
      </w:pPr>
      <w:r>
        <w:rPr>
          <w:rFonts w:ascii="Times New Roman" w:cs="Times New Roman" w:eastAsia="Times New Roman" w:hAnsi="Times New Roman"/>
          <w:sz w:val="17"/>
          <w:szCs w:val="17"/>
          <w:color w:val="auto"/>
        </w:rPr>
        <w:t>As of March 31, 2024 and December 31, 2023, a weighted average discount rate of 6.21% and 6.19%, respectively,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5.0 years and 5.2 years as of March 31, 2024 and December 31, 2023, respectively.</w:t>
      </w:r>
    </w:p>
    <w:p>
      <w:pPr>
        <w:spacing w:after="0" w:line="52" w:lineRule="exact"/>
        <w:rPr>
          <w:sz w:val="20"/>
          <w:szCs w:val="20"/>
          <w:color w:val="auto"/>
        </w:rPr>
      </w:pPr>
    </w:p>
    <w:p>
      <w:pPr>
        <w:ind w:right="80" w:firstLine="621"/>
        <w:spacing w:after="0" w:line="291" w:lineRule="auto"/>
        <w:rPr>
          <w:sz w:val="20"/>
          <w:szCs w:val="20"/>
          <w:color w:val="auto"/>
        </w:rPr>
      </w:pPr>
      <w:r>
        <w:rPr>
          <w:rFonts w:ascii="Times New Roman" w:cs="Times New Roman" w:eastAsia="Times New Roman" w:hAnsi="Times New Roman"/>
          <w:sz w:val="17"/>
          <w:szCs w:val="17"/>
          <w:color w:val="auto"/>
        </w:rPr>
        <w:t>The maturity of the Company's lease liabilities associated with leases included in the lease liability and ROU asset were as follows as of March 31, 2024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606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18,596</w:t>
            </w: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18,265</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15,178</w:t>
            </w: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10,119</w:t>
            </w: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7,839</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5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14,358</w:t>
            </w: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 (undiscounted)</w:t>
            </w:r>
          </w:p>
        </w:tc>
        <w:tc>
          <w:tcPr>
            <w:tcW w:w="5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84,355</w:t>
            </w:r>
          </w:p>
        </w:tc>
        <w:tc>
          <w:tcPr>
            <w:tcW w:w="0" w:type="dxa"/>
            <w:vAlign w:val="bottom"/>
          </w:tcPr>
          <w:p>
            <w:pPr>
              <w:spacing w:after="0"/>
              <w:rPr>
                <w:sz w:val="1"/>
                <w:szCs w:val="1"/>
                <w:color w:val="auto"/>
              </w:rPr>
            </w:pPr>
          </w:p>
        </w:tc>
      </w:tr>
      <w:tr>
        <w:trPr>
          <w:trHeight w:val="22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5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(11,391)</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liabilities—total (discounted)</w:t>
            </w:r>
          </w:p>
        </w:tc>
        <w:tc>
          <w:tcPr>
            <w:tcW w:w="55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72,964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854"/>
              <w:spacing w:after="0"/>
              <w:rPr>
                <w:sz w:val="20"/>
                <w:szCs w:val="20"/>
                <w:color w:val="auto"/>
              </w:rPr>
            </w:pPr>
            <w:r>
              <w:rPr>
                <w:rFonts w:ascii="Times New Roman" w:cs="Times New Roman" w:eastAsia="Times New Roman" w:hAnsi="Times New Roman"/>
                <w:sz w:val="17"/>
                <w:szCs w:val="17"/>
                <w:color w:val="auto"/>
              </w:rPr>
              <w:t>18</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414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140" w:type="dxa"/>
            <w:vAlign w:val="bottom"/>
            <w:tcBorders>
              <w:bottom w:val="single" w:sz="8" w:color="9A9A9A"/>
            </w:tcBorders>
          </w:tcPr>
          <w:p>
            <w:pPr>
              <w:spacing w:after="0"/>
              <w:rPr>
                <w:sz w:val="9"/>
                <w:szCs w:val="9"/>
                <w:color w:val="auto"/>
              </w:rPr>
            </w:pPr>
          </w:p>
        </w:tc>
        <w:tc>
          <w:tcPr>
            <w:tcW w:w="55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12—Commitments and Contingencies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has commitments under non-cancelable operating leases for facilities, certain equipment, and its managed data center facilities (Note 11).</w:t>
      </w:r>
    </w:p>
    <w:p>
      <w:pPr>
        <w:spacing w:after="0" w:line="102" w:lineRule="exact"/>
        <w:rPr>
          <w:sz w:val="20"/>
          <w:szCs w:val="20"/>
          <w:color w:val="auto"/>
        </w:rPr>
      </w:pPr>
    </w:p>
    <w:p>
      <w:pPr>
        <w:ind w:right="380" w:firstLine="621"/>
        <w:spacing w:after="0" w:line="291" w:lineRule="auto"/>
        <w:rPr>
          <w:sz w:val="20"/>
          <w:szCs w:val="20"/>
          <w:color w:val="auto"/>
        </w:rPr>
      </w:pPr>
      <w:r>
        <w:rPr>
          <w:rFonts w:ascii="Times New Roman" w:cs="Times New Roman" w:eastAsia="Times New Roman" w:hAnsi="Times New Roman"/>
          <w:sz w:val="17"/>
          <w:szCs w:val="17"/>
          <w:color w:val="auto"/>
        </w:rPr>
        <w:t>As of March 31, 2024 and December 31, 2023, the Company had $5.2 million and $5.3 million, respectively, of letters of credit associated with office leases available for borrowing, on which there were no outstanding borrowings as of either date.</w:t>
      </w:r>
    </w:p>
    <w:p>
      <w:pPr>
        <w:spacing w:after="0" w:line="30" w:lineRule="exact"/>
        <w:rPr>
          <w:sz w:val="20"/>
          <w:szCs w:val="20"/>
          <w:color w:val="auto"/>
        </w:rPr>
      </w:pPr>
    </w:p>
    <w:p>
      <w:pPr>
        <w:ind w:right="160" w:firstLine="621"/>
        <w:spacing w:after="0" w:line="272" w:lineRule="auto"/>
        <w:rPr>
          <w:sz w:val="20"/>
          <w:szCs w:val="20"/>
          <w:color w:val="auto"/>
        </w:rPr>
      </w:pPr>
      <w:r>
        <w:rPr>
          <w:rFonts w:ascii="Times New Roman" w:cs="Times New Roman" w:eastAsia="Times New Roman" w:hAnsi="Times New Roman"/>
          <w:sz w:val="17"/>
          <w:szCs w:val="17"/>
          <w:color w:val="auto"/>
        </w:rPr>
        <w:t>In the normal course of business, the Company enters into non-cancelable contractual obligations with various parties, primarily related to software services agreements and data center providers. As of March 31, 2024, the Company's outstanding non-cancelable contractual obligations with a remaining term of one year or longer consist of the following (in thousands):</w:t>
      </w:r>
    </w:p>
    <w:p>
      <w:pPr>
        <w:spacing w:after="0" w:line="73"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Fiscal Year</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44,596</w:t>
            </w: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21,990</w:t>
            </w:r>
          </w:p>
        </w:tc>
      </w:tr>
      <w:tr>
        <w:trPr>
          <w:trHeight w:val="22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2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r>
      <w:tr>
        <w:trPr>
          <w:trHeight w:val="213"/>
        </w:trPr>
        <w:tc>
          <w:tcPr>
            <w:tcW w:w="9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67,414</w:t>
            </w:r>
          </w:p>
        </w:tc>
      </w:tr>
      <w:tr>
        <w:trPr>
          <w:trHeight w:val="20"/>
        </w:trPr>
        <w:tc>
          <w:tcPr>
            <w:tcW w:w="9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60" w:firstLine="621"/>
        <w:spacing w:after="0" w:line="256" w:lineRule="auto"/>
        <w:rPr>
          <w:sz w:val="20"/>
          <w:szCs w:val="20"/>
          <w:color w:val="auto"/>
        </w:rPr>
      </w:pPr>
      <w:r>
        <w:rPr>
          <w:rFonts w:ascii="Times New Roman" w:cs="Times New Roman" w:eastAsia="Times New Roman" w:hAnsi="Times New Roman"/>
          <w:sz w:val="17"/>
          <w:szCs w:val="17"/>
          <w:color w:val="auto"/>
        </w:rPr>
        <w:t>The amounts above include commitments under a cloud-managed services agreement, under which the Company has a non-cancelable minimum spend commitment from July 2024 to June 2025 of $57.6 million. The minimum spend commitment reflected above approximates the manner in which the Company expects to fulfill the obligation.</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Guarantees and Indemnification</w:t>
      </w:r>
    </w:p>
    <w:p>
      <w:pPr>
        <w:spacing w:after="0" w:line="106" w:lineRule="exact"/>
        <w:rPr>
          <w:sz w:val="20"/>
          <w:szCs w:val="20"/>
          <w:color w:val="auto"/>
        </w:rPr>
      </w:pPr>
    </w:p>
    <w:p>
      <w:pPr>
        <w:ind w:right="100" w:firstLine="621"/>
        <w:spacing w:after="0" w:line="257" w:lineRule="auto"/>
        <w:rPr>
          <w:sz w:val="20"/>
          <w:szCs w:val="20"/>
          <w:color w:val="auto"/>
        </w:rPr>
      </w:pPr>
      <w:r>
        <w:rPr>
          <w:rFonts w:ascii="Times New Roman" w:cs="Times New Roman" w:eastAsia="Times New Roman" w:hAnsi="Times New Roman"/>
          <w:sz w:val="17"/>
          <w:szCs w:val="17"/>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06" w:lineRule="exact"/>
        <w:rPr>
          <w:sz w:val="20"/>
          <w:szCs w:val="20"/>
          <w:color w:val="auto"/>
        </w:rPr>
      </w:pPr>
    </w:p>
    <w:p>
      <w:pPr>
        <w:ind w:right="120" w:firstLine="621"/>
        <w:spacing w:after="0" w:line="259" w:lineRule="auto"/>
        <w:rPr>
          <w:sz w:val="20"/>
          <w:szCs w:val="20"/>
          <w:color w:val="auto"/>
        </w:rPr>
      </w:pPr>
      <w:r>
        <w:rPr>
          <w:rFonts w:ascii="Times New Roman" w:cs="Times New Roman" w:eastAsia="Times New Roman" w:hAnsi="Times New Roman"/>
          <w:sz w:val="17"/>
          <w:szCs w:val="17"/>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audits by taxing authorities,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March 31, 2024. However, based on management’s knowledge as of March 31, 2024,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Employment Contracts</w:t>
      </w:r>
    </w:p>
    <w:p>
      <w:pPr>
        <w:spacing w:after="0" w:line="106"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13—Debt</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 term debt as of March 31, 2024 and December 31, 2023 consisted of the following:</w:t>
      </w:r>
    </w:p>
    <w:p>
      <w:pPr>
        <w:spacing w:after="0" w:line="126" w:lineRule="exact"/>
        <w:rPr>
          <w:sz w:val="20"/>
          <w:szCs w:val="20"/>
          <w:color w:val="auto"/>
        </w:rPr>
      </w:pPr>
    </w:p>
    <w:tbl>
      <w:tblPr>
        <w:tblLayout w:type="fixed"/>
        <w:tblInd w:w="10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4"/>
          </w:tcPr>
          <w:p>
            <w:pPr>
              <w:spacing w:after="0" w:line="20" w:lineRule="exact"/>
              <w:rPr>
                <w:sz w:val="1"/>
                <w:szCs w:val="1"/>
                <w:color w:val="auto"/>
              </w:rPr>
            </w:pPr>
          </w:p>
        </w:tc>
      </w:tr>
      <w:tr>
        <w:trPr>
          <w:trHeight w:val="181"/>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205,067</w:t>
            </w:r>
          </w:p>
        </w:tc>
      </w:tr>
      <w:tr>
        <w:trPr>
          <w:trHeight w:val="22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(2,598)</w:t>
            </w:r>
          </w:p>
        </w:tc>
      </w:tr>
      <w:tr>
        <w:trPr>
          <w:trHeight w:val="213"/>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carrying value of Convertible Senior Notes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202,469</w:t>
            </w: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 Facility*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351,000</w:t>
            </w: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Unamortized discount and debt issuance cost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(16,883)</w:t>
            </w:r>
          </w:p>
        </w:tc>
      </w:tr>
      <w:tr>
        <w:trPr>
          <w:trHeight w:val="213"/>
        </w:trPr>
        <w:tc>
          <w:tcPr>
            <w:tcW w:w="77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carrying value of Term Loan B Facility*</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334,117</w:t>
            </w:r>
          </w:p>
        </w:tc>
      </w:tr>
      <w:tr>
        <w:trPr>
          <w:trHeight w:val="259"/>
        </w:trPr>
        <w:tc>
          <w:tcPr>
            <w:tcW w:w="7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 Presentation:</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current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r>
      <w:tr>
        <w:trPr>
          <w:trHeight w:val="22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Debt, non-current, net of debt discount and debt issuance costs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549,077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532,986</w:t>
            </w:r>
          </w:p>
        </w:tc>
      </w:tr>
      <w:tr>
        <w:trPr>
          <w:trHeight w:val="219"/>
        </w:trPr>
        <w:tc>
          <w:tcPr>
            <w:tcW w:w="7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debt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552,727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536,586</w:t>
            </w:r>
          </w:p>
        </w:tc>
      </w:tr>
    </w:tbl>
    <w:p>
      <w:pPr>
        <w:ind w:left="120"/>
        <w:spacing w:after="0"/>
        <w:rPr>
          <w:sz w:val="20"/>
          <w:szCs w:val="20"/>
          <w:color w:val="auto"/>
        </w:rPr>
      </w:pPr>
      <w:r>
        <w:rPr>
          <w:rFonts w:ascii="Times New Roman" w:cs="Times New Roman" w:eastAsia="Times New Roman" w:hAnsi="Times New Roman"/>
          <w:sz w:val="14"/>
          <w:szCs w:val="14"/>
          <w:color w:val="auto"/>
        </w:rPr>
        <w:t>* Term Loan B Facility as of March 31, 2024 and December 31, 2023 reflect the balances under the 2024 Term Loan B Facility and the 2021 Term Loan B Facility,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-93345</wp:posOffset>
            </wp:positionV>
            <wp:extent cx="20866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Maturities of the principal amount of the Company's long-term debt as of March 31,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r>
      <w:tr>
        <w:trPr>
          <w:trHeight w:val="220"/>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2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208,717</w:t>
            </w:r>
          </w:p>
        </w:tc>
      </w:tr>
      <w:tr>
        <w:trPr>
          <w:trHeight w:val="220"/>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2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20"/>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347,663</w:t>
            </w:r>
          </w:p>
        </w:tc>
      </w:tr>
      <w:tr>
        <w:trPr>
          <w:trHeight w:val="238"/>
        </w:trPr>
        <w:tc>
          <w:tcPr>
            <w:tcW w:w="9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570,067</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right="40" w:firstLine="621"/>
        <w:spacing w:after="0" w:line="251" w:lineRule="auto"/>
        <w:rPr>
          <w:sz w:val="20"/>
          <w:szCs w:val="20"/>
          <w:color w:val="auto"/>
        </w:rPr>
      </w:pPr>
      <w:r>
        <w:rPr>
          <w:rFonts w:ascii="Times New Roman" w:cs="Times New Roman" w:eastAsia="Times New Roman" w:hAnsi="Times New Roman"/>
          <w:sz w:val="17"/>
          <w:szCs w:val="17"/>
          <w:color w:val="auto"/>
        </w:rPr>
        <w:t>Amortization of debt discount and debt issuance cost is computed using the effective interest method and is included in interest expense in the condensed consolidated statement of operations. Amortization of the debt discount and debt issuance cost associated with the Company's indebtedness totaled $1.0 million for the three months ended March 31, 2024 and $1.6 million for the three months ended March 31, 2023. In addition, amortization of deferred financing costs was $0.1 million for the three months ended March 31, 2024 and $0.1 million for the three months ended March 31, 2023. Deferred financing costs are included in other assets, non-current assets.</w:t>
      </w:r>
    </w:p>
    <w:p>
      <w:pPr>
        <w:spacing w:after="0" w:line="3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 and Capped Call Transactions</w:t>
      </w:r>
    </w:p>
    <w:p>
      <w:pPr>
        <w:spacing w:after="0" w:line="93" w:lineRule="exact"/>
        <w:rPr>
          <w:sz w:val="20"/>
          <w:szCs w:val="20"/>
          <w:color w:val="auto"/>
        </w:rPr>
      </w:pPr>
    </w:p>
    <w:p>
      <w:pPr>
        <w:jc w:val="both"/>
        <w:ind w:right="380" w:firstLine="621"/>
        <w:spacing w:after="0" w:line="263" w:lineRule="auto"/>
        <w:rPr>
          <w:sz w:val="20"/>
          <w:szCs w:val="20"/>
          <w:color w:val="auto"/>
        </w:rPr>
      </w:pPr>
      <w:r>
        <w:rPr>
          <w:rFonts w:ascii="Times New Roman" w:cs="Times New Roman" w:eastAsia="Times New Roman" w:hAnsi="Times New Roman"/>
          <w:sz w:val="17"/>
          <w:szCs w:val="17"/>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54" w:lineRule="exact"/>
        <w:rPr>
          <w:sz w:val="20"/>
          <w:szCs w:val="20"/>
          <w:color w:val="auto"/>
        </w:rPr>
      </w:pPr>
    </w:p>
    <w:p>
      <w:pPr>
        <w:ind w:right="420" w:firstLine="621"/>
        <w:spacing w:after="0" w:line="272" w:lineRule="auto"/>
        <w:rPr>
          <w:sz w:val="20"/>
          <w:szCs w:val="20"/>
          <w:color w:val="auto"/>
        </w:rPr>
      </w:pPr>
      <w:r>
        <w:rPr>
          <w:rFonts w:ascii="Times New Roman" w:cs="Times New Roman" w:eastAsia="Times New Roman" w:hAnsi="Times New Roman"/>
          <w:sz w:val="17"/>
          <w:szCs w:val="17"/>
          <w:color w:val="auto"/>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indebtedness, to the extent of the value of the collateral securing that indebtedness, including amounts outstanding under the Loan Agreement or the new Credit Agreement (see section below); and (iv) structurally subordinated to all existing and future indebtedness and other liabilities, including trade payables, and (to the extent the Company is not a holder thereof) preferred equity, if any, of the Company’s subsidiaries that do not guarantee the Convertible Senior Notes.</w:t>
      </w:r>
    </w:p>
    <w:p>
      <w:pPr>
        <w:spacing w:after="0" w:line="34"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47" w:lineRule="exact"/>
        <w:rPr>
          <w:sz w:val="20"/>
          <w:szCs w:val="20"/>
          <w:color w:val="auto"/>
        </w:rPr>
      </w:pPr>
    </w:p>
    <w:p>
      <w:pPr>
        <w:ind w:right="60" w:firstLine="621"/>
        <w:spacing w:after="0" w:line="257" w:lineRule="auto"/>
        <w:rPr>
          <w:sz w:val="20"/>
          <w:szCs w:val="20"/>
          <w:color w:val="auto"/>
        </w:rPr>
      </w:pPr>
      <w:r>
        <w:rPr>
          <w:rFonts w:ascii="Times New Roman" w:cs="Times New Roman" w:eastAsia="Times New Roman" w:hAnsi="Times New Roman"/>
          <w:sz w:val="17"/>
          <w:szCs w:val="17"/>
          <w:color w:val="auto"/>
        </w:rPr>
        <w:t>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65" w:lineRule="exact"/>
        <w:rPr>
          <w:sz w:val="20"/>
          <w:szCs w:val="20"/>
          <w:color w:val="auto"/>
        </w:rPr>
      </w:pPr>
    </w:p>
    <w:p>
      <w:pPr>
        <w:ind w:right="80" w:firstLine="621"/>
        <w:spacing w:after="0" w:line="269" w:lineRule="auto"/>
        <w:rPr>
          <w:sz w:val="20"/>
          <w:szCs w:val="20"/>
          <w:color w:val="auto"/>
        </w:rPr>
      </w:pPr>
      <w:r>
        <w:rPr>
          <w:rFonts w:ascii="Times New Roman" w:cs="Times New Roman" w:eastAsia="Times New Roman" w:hAnsi="Times New Roman"/>
          <w:sz w:val="17"/>
          <w:szCs w:val="17"/>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248" w:lineRule="exact"/>
        <w:rPr>
          <w:sz w:val="20"/>
          <w:szCs w:val="20"/>
          <w:color w:val="auto"/>
        </w:rPr>
      </w:pPr>
    </w:p>
    <w:p>
      <w:pPr>
        <w:ind w:right="20" w:firstLine="621"/>
        <w:spacing w:after="0" w:line="257" w:lineRule="auto"/>
        <w:rPr>
          <w:sz w:val="20"/>
          <w:szCs w:val="20"/>
          <w:color w:val="auto"/>
        </w:rPr>
      </w:pPr>
      <w:r>
        <w:rPr>
          <w:rFonts w:ascii="Times New Roman" w:cs="Times New Roman" w:eastAsia="Times New Roman" w:hAnsi="Times New Roman"/>
          <w:sz w:val="17"/>
          <w:szCs w:val="17"/>
          <w:color w:val="auto"/>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the Company sends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spacing w:after="0" w:line="62" w:lineRule="exact"/>
        <w:rPr>
          <w:sz w:val="20"/>
          <w:szCs w:val="20"/>
          <w:color w:val="auto"/>
        </w:rPr>
      </w:pPr>
    </w:p>
    <w:p>
      <w:pPr>
        <w:ind w:firstLine="621"/>
        <w:spacing w:after="0" w:line="272" w:lineRule="auto"/>
        <w:rPr>
          <w:sz w:val="20"/>
          <w:szCs w:val="20"/>
          <w:color w:val="auto"/>
        </w:rPr>
      </w:pPr>
      <w:r>
        <w:rPr>
          <w:rFonts w:ascii="Times New Roman" w:cs="Times New Roman" w:eastAsia="Times New Roman" w:hAnsi="Times New Roman"/>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spacing w:after="0" w:line="47" w:lineRule="exact"/>
        <w:rPr>
          <w:sz w:val="20"/>
          <w:szCs w:val="20"/>
          <w:color w:val="auto"/>
        </w:rPr>
      </w:pPr>
    </w:p>
    <w:p>
      <w:pPr>
        <w:ind w:right="120" w:firstLine="621"/>
        <w:spacing w:after="0" w:line="260" w:lineRule="auto"/>
        <w:rPr>
          <w:sz w:val="20"/>
          <w:szCs w:val="20"/>
          <w:color w:val="auto"/>
        </w:rPr>
      </w:pPr>
      <w:r>
        <w:rPr>
          <w:rFonts w:ascii="Times New Roman" w:cs="Times New Roman" w:eastAsia="Times New Roman" w:hAnsi="Times New Roman"/>
          <w:sz w:val="17"/>
          <w:szCs w:val="17"/>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44" w:lineRule="exact"/>
        <w:rPr>
          <w:sz w:val="20"/>
          <w:szCs w:val="20"/>
          <w:color w:val="auto"/>
        </w:rPr>
      </w:pPr>
    </w:p>
    <w:p>
      <w:pPr>
        <w:ind w:right="140" w:firstLine="621"/>
        <w:spacing w:after="0" w:line="291" w:lineRule="auto"/>
        <w:rPr>
          <w:sz w:val="20"/>
          <w:szCs w:val="20"/>
          <w:color w:val="auto"/>
        </w:rPr>
      </w:pPr>
      <w:r>
        <w:rPr>
          <w:rFonts w:ascii="Times New Roman" w:cs="Times New Roman" w:eastAsia="Times New Roman" w:hAnsi="Times New Roman"/>
          <w:sz w:val="17"/>
          <w:szCs w:val="17"/>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30" w:lineRule="exact"/>
        <w:rPr>
          <w:sz w:val="20"/>
          <w:szCs w:val="20"/>
          <w:color w:val="auto"/>
        </w:rPr>
      </w:pPr>
    </w:p>
    <w:p>
      <w:pPr>
        <w:ind w:right="420" w:firstLine="621"/>
        <w:spacing w:after="0" w:line="291" w:lineRule="auto"/>
        <w:rPr>
          <w:sz w:val="20"/>
          <w:szCs w:val="20"/>
          <w:color w:val="auto"/>
        </w:rPr>
      </w:pPr>
      <w:r>
        <w:rPr>
          <w:rFonts w:ascii="Times New Roman" w:cs="Times New Roman" w:eastAsia="Times New Roman" w:hAnsi="Times New Roman"/>
          <w:sz w:val="17"/>
          <w:szCs w:val="17"/>
          <w:color w:val="auto"/>
        </w:rPr>
        <w:t>In connection with the pricing of the Convertible Senior Notes, the Company entered into privately negotiated capped call transactions with various financial institutions (the "Capped Call Transactions"). The Capped Call Transactions were entered into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spacing w:after="0" w:line="49" w:lineRule="exact"/>
        <w:rPr>
          <w:sz w:val="20"/>
          <w:szCs w:val="20"/>
          <w:color w:val="auto"/>
        </w:rPr>
      </w:pPr>
    </w:p>
    <w:p>
      <w:pPr>
        <w:ind w:right="300" w:firstLine="621"/>
        <w:spacing w:after="0" w:line="272" w:lineRule="auto"/>
        <w:rPr>
          <w:sz w:val="20"/>
          <w:szCs w:val="20"/>
          <w:color w:val="auto"/>
        </w:rPr>
      </w:pPr>
      <w:r>
        <w:rPr>
          <w:rFonts w:ascii="Times New Roman" w:cs="Times New Roman" w:eastAsia="Times New Roman" w:hAnsi="Times New Roman"/>
          <w:sz w:val="17"/>
          <w:szCs w:val="17"/>
          <w:color w:val="auto"/>
        </w:rPr>
        <w:t>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w:t>
      </w:r>
    </w:p>
    <w:p>
      <w:pPr>
        <w:spacing w:after="0" w:line="47" w:lineRule="exact"/>
        <w:rPr>
          <w:sz w:val="20"/>
          <w:szCs w:val="20"/>
          <w:color w:val="auto"/>
        </w:rPr>
      </w:pPr>
    </w:p>
    <w:p>
      <w:pPr>
        <w:jc w:val="both"/>
        <w:ind w:right="120" w:firstLine="621"/>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2023, the Company repurchased its Convertible Senior Notes in the open market with cash on hand for $40.8 million. The Company recognized a gain on extinguishment of debt of $8.5 million related to the repurchase of $50.3 million of principal balance of Convertible Senior Notes and $0.9 million of unamortized debt issuance costs associated with the extinguished debt during the three months ended March 31, 2023. The gain on extinguishment is included in other (income) expense in the Company's condensed consolidated statement of operations.</w:t>
      </w:r>
    </w:p>
    <w:p>
      <w:pPr>
        <w:spacing w:after="0" w:line="52" w:lineRule="exact"/>
        <w:rPr>
          <w:sz w:val="20"/>
          <w:szCs w:val="20"/>
          <w:color w:val="auto"/>
        </w:rPr>
      </w:pPr>
    </w:p>
    <w:p>
      <w:pPr>
        <w:ind w:right="74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sets forth interest expense related to the Convertible Senior Notes for the three months ended March 31, 2024 and 2023 (in thousands, except interest rates):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5"/>
                <w:szCs w:val="15"/>
                <w:color w:val="auto"/>
              </w:rPr>
            </w:pPr>
          </w:p>
        </w:tc>
        <w:tc>
          <w:tcPr>
            <w:tcW w:w="13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8"/>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2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792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Effective interest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0.82 %</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120" w:firstLine="621"/>
        <w:spacing w:after="0" w:line="291" w:lineRule="auto"/>
        <w:rPr>
          <w:sz w:val="20"/>
          <w:szCs w:val="20"/>
          <w:color w:val="auto"/>
        </w:rPr>
      </w:pPr>
      <w:r>
        <w:rPr>
          <w:rFonts w:ascii="Times New Roman" w:cs="Times New Roman" w:eastAsia="Times New Roman" w:hAnsi="Times New Roman"/>
          <w:sz w:val="17"/>
          <w:szCs w:val="17"/>
          <w:color w:val="auto"/>
        </w:rPr>
        <w:t>Amortization expense for the Company's debt issuance costs related to the Convertible Senior Notes for the fiscal years 2024 through 2026 is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5"/>
                <w:szCs w:val="15"/>
                <w:color w:val="auto"/>
              </w:rPr>
            </w:pPr>
          </w:p>
        </w:tc>
        <w:tc>
          <w:tcPr>
            <w:tcW w:w="14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3"/>
        </w:trPr>
        <w:tc>
          <w:tcPr>
            <w:tcW w:w="9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3"/>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r>
      <w:tr>
        <w:trPr>
          <w:trHeight w:val="220"/>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r>
      <w:tr>
        <w:trPr>
          <w:trHeight w:val="22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13"/>
        </w:trPr>
        <w:tc>
          <w:tcPr>
            <w:tcW w:w="9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w:t>
            </w:r>
          </w:p>
        </w:tc>
      </w:tr>
      <w:tr>
        <w:trPr>
          <w:trHeight w:val="20"/>
        </w:trPr>
        <w:tc>
          <w:tcPr>
            <w:tcW w:w="9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2021 and 2024 Credit Agreements</w:t>
      </w:r>
    </w:p>
    <w:p>
      <w:pPr>
        <w:spacing w:after="0" w:line="106" w:lineRule="exact"/>
        <w:rPr>
          <w:sz w:val="20"/>
          <w:szCs w:val="20"/>
          <w:color w:val="auto"/>
        </w:rPr>
      </w:pPr>
    </w:p>
    <w:p>
      <w:pPr>
        <w:ind w:right="80" w:firstLine="621"/>
        <w:spacing w:after="0" w:line="261" w:lineRule="auto"/>
        <w:rPr>
          <w:sz w:val="20"/>
          <w:szCs w:val="20"/>
          <w:color w:val="auto"/>
        </w:rPr>
      </w:pPr>
      <w:r>
        <w:rPr>
          <w:rFonts w:ascii="Times New Roman" w:cs="Times New Roman" w:eastAsia="Times New Roman" w:hAnsi="Times New Roman"/>
          <w:sz w:val="17"/>
          <w:szCs w:val="17"/>
          <w:color w:val="auto"/>
        </w:rPr>
        <w:t>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is based on the secured overnight financing rate (“SOFR”).</w:t>
      </w:r>
    </w:p>
    <w:p>
      <w:pPr>
        <w:spacing w:after="0" w:line="44" w:lineRule="exact"/>
        <w:rPr>
          <w:sz w:val="20"/>
          <w:szCs w:val="20"/>
          <w:color w:val="auto"/>
        </w:rPr>
      </w:pPr>
    </w:p>
    <w:p>
      <w:pPr>
        <w:jc w:val="both"/>
        <w:ind w:right="120" w:firstLine="621"/>
        <w:spacing w:after="0" w:line="266" w:lineRule="auto"/>
        <w:rPr>
          <w:sz w:val="20"/>
          <w:szCs w:val="20"/>
          <w:color w:val="auto"/>
        </w:rPr>
      </w:pPr>
      <w:r>
        <w:rPr>
          <w:rFonts w:ascii="Times New Roman" w:cs="Times New Roman" w:eastAsia="Times New Roman" w:hAnsi="Times New Roman"/>
          <w:sz w:val="17"/>
          <w:szCs w:val="17"/>
          <w:color w:val="auto"/>
        </w:rPr>
        <w:t>Amounts outstanding under the Amended 2021 Credit Agreement accrued interest at a rate equal to either, (1) for the 2021 Term Loan B Facility, at the Company’s election, the Adjusted Term SOFR plus a margin of 5.00% per annum, or ABR (as defined in the Amended 2021 Credit Agreement) plus a margin of 4.00%, and (2) for the 2021 Revolving Credit Facility, at the Company’s election, Adjusted Term SOFR plus a margin of 4.25% to 4.75%, or ABR plus a margin of 3.25% to 3.75%, in each case, depending on the Company’s first lien net leverage ratio.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0" w:firstLine="621"/>
        <w:spacing w:after="0" w:line="260" w:lineRule="auto"/>
        <w:rPr>
          <w:sz w:val="20"/>
          <w:szCs w:val="20"/>
          <w:color w:val="auto"/>
        </w:rPr>
      </w:pPr>
      <w:r>
        <w:rPr>
          <w:rFonts w:ascii="Times New Roman" w:cs="Times New Roman" w:eastAsia="Times New Roman" w:hAnsi="Times New Roman"/>
          <w:sz w:val="17"/>
          <w:szCs w:val="17"/>
          <w:color w:val="auto"/>
        </w:rPr>
        <w:t>On February 6, 2024, the Company entered into a credit agreement (the “2024 Credit Agreement”) with Morgan Stanley Senior Funding, Inc. as the Company term loan administrative agent and Citibank, N.A. as the Company's revolving facility administrative agent and collateral agent, and other lender parties thereto. The 2024 Credit Agreement includes a $365.0 million seven-year senior secured term loan facility (the "2024 Term Loan B Facility"), whose loans will mature in February 2031 and a $175.0 million five-year senior secured revolving credit facility (the "2024 Revolving Credit Facility"), which matures in February 2029. The Company primarily used the proceeds from the 2024 Term Loan B Facility to repay in full all outstanding amounts owed under the Company's Amended 2021 Credit Agreement. Accordingly, the Amended 2021 Credit Agreement was terminated and replaced in its entirely. The obligations under the 2024 Credit Agreement are secured by substantially all of the assets of the Company.</w:t>
      </w:r>
    </w:p>
    <w:p>
      <w:pPr>
        <w:spacing w:after="0" w:line="44" w:lineRule="exact"/>
        <w:rPr>
          <w:sz w:val="20"/>
          <w:szCs w:val="20"/>
          <w:color w:val="auto"/>
        </w:rPr>
      </w:pPr>
    </w:p>
    <w:p>
      <w:pPr>
        <w:ind w:right="60" w:firstLine="621"/>
        <w:spacing w:after="0" w:line="260" w:lineRule="auto"/>
        <w:rPr>
          <w:sz w:val="20"/>
          <w:szCs w:val="20"/>
          <w:color w:val="auto"/>
        </w:rPr>
      </w:pPr>
      <w:r>
        <w:rPr>
          <w:rFonts w:ascii="Times New Roman" w:cs="Times New Roman" w:eastAsia="Times New Roman" w:hAnsi="Times New Roman"/>
          <w:sz w:val="17"/>
          <w:szCs w:val="17"/>
          <w:color w:val="auto"/>
        </w:rPr>
        <w:t>Amounts outstanding under the 2024 Credit Agreement accrue interest at a rate equal to either, (1) for the 2024 Term Loan B Facility, at the Company’s election, Term SOFR (as defined in the 2024 Credit Agreement) plus a margin of 4.50% per annum, or ABR (as defined in the 2024 Credit Agreement) plus a margin of 3.50%, and (2) for the 2024 Revolving Credit Facility, at the Company’s election, Term SOFR plus a margin of 3.50% to 4.00%, or ABR plus a margin of 2.50% to 3.00%, in each case, depending on the Company’s First Lien Net Leverage Ratio (as defined in the 2024 Credit Agreement). As of March 31, 2024, the contractual interest rate related to the Term Loan B Facility was 9.79%.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spacing w:after="0" w:line="57"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 whereby the Company is required to maintain a First Lien Net Leverage Ratio below 3.25 to 1.00. As of March 31, 2024, no amounts were outstanding under the 2024 Revolving Credit Facility and the Company was in compliance with its debt covenants. At March 31, 2024, amounts available under the 2024 Revolving Credit Facility were $169.8 million, net of letters of credit outstanding in the amount of $5.2 million.</w:t>
      </w:r>
    </w:p>
    <w:p>
      <w:pPr>
        <w:spacing w:after="0" w:line="57" w:lineRule="exact"/>
        <w:rPr>
          <w:sz w:val="20"/>
          <w:szCs w:val="20"/>
          <w:color w:val="auto"/>
        </w:rPr>
      </w:pPr>
    </w:p>
    <w:p>
      <w:pPr>
        <w:ind w:right="60" w:firstLine="621"/>
        <w:spacing w:after="0" w:line="261" w:lineRule="auto"/>
        <w:rPr>
          <w:sz w:val="20"/>
          <w:szCs w:val="20"/>
          <w:color w:val="auto"/>
        </w:rPr>
      </w:pPr>
      <w:r>
        <w:rPr>
          <w:rFonts w:ascii="Times New Roman" w:cs="Times New Roman" w:eastAsia="Times New Roman" w:hAnsi="Times New Roman"/>
          <w:sz w:val="17"/>
          <w:szCs w:val="17"/>
          <w:color w:val="auto"/>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March 31, 2024.</w:t>
      </w:r>
    </w:p>
    <w:p>
      <w:pPr>
        <w:spacing w:after="0" w:line="44" w:lineRule="exact"/>
        <w:rPr>
          <w:sz w:val="20"/>
          <w:szCs w:val="20"/>
          <w:color w:val="auto"/>
        </w:rPr>
      </w:pPr>
    </w:p>
    <w:p>
      <w:pPr>
        <w:ind w:right="18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amount outstanding under the Company's 2024 Term Loan B Facility and 2021 Term Loan B Facility at March 31, 2024 and December 31, 2023,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gridSpan w:val="4"/>
          </w:tcPr>
          <w:p>
            <w:pPr>
              <w:spacing w:after="0" w:line="20" w:lineRule="exact"/>
              <w:rPr>
                <w:sz w:val="1"/>
                <w:szCs w:val="1"/>
                <w:color w:val="auto"/>
              </w:rPr>
            </w:pPr>
          </w:p>
        </w:tc>
      </w:tr>
      <w:tr>
        <w:trPr>
          <w:trHeight w:val="181"/>
        </w:trPr>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4"/>
          </w:tcPr>
          <w:p>
            <w:pPr>
              <w:jc w:val="right"/>
              <w:ind w:right="107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Facility*</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351,000</w:t>
            </w:r>
          </w:p>
        </w:tc>
      </w:tr>
      <w:tr>
        <w:trPr>
          <w:trHeight w:val="22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discounts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(6,594)</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(10,289)</w:t>
            </w:r>
          </w:p>
        </w:tc>
      </w:tr>
      <w:tr>
        <w:trPr>
          <w:trHeight w:val="21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 of debt discount and debt issuance costs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5119370</wp:posOffset>
            </wp:positionH>
            <wp:positionV relativeFrom="paragraph">
              <wp:posOffset>-3175</wp:posOffset>
            </wp:positionV>
            <wp:extent cx="20205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2057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 Term Loan B Facility as of March 31, 2024 and December 31, 2023 reflect the balances under the 2024 Term Loan B Facility and the 2021 Term Loan B Facility,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7138035" cy="123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123190"/>
                    </a:xfrm>
                    <a:prstGeom prst="rect">
                      <a:avLst/>
                    </a:prstGeom>
                    <a:noFill/>
                  </pic:spPr>
                </pic:pic>
              </a:graphicData>
            </a:graphic>
          </wp:anchor>
        </w:drawing>
      </w:r>
    </w:p>
    <w:p>
      <w:pPr>
        <w:spacing w:after="0" w:line="196" w:lineRule="exact"/>
        <w:rPr>
          <w:sz w:val="20"/>
          <w:szCs w:val="20"/>
          <w:color w:val="auto"/>
        </w:rPr>
      </w:pPr>
    </w:p>
    <w:p>
      <w:pPr>
        <w:ind w:right="160" w:firstLine="621"/>
        <w:spacing w:after="0" w:line="263" w:lineRule="auto"/>
        <w:rPr>
          <w:sz w:val="20"/>
          <w:szCs w:val="20"/>
          <w:color w:val="auto"/>
        </w:rPr>
      </w:pPr>
      <w:r>
        <w:rPr>
          <w:rFonts w:ascii="Times New Roman" w:cs="Times New Roman" w:eastAsia="Times New Roman" w:hAnsi="Times New Roman"/>
          <w:sz w:val="17"/>
          <w:szCs w:val="17"/>
          <w:color w:val="auto"/>
        </w:rPr>
        <w:t>As part of the debt refinance on February 6, 2024, where lenders under the 2021 Credit Agreement continued to be lenders under the 2024 Credit Agreement, certain of their loans and revolving facility commitments were deemed to have been modified ("Modified Loans" and "Modified Commitments," respectively). The Company continued to defer debt discount costs of $3.7 million and debt issuance costs of $5.7 million from Modified Loans over the term of the new 2024 Term Loan B Facility. The Company continued to defer financing costs as of February 6, 2024 of $0.6 million from Modified Commitments over the term of the new 2024 Revolver Facility.</w:t>
      </w:r>
    </w:p>
    <w:p>
      <w:pPr>
        <w:spacing w:after="0" w:line="67" w:lineRule="exact"/>
        <w:rPr>
          <w:sz w:val="20"/>
          <w:szCs w:val="20"/>
          <w:color w:val="auto"/>
        </w:rPr>
      </w:pPr>
    </w:p>
    <w:p>
      <w:pPr>
        <w:ind w:right="340" w:firstLine="621"/>
        <w:spacing w:after="0" w:line="266" w:lineRule="auto"/>
        <w:rPr>
          <w:sz w:val="20"/>
          <w:szCs w:val="20"/>
          <w:color w:val="auto"/>
        </w:rPr>
      </w:pPr>
      <w:r>
        <w:rPr>
          <w:rFonts w:ascii="Times New Roman" w:cs="Times New Roman" w:eastAsia="Times New Roman" w:hAnsi="Times New Roman"/>
          <w:sz w:val="17"/>
          <w:szCs w:val="17"/>
          <w:color w:val="auto"/>
        </w:rPr>
        <w:t>For lenders of the 2021 Credit Agreement that did not continue to participate in the 2024 Credit Agreement, their pro-rata portion of the unamortized debt discount of $2.8 million, unamortized debt issuance cost of $4.3 million, and unamortized deferred financing costs of $0.3 million were deemed to be extinguished. The resulting loss on extinguishment of debt is included in other (income) expense in the Company's condensed consolidated statement of operations.</w:t>
      </w:r>
    </w:p>
    <w:p>
      <w:pPr>
        <w:spacing w:after="0" w:line="65" w:lineRule="exact"/>
        <w:rPr>
          <w:sz w:val="20"/>
          <w:szCs w:val="20"/>
          <w:color w:val="auto"/>
        </w:rPr>
      </w:pPr>
    </w:p>
    <w:p>
      <w:pPr>
        <w:ind w:right="400" w:firstLine="621"/>
        <w:spacing w:after="0" w:line="291" w:lineRule="auto"/>
        <w:rPr>
          <w:sz w:val="20"/>
          <w:szCs w:val="20"/>
          <w:color w:val="auto"/>
        </w:rPr>
      </w:pPr>
      <w:r>
        <w:rPr>
          <w:rFonts w:ascii="Times New Roman" w:cs="Times New Roman" w:eastAsia="Times New Roman" w:hAnsi="Times New Roman"/>
          <w:sz w:val="17"/>
          <w:szCs w:val="17"/>
          <w:color w:val="auto"/>
        </w:rPr>
        <w:t>The Company paid $7.7 million in third-party fees related to the closing of the 2024 Credit Agreement. Third-party fees attributed to new lenders of $2.4 million were capitalized as part of the debt issuance cost and will be amortized over the term of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2024 Term Loan B Facility while third-party fees attributed to Modified Loans of $3.1 million were included in general and administrative expenses in the Company's condensed consolidated statement of operations for the three months ended March 31, 2024. In addition, third-party fees of $2.1 million attributed to new revolving lenders and Modified Commitments were capitalized as part of deferred financing costs and will be amortized over the term of the 2024 Revolving Facility. The Company also capitalized additional debt discount costs of $3.7 million associated with the closing of the 2024 Term Loan B Facility, which will be amortized over the term of the 2024 Term Loan B Facility.</w:t>
      </w:r>
    </w:p>
    <w:p>
      <w:pPr>
        <w:spacing w:after="0" w:line="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interest expense related to the 2024 Term Loan B Facility and the 2021 Term Loan B Facility for the three months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2024 and related to the 2021 Term Loan B Facility for the three months ended March 31, 2023 (in thousands, except interest rates):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1"/>
        </w:trPr>
        <w:tc>
          <w:tcPr>
            <w:tcW w:w="8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5"/>
                <w:szCs w:val="15"/>
                <w:color w:val="auto"/>
              </w:rPr>
            </w:pPr>
          </w:p>
        </w:tc>
        <w:tc>
          <w:tcPr>
            <w:tcW w:w="13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9,166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8,436</w:t>
            </w: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20" w:type="dxa"/>
            <w:vAlign w:val="bottom"/>
          </w:tcPr>
          <w:p>
            <w:pPr>
              <w:spacing w:after="0"/>
              <w:rPr>
                <w:sz w:val="19"/>
                <w:szCs w:val="19"/>
                <w:color w:val="auto"/>
              </w:rPr>
            </w:pP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393</w:t>
            </w:r>
          </w:p>
        </w:tc>
      </w:tr>
      <w:tr>
        <w:trPr>
          <w:trHeight w:val="22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612</w:t>
            </w: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9,898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9,441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interest rate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10.65 %</w:t>
            </w:r>
          </w:p>
        </w:tc>
      </w:tr>
    </w:tbl>
    <w:p>
      <w:pPr>
        <w:spacing w:after="0" w:line="163" w:lineRule="exact"/>
        <w:rPr>
          <w:sz w:val="20"/>
          <w:szCs w:val="20"/>
          <w:color w:val="auto"/>
        </w:rPr>
      </w:pPr>
    </w:p>
    <w:p>
      <w:pPr>
        <w:ind w:right="300" w:firstLine="621"/>
        <w:spacing w:after="0" w:line="291" w:lineRule="auto"/>
        <w:rPr>
          <w:sz w:val="20"/>
          <w:szCs w:val="20"/>
          <w:color w:val="auto"/>
        </w:rPr>
      </w:pPr>
      <w:r>
        <w:rPr>
          <w:rFonts w:ascii="Times New Roman" w:cs="Times New Roman" w:eastAsia="Times New Roman" w:hAnsi="Times New Roman"/>
          <w:sz w:val="17"/>
          <w:szCs w:val="17"/>
          <w:color w:val="auto"/>
        </w:rPr>
        <w:t>Amortization expense for the 2024 Term Loan B Facility debt discount and debt issuance costs for fiscal years 2024 through 2028 and thereafter is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140" w:type="dxa"/>
            <w:vAlign w:val="bottom"/>
          </w:tcPr>
          <w:p>
            <w:pPr>
              <w:spacing w:after="0"/>
              <w:rPr>
                <w:sz w:val="15"/>
                <w:szCs w:val="15"/>
                <w:color w:val="auto"/>
              </w:rPr>
            </w:pP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3"/>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2,359</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7,146</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02" w:lineRule="exact"/>
        <w:rPr>
          <w:sz w:val="20"/>
          <w:szCs w:val="20"/>
          <w:color w:val="auto"/>
        </w:rPr>
      </w:pPr>
    </w:p>
    <w:p>
      <w:pPr>
        <w:ind w:firstLine="621"/>
        <w:spacing w:after="0" w:line="257" w:lineRule="auto"/>
        <w:rPr>
          <w:sz w:val="20"/>
          <w:szCs w:val="20"/>
          <w:color w:val="auto"/>
        </w:rPr>
      </w:pPr>
      <w:r>
        <w:rPr>
          <w:rFonts w:ascii="Times New Roman" w:cs="Times New Roman" w:eastAsia="Times New Roman" w:hAnsi="Times New Roman"/>
          <w:sz w:val="17"/>
          <w:szCs w:val="17"/>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potential synergies from the Company's acquisitions; macroeconomic conditions or concerns related thereto; the growth of ad-supported programmatic connected television ("CTV"); our ability to use and collect data to provide our offerings; scope and duration of client relationships; the fees we may charge in the future; our anticipated financial performance; key strategic objectives; anticipated benefits of new offerings;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60" w:lineRule="exact"/>
        <w:rPr>
          <w:sz w:val="20"/>
          <w:szCs w:val="20"/>
          <w:color w:val="auto"/>
        </w:rPr>
      </w:pPr>
    </w:p>
    <w:p>
      <w:pPr>
        <w:ind w:firstLine="621"/>
        <w:spacing w:after="0" w:line="259" w:lineRule="auto"/>
        <w:rPr>
          <w:sz w:val="20"/>
          <w:szCs w:val="20"/>
          <w:color w:val="auto"/>
        </w:rPr>
      </w:pPr>
      <w:r>
        <w:rPr>
          <w:rFonts w:ascii="Times New Roman" w:cs="Times New Roman" w:eastAsia="Times New Roman" w:hAnsi="Times New Roman"/>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2023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42" w:lineRule="exact"/>
        <w:rPr>
          <w:sz w:val="20"/>
          <w:szCs w:val="20"/>
          <w:color w:val="auto"/>
        </w:rPr>
      </w:pPr>
    </w:p>
    <w:p>
      <w:pPr>
        <w:ind w:right="32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46" w:lineRule="exact"/>
        <w:rPr>
          <w:sz w:val="20"/>
          <w:szCs w:val="20"/>
          <w:color w:val="auto"/>
        </w:rPr>
      </w:pPr>
    </w:p>
    <w:p>
      <w:pPr>
        <w:ind w:right="380" w:firstLine="621"/>
        <w:spacing w:after="0" w:line="291"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Magnite, Inc., ("we," or "us"), provides technology solutions to automate the purchase and sale of digital advertising inventory.</w:t>
      </w:r>
    </w:p>
    <w:p>
      <w:pPr>
        <w:spacing w:after="0" w:line="89" w:lineRule="exact"/>
        <w:rPr>
          <w:sz w:val="20"/>
          <w:szCs w:val="20"/>
          <w:color w:val="auto"/>
        </w:rPr>
      </w:pPr>
    </w:p>
    <w:p>
      <w:pPr>
        <w:ind w:right="220" w:firstLine="621"/>
        <w:spacing w:after="0" w:line="272" w:lineRule="auto"/>
        <w:rPr>
          <w:sz w:val="20"/>
          <w:szCs w:val="20"/>
          <w:color w:val="auto"/>
        </w:rPr>
      </w:pPr>
      <w:r>
        <w:rPr>
          <w:rFonts w:ascii="Times New Roman" w:cs="Times New Roman" w:eastAsia="Times New Roman" w:hAnsi="Times New Roman"/>
          <w:sz w:val="17"/>
          <w:szCs w:val="17"/>
          <w:color w:val="auto"/>
        </w:rPr>
        <w:t>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47"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57"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Our streaming SSP platform and ad server offers CTV sellers a holistic solution for workflow, yield management and monetization, across both programmatic and direct-sold video inventory. We provide sellers with a full suite of tools to protect the consumer viewing experience and brand safety expectations, while increasing revenue opportunities, including forecasting tools, customized ad experiences and ad formats, and advanced podding logic. These tools are particularly important to CTV sellers who need to provide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so that competing brand ads do not appear during the same commercial break. Other tools we offer include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49" w:lineRule="exact"/>
        <w:rPr>
          <w:sz w:val="20"/>
          <w:szCs w:val="20"/>
          <w:color w:val="auto"/>
        </w:rPr>
      </w:pPr>
    </w:p>
    <w:p>
      <w:pPr>
        <w:ind w:right="260" w:firstLine="621"/>
        <w:spacing w:after="0" w:line="272" w:lineRule="auto"/>
        <w:rPr>
          <w:sz w:val="20"/>
          <w:szCs w:val="20"/>
          <w:color w:val="auto"/>
        </w:rPr>
      </w:pPr>
      <w:r>
        <w:rPr>
          <w:rFonts w:ascii="Times New Roman" w:cs="Times New Roman" w:eastAsia="Times New Roman" w:hAnsi="Times New Roman"/>
          <w:sz w:val="17"/>
          <w:szCs w:val="17"/>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47" w:lineRule="exact"/>
        <w:rPr>
          <w:sz w:val="20"/>
          <w:szCs w:val="20"/>
          <w:color w:val="auto"/>
        </w:rPr>
      </w:pPr>
    </w:p>
    <w:p>
      <w:pPr>
        <w:ind w:right="540" w:firstLine="621"/>
        <w:spacing w:after="0" w:line="291" w:lineRule="auto"/>
        <w:rPr>
          <w:sz w:val="20"/>
          <w:szCs w:val="20"/>
          <w:color w:val="auto"/>
        </w:rPr>
      </w:pPr>
      <w:r>
        <w:rPr>
          <w:rFonts w:ascii="Times New Roman" w:cs="Times New Roman" w:eastAsia="Times New Roman" w:hAnsi="Times New Roman"/>
          <w:sz w:val="17"/>
          <w:szCs w:val="17"/>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and Business Trends, Opportunities and Challenges</w:t>
      </w:r>
    </w:p>
    <w:p>
      <w:pPr>
        <w:spacing w:after="0" w:line="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Continued Shift Toward Digital Advertising and Automation of Buying and Selling</w:t>
      </w:r>
    </w:p>
    <w:p>
      <w:pPr>
        <w:spacing w:after="0" w:line="104" w:lineRule="exact"/>
        <w:rPr>
          <w:sz w:val="20"/>
          <w:szCs w:val="20"/>
          <w:color w:val="auto"/>
        </w:rPr>
      </w:pPr>
    </w:p>
    <w:p>
      <w:pPr>
        <w:ind w:right="340" w:firstLine="621"/>
        <w:spacing w:after="0" w:line="272" w:lineRule="auto"/>
        <w:rPr>
          <w:sz w:val="20"/>
          <w:szCs w:val="20"/>
          <w:color w:val="auto"/>
        </w:rPr>
      </w:pPr>
      <w:r>
        <w:rPr>
          <w:rFonts w:ascii="Times New Roman" w:cs="Times New Roman" w:eastAsia="Times New Roman" w:hAnsi="Times New Roman"/>
          <w:sz w:val="17"/>
          <w:szCs w:val="17"/>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47" w:lineRule="exact"/>
        <w:rPr>
          <w:sz w:val="20"/>
          <w:szCs w:val="20"/>
          <w:color w:val="auto"/>
        </w:rPr>
      </w:pPr>
    </w:p>
    <w:p>
      <w:pPr>
        <w:ind w:right="220" w:firstLine="621"/>
        <w:spacing w:after="0" w:line="259" w:lineRule="auto"/>
        <w:rPr>
          <w:sz w:val="20"/>
          <w:szCs w:val="20"/>
          <w:color w:val="auto"/>
        </w:rPr>
      </w:pPr>
      <w:r>
        <w:rPr>
          <w:rFonts w:ascii="Times New Roman" w:cs="Times New Roman" w:eastAsia="Times New Roman" w:hAnsi="Times New Roman"/>
          <w:sz w:val="17"/>
          <w:szCs w:val="17"/>
          <w:color w:val="auto"/>
        </w:rPr>
        <w:t>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to better target ad campaigns. Programmatic transactions include open auctions, where multiple buyers bid against each other in a real-time auction for the right to purchase a publisher's inventory, as well as reserve auctions, where publishers establish direct deals or private marketplaces with select buyers. These reserve auctions may be “guaranteed,” where a buyer has negotiated a pre-established price and volume with a seller.</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Convergence of TV and Digital</w:t>
      </w:r>
    </w:p>
    <w:p>
      <w:pPr>
        <w:spacing w:after="0" w:line="104" w:lineRule="exact"/>
        <w:rPr>
          <w:sz w:val="20"/>
          <w:szCs w:val="20"/>
          <w:color w:val="auto"/>
        </w:rPr>
      </w:pPr>
    </w:p>
    <w:p>
      <w:pPr>
        <w:ind w:right="260" w:firstLine="621"/>
        <w:spacing w:after="0" w:line="263" w:lineRule="auto"/>
        <w:rPr>
          <w:sz w:val="20"/>
          <w:szCs w:val="20"/>
          <w:color w:val="auto"/>
        </w:rPr>
      </w:pPr>
      <w:r>
        <w:rPr>
          <w:rFonts w:ascii="Times New Roman" w:cs="Times New Roman" w:eastAsia="Times New Roman" w:hAnsi="Times New Roman"/>
          <w:sz w:val="17"/>
          <w:szCs w:val="17"/>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and through biddable environments rather than programmatic guaranteed, similar to trends that occurred in desktop and mobile.</w:t>
      </w:r>
    </w:p>
    <w:p>
      <w:pPr>
        <w:spacing w:after="0" w:line="54" w:lineRule="exact"/>
        <w:rPr>
          <w:sz w:val="20"/>
          <w:szCs w:val="20"/>
          <w:color w:val="auto"/>
        </w:rPr>
      </w:pPr>
    </w:p>
    <w:p>
      <w:pPr>
        <w:ind w:right="180" w:firstLine="621"/>
        <w:spacing w:after="0" w:line="263" w:lineRule="auto"/>
        <w:rPr>
          <w:sz w:val="20"/>
          <w:szCs w:val="20"/>
          <w:color w:val="auto"/>
        </w:rPr>
      </w:pPr>
      <w:r>
        <w:rPr>
          <w:rFonts w:ascii="Times New Roman" w:cs="Times New Roman" w:eastAsia="Times New Roman" w:hAnsi="Times New Roman"/>
          <w:sz w:val="17"/>
          <w:szCs w:val="17"/>
          <w:color w:val="auto"/>
        </w:rPr>
        <w:t>We have made and plan to continue to make significant investments in technology, sales and support related to our CTV growth initiatives, and believe CTV will be a significant driver of our revenue growth for the foreseeable future. Consistent with this growth objective, in 2023 we introduced our Magnite Streaming platform, which merges leading technology from our legacy Magnite CTV and SpotX CTV platforms. We believe the combination of our Magnite Streaming platform with our ad server, which we acquired in 2021, is highly strategic as it allows us to offer publishers an independent full-stack solution to the walled gardens, which can be leveraged across their entire video advertising business.</w:t>
      </w:r>
    </w:p>
    <w:p>
      <w:pPr>
        <w:spacing w:after="0" w:line="41"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The percentage of our revenue and Contribution ex-TAC (as defined in section "Key Operating and Financial Performance Metrics") attributable to CTV has increased significantly in recent years. Because CTV is largely transacted through reserve auctions, these types of auctions have become a more significant portion of the transactions on our platform. In addition, as newer entrants to programmatic advertising, the largest publishers and broadcasters have tended to transact almost exclusively through reserve auctions and have lower overall take rates. These publishers have continued to increase their focus and investment in programmatic CTV, and in recent periods have grown as a percentage of our CTV business. Accordingly, the increase in share among these publishers on our platform has driven a decrease in our aggregate CTV take rates.</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Identity Solutions</w:t>
      </w:r>
    </w:p>
    <w:p>
      <w:pPr>
        <w:spacing w:after="0" w:line="104"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For instance, Google previously announced plans to fully deprecate third-party cookies by the end of 2024. Recently, Google has announced that this timing will be delayed until at least 2025, but has not provided a specific timeline. While we generally support third-party cookie deprecation in favor of more transparent identity solutions, these efforts could lead to significant uncertainty and instability in the short term as the industry adjusts to a new targeting paradigm, as well as a decrease in CPMs and a shift of advertising spend to large walled gardens that have access to large amounts of first party data.</w:t>
      </w:r>
    </w:p>
    <w:p>
      <w:pPr>
        <w:spacing w:after="0" w:line="44"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Despite these potential near-term challenges, in the longer term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this identity model already largely exists with publishers more tightly controlling access to identifiers and user data, while offering proprietary first party data segments for reaching desired audiences. We believe that our scale and expertise in CTV position us well to take a leadership position in advancing this shift to a first party identity model and creating additional value opportunities for our clients. Accordingly, we have invested and intend to further invest in the development and enhancement of industry leading identity and audience solutions.</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Supply Path Optimization</w:t>
      </w:r>
    </w:p>
    <w:p>
      <w:pPr>
        <w:spacing w:after="0" w:line="91" w:lineRule="exact"/>
        <w:rPr>
          <w:sz w:val="20"/>
          <w:szCs w:val="20"/>
          <w:color w:val="auto"/>
        </w:rPr>
      </w:pPr>
    </w:p>
    <w:p>
      <w:pPr>
        <w:ind w:right="20" w:firstLine="621"/>
        <w:spacing w:after="0" w:line="259" w:lineRule="auto"/>
        <w:rPr>
          <w:sz w:val="20"/>
          <w:szCs w:val="20"/>
          <w:color w:val="auto"/>
        </w:rPr>
      </w:pPr>
      <w:r>
        <w:rPr>
          <w:rFonts w:ascii="Times New Roman" w:cs="Times New Roman" w:eastAsia="Times New Roman" w:hAnsi="Times New Roman"/>
          <w:sz w:val="17"/>
          <w:szCs w:val="17"/>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In furtherance of these goals, in April 2023 we announced the launch of ClearLine, a self-service solution that provides agencies direct access to premium advertising on our platform. This solution helps agencies maximize the spend going towards working media, makes it easier for sellers and agencies to securely share data, improves workflow for campaigns traditionally transacted manually, and helps publishers generate more revenue and develop new sources of unique demand. We believe we are well positioned to benefit from SPO in the long run as a result of our transparency, our broad and unique inventory supply across all channels and formats, including CTV, buyer tools, such as traffic shaping and ClearLine that reduce the cost of working with us, and our brand safety measures.</w:t>
      </w:r>
    </w:p>
    <w:p>
      <w:pPr>
        <w:spacing w:after="0" w:line="2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Header Bidding and Data Processing</w:t>
      </w:r>
    </w:p>
    <w:p>
      <w:pPr>
        <w:spacing w:after="0" w:line="104"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We have invested in technology solutions, such as Demand Manager, to help desktop and mobile publishers manage their header-bidding inventory.</w:t>
      </w:r>
    </w:p>
    <w:p>
      <w:pPr>
        <w:spacing w:after="0" w:line="39" w:lineRule="exact"/>
        <w:rPr>
          <w:sz w:val="20"/>
          <w:szCs w:val="20"/>
          <w:color w:val="auto"/>
        </w:rPr>
      </w:pPr>
    </w:p>
    <w:p>
      <w:pPr>
        <w:ind w:right="20" w:firstLine="621"/>
        <w:spacing w:after="0" w:line="263" w:lineRule="auto"/>
        <w:rPr>
          <w:sz w:val="20"/>
          <w:szCs w:val="20"/>
          <w:color w:val="auto"/>
        </w:rPr>
      </w:pPr>
      <w:r>
        <w:rPr>
          <w:rFonts w:ascii="Times New Roman" w:cs="Times New Roman" w:eastAsia="Times New Roman" w:hAnsi="Times New Roman"/>
          <w:sz w:val="17"/>
          <w:szCs w:val="17"/>
          <w:color w:val="auto"/>
        </w:rPr>
        <w:t>In addition, header bidding has led to a significant increase in the number of ad impressions to be processed and analyzed through our platform as well as by DSPs, which can lead to increased costs if not properly addressed. We continuously work to increase the operational efficiency of our platform, so as to enable buyers and sellers to achieve their campaign and monetization objectives in a cost-effective manner. Our solution is self-improving as we process more volume and accumulate more data, which in turn helps make our machine-learning algorithms more intelligent. We believe these cost savings make our platform more attractive to buyers, which in turn improves revenue opportunities for sellers.</w:t>
      </w:r>
    </w:p>
    <w:p>
      <w:pPr>
        <w:spacing w:after="0" w:line="54" w:lineRule="exact"/>
        <w:rPr>
          <w:sz w:val="20"/>
          <w:szCs w:val="20"/>
          <w:color w:val="auto"/>
        </w:rPr>
      </w:pPr>
    </w:p>
    <w:p>
      <w:pPr>
        <w:jc w:val="both"/>
        <w:ind w:right="80" w:firstLine="621"/>
        <w:spacing w:after="0" w:line="272" w:lineRule="auto"/>
        <w:rPr>
          <w:sz w:val="20"/>
          <w:szCs w:val="20"/>
          <w:color w:val="auto"/>
        </w:rPr>
      </w:pPr>
      <w:r>
        <w:rPr>
          <w:rFonts w:ascii="Times New Roman" w:cs="Times New Roman" w:eastAsia="Times New Roman" w:hAnsi="Times New Roman"/>
          <w:sz w:val="17"/>
          <w:szCs w:val="17"/>
          <w:color w:val="auto"/>
        </w:rPr>
        <w:t>While header-bidding technologies have not been largely adopted by CTV sellers, such solutions or similar solutions geared towards increasing demand competition have become more prevalent. We have addressed this, in part, through our ad server, which offers sellers a unified programmatic demand solution for CTV that leverages our existing programmatic SSP capabilities as well as connects with third party programmatic demand sources.</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Macroeconomic Developments</w:t>
      </w:r>
    </w:p>
    <w:p>
      <w:pPr>
        <w:spacing w:after="0" w:line="91" w:lineRule="exact"/>
        <w:rPr>
          <w:sz w:val="20"/>
          <w:szCs w:val="20"/>
          <w:color w:val="auto"/>
        </w:rPr>
      </w:pPr>
    </w:p>
    <w:p>
      <w:pPr>
        <w:ind w:right="120" w:firstLine="621"/>
        <w:spacing w:after="0" w:line="263" w:lineRule="auto"/>
        <w:rPr>
          <w:sz w:val="20"/>
          <w:szCs w:val="20"/>
          <w:color w:val="auto"/>
        </w:rPr>
      </w:pPr>
      <w:r>
        <w:rPr>
          <w:rFonts w:ascii="Times New Roman" w:cs="Times New Roman" w:eastAsia="Times New Roman" w:hAnsi="Times New Roman"/>
          <w:sz w:val="17"/>
          <w:szCs w:val="17"/>
          <w:color w:val="auto"/>
        </w:rPr>
        <w:t>Our business has been negatively impacted as a result of macroeconomic challenges, such as inflation, high interest rates, global conflict, capital market disruptions and instability of financial institutions, the risk of a recession, labor strikes, and other macroeconomic factors, which have generally negatively impacted ad budgets, and in turn have led to slower ad spend growth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w:t>
      </w:r>
    </w:p>
    <w:p>
      <w:pPr>
        <w:spacing w:after="0" w:line="54" w:lineRule="exact"/>
        <w:rPr>
          <w:sz w:val="20"/>
          <w:szCs w:val="20"/>
          <w:color w:val="auto"/>
        </w:rPr>
      </w:pPr>
    </w:p>
    <w:p>
      <w:pPr>
        <w:ind w:right="220" w:firstLine="621"/>
        <w:spacing w:after="0" w:line="291" w:lineRule="auto"/>
        <w:rPr>
          <w:sz w:val="20"/>
          <w:szCs w:val="20"/>
          <w:color w:val="auto"/>
        </w:rPr>
      </w:pPr>
      <w:r>
        <w:rPr>
          <w:rFonts w:ascii="Times New Roman" w:cs="Times New Roman" w:eastAsia="Times New Roman" w:hAnsi="Times New Roman"/>
          <w:sz w:val="17"/>
          <w:szCs w:val="17"/>
          <w:color w:val="auto"/>
        </w:rPr>
        <w:t>Refer to Item 1A. "Risk Factors" in our Annual Report on Form 10-K for the year ended December 31, 2023 for additional information related to risks associated with macroeconomic challenges.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04" w:lineRule="exact"/>
        <w:rPr>
          <w:sz w:val="20"/>
          <w:szCs w:val="20"/>
          <w:color w:val="auto"/>
        </w:rPr>
      </w:pPr>
    </w:p>
    <w:p>
      <w:pPr>
        <w:ind w:right="500" w:firstLine="621"/>
        <w:spacing w:after="0" w:line="291" w:lineRule="auto"/>
        <w:rPr>
          <w:sz w:val="20"/>
          <w:szCs w:val="20"/>
          <w:color w:val="auto"/>
        </w:rPr>
      </w:pPr>
      <w:r>
        <w:rPr>
          <w:rFonts w:ascii="Times New Roman" w:cs="Times New Roman" w:eastAsia="Times New Roman" w:hAnsi="Times New Roman"/>
          <w:sz w:val="17"/>
          <w:szCs w:val="17"/>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06"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6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For the three months ended March 31, 2024 and 2023, our revenue reported on a gross basis was 19% and 17% of total revenue for the respective periods.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our audited consolidated financial statements and notes thereto for the year ended December 31, 2023 included in our Annual Report on Form 10-K and in Note 3 of the accompanying Notes to the Condensed Consolidated Financial Statements.</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classify our expenses into the following categories:</w:t>
      </w:r>
    </w:p>
    <w:p>
      <w:pPr>
        <w:spacing w:after="0" w:line="100" w:lineRule="exact"/>
        <w:rPr>
          <w:sz w:val="20"/>
          <w:szCs w:val="20"/>
          <w:color w:val="auto"/>
        </w:rPr>
      </w:pPr>
    </w:p>
    <w:p>
      <w:pPr>
        <w:ind w:right="60" w:firstLine="621"/>
        <w:spacing w:after="0" w:line="260" w:lineRule="auto"/>
        <w:rPr>
          <w:sz w:val="20"/>
          <w:szCs w:val="20"/>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Our cost of revenue primarily consists of cloud hosting, data center, and bandwidth costs, ad verification costs, depreciation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expense of hardware supporting our revenue-producing platform, amortization of software costs for the development of our revenue-producing platform, amortization expense associated with acquired developed technologies, and personnel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4" w:lineRule="exact"/>
        <w:rPr>
          <w:sz w:val="20"/>
          <w:szCs w:val="20"/>
          <w:color w:val="auto"/>
        </w:rPr>
      </w:pPr>
    </w:p>
    <w:p>
      <w:pPr>
        <w:ind w:right="20" w:firstLine="621"/>
        <w:spacing w:after="0" w:line="263"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primarily consists of personnel costs, including salaries, bonuses, and stock-based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well as marketing expenses such as brand marketing, travel expenses, trade shows and marketing materials, amortization expense associated with client relationships, backlog,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and backlog from our business acquisitions over their estimated useful lives.</w:t>
      </w:r>
    </w:p>
    <w:p>
      <w:pPr>
        <w:spacing w:after="0" w:line="41" w:lineRule="exact"/>
        <w:rPr>
          <w:sz w:val="20"/>
          <w:szCs w:val="20"/>
          <w:color w:val="auto"/>
        </w:rPr>
      </w:pPr>
    </w:p>
    <w:p>
      <w:pPr>
        <w:ind w:firstLine="621"/>
        <w:spacing w:after="0" w:line="241" w:lineRule="auto"/>
        <w:rPr>
          <w:sz w:val="20"/>
          <w:szCs w:val="20"/>
          <w:color w:val="auto"/>
        </w:rPr>
      </w:pPr>
      <w:r>
        <w:rPr>
          <w:rFonts w:ascii="Times New Roman" w:cs="Times New Roman" w:eastAsia="Times New Roman" w:hAnsi="Times New Roman"/>
          <w:sz w:val="17"/>
          <w:szCs w:val="17"/>
          <w:i w:val="1"/>
          <w:iCs w:val="1"/>
          <w:color w:val="auto"/>
        </w:rPr>
        <w:t>Technology and Development</w:t>
      </w:r>
      <w:r>
        <w:rPr>
          <w:rFonts w:ascii="Times New Roman" w:cs="Times New Roman" w:eastAsia="Times New Roman" w:hAnsi="Times New Roman"/>
          <w:sz w:val="17"/>
          <w:szCs w:val="17"/>
          <w:color w:val="auto"/>
        </w:rPr>
        <w:t>. Our technology and development expenses primarily consists of personnel costs, including salaries, bonuses, and stock-based compensation, as well as professional services associated with the ongoing development and maintenance of our solution, third-party software license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70" w:lineRule="exact"/>
        <w:rPr>
          <w:sz w:val="20"/>
          <w:szCs w:val="20"/>
          <w:color w:val="auto"/>
        </w:rPr>
      </w:pPr>
    </w:p>
    <w:p>
      <w:pPr>
        <w:ind w:right="10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primarily consists of personnel costs, including salaries, bonuses, and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16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Merger, Acquisition, and Restructuring Costs. </w:t>
      </w:r>
      <w:r>
        <w:rPr>
          <w:rFonts w:ascii="Times New Roman" w:cs="Times New Roman" w:eastAsia="Times New Roman" w:hAnsi="Times New Roman"/>
          <w:sz w:val="17"/>
          <w:szCs w:val="17"/>
          <w:color w:val="auto"/>
        </w:rPr>
        <w:t>Our merger, acquisition, and restructuring costs primarily consists of professional service fees associated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04" w:lineRule="exact"/>
        <w:rPr>
          <w:sz w:val="20"/>
          <w:szCs w:val="20"/>
          <w:color w:val="auto"/>
        </w:rPr>
      </w:pPr>
    </w:p>
    <w:p>
      <w:pPr>
        <w:ind w:right="2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Interest (Income) Expense, Net. </w:t>
      </w:r>
      <w:r>
        <w:rPr>
          <w:rFonts w:ascii="Times New Roman" w:cs="Times New Roman" w:eastAsia="Times New Roman" w:hAnsi="Times New Roman"/>
          <w:sz w:val="17"/>
          <w:szCs w:val="17"/>
          <w:color w:val="auto"/>
        </w:rPr>
        <w:t>Interest expense primarily consists of interest expense associated with our 2024 Term Loan B Facility (defined below),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Term Loan B Facility (defined below) and Convertible Senior Notes (defined below), and their related amortization of debt issuance costs and debt discount. Interest income primarily consists of interest earned on our cash equivalents.</w:t>
      </w:r>
    </w:p>
    <w:p>
      <w:pPr>
        <w:spacing w:after="0" w:line="44" w:lineRule="exact"/>
        <w:rPr>
          <w:sz w:val="20"/>
          <w:szCs w:val="20"/>
          <w:color w:val="auto"/>
        </w:rPr>
      </w:pPr>
    </w:p>
    <w:p>
      <w:pPr>
        <w:ind w:right="220" w:firstLine="621"/>
        <w:spacing w:after="0" w:line="263" w:lineRule="auto"/>
        <w:rPr>
          <w:sz w:val="20"/>
          <w:szCs w:val="20"/>
          <w:color w:val="auto"/>
        </w:rPr>
      </w:pPr>
      <w:r>
        <w:rPr>
          <w:rFonts w:ascii="Times New Roman" w:cs="Times New Roman" w:eastAsia="Times New Roman" w:hAnsi="Times New Roman"/>
          <w:sz w:val="17"/>
          <w:szCs w:val="17"/>
          <w:i w:val="1"/>
          <w:iCs w:val="1"/>
          <w:color w:val="auto"/>
        </w:rPr>
        <w:t>Foreign Currency Exchange (Gain) Loss, Net</w:t>
      </w:r>
      <w:r>
        <w:rPr>
          <w:rFonts w:ascii="Times New Roman" w:cs="Times New Roman" w:eastAsia="Times New Roman" w:hAnsi="Times New Roman"/>
          <w:sz w:val="17"/>
          <w:szCs w:val="17"/>
          <w:color w:val="auto"/>
        </w:rPr>
        <w:t>. Foreign currency exchange (gain) loss, net consists of gains and losses on foreign currency transactions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Canadian Dollar, Euro, Japanese Yen, and New Zealand Dollar.</w:t>
      </w:r>
    </w:p>
    <w:p>
      <w:pPr>
        <w:spacing w:after="0" w:line="41" w:lineRule="exact"/>
        <w:rPr>
          <w:sz w:val="20"/>
          <w:szCs w:val="20"/>
          <w:color w:val="auto"/>
        </w:rPr>
      </w:pPr>
    </w:p>
    <w:p>
      <w:pPr>
        <w:jc w:val="both"/>
        <w:ind w:right="4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(Gain) Loss on Extinguishment of Debt. </w:t>
      </w:r>
      <w:r>
        <w:rPr>
          <w:rFonts w:ascii="Times New Roman" w:cs="Times New Roman" w:eastAsia="Times New Roman" w:hAnsi="Times New Roman"/>
          <w:sz w:val="17"/>
          <w:szCs w:val="17"/>
          <w:color w:val="auto"/>
        </w:rPr>
        <w:t>Gain or loss on extinguishment of debt consists of gains or losses associated with the repurchases of Convertible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Senior Notes at a discount or premium and gains or losses associated with the refinancing of our debt facilities, including the extinguishment of unamortized debt discount, debt issuance costs, and deferred financing costs.</w:t>
      </w:r>
    </w:p>
    <w:p>
      <w:pPr>
        <w:spacing w:after="0" w:line="44" w:lineRule="exact"/>
        <w:rPr>
          <w:sz w:val="20"/>
          <w:szCs w:val="20"/>
          <w:color w:val="auto"/>
        </w:rPr>
      </w:pPr>
    </w:p>
    <w:p>
      <w:pPr>
        <w:ind w:left="620" w:right="380"/>
        <w:spacing w:after="0" w:line="358" w:lineRule="auto"/>
        <w:rPr>
          <w:sz w:val="20"/>
          <w:szCs w:val="20"/>
          <w:color w:val="auto"/>
        </w:rPr>
      </w:pPr>
      <w:r>
        <w:rPr>
          <w:rFonts w:ascii="Times New Roman" w:cs="Times New Roman" w:eastAsia="Times New Roman" w:hAnsi="Times New Roman"/>
          <w:sz w:val="17"/>
          <w:szCs w:val="17"/>
          <w:i w:val="1"/>
          <w:iCs w:val="1"/>
          <w:color w:val="auto"/>
        </w:rPr>
        <w:t xml:space="preserve">Other Income. </w:t>
      </w:r>
      <w:r>
        <w:rPr>
          <w:rFonts w:ascii="Times New Roman" w:cs="Times New Roman" w:eastAsia="Times New Roman" w:hAnsi="Times New Roman"/>
          <w:sz w:val="17"/>
          <w:szCs w:val="17"/>
          <w:color w:val="auto"/>
        </w:rPr>
        <w:t>Other income primarily consists of rental income from commercial office space we hold under lease and have sublet to other tenants.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Provision (Benefit) for Income Taxes</w:t>
      </w:r>
    </w:p>
    <w:p>
      <w:pPr>
        <w:spacing w:after="0" w:line="1"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our condensed consolidated results of operations: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4"/>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5"/>
        </w:trPr>
        <w:tc>
          <w:tcPr>
            <w:tcW w:w="6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Change %</w:t>
            </w:r>
          </w:p>
        </w:tc>
      </w:tr>
      <w:tr>
        <w:trPr>
          <w:trHeight w:val="188"/>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4"/>
          </w:tcPr>
          <w:p>
            <w:pPr>
              <w:jc w:val="right"/>
              <w:ind w:right="100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7"/>
        </w:trPr>
        <w:tc>
          <w:tcPr>
            <w:tcW w:w="678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124,828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5"/>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5"/>
        </w:trPr>
        <w:tc>
          <w:tcPr>
            <w:tcW w:w="6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09"/>
        </w:trPr>
        <w:tc>
          <w:tcPr>
            <w:tcW w:w="6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Merger, acquisition, and restructuring costs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98"/>
        </w:trPr>
        <w:tc>
          <w:tcPr>
            <w:tcW w:w="678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163,147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230,645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20"/>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00"/>
        </w:trPr>
        <w:tc>
          <w:tcPr>
            <w:tcW w:w="67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5"/>
        </w:trPr>
        <w:tc>
          <w:tcPr>
            <w:tcW w:w="6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2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(98,732)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0" w:lineRule="exact"/>
        <w:rPr>
          <w:sz w:val="20"/>
          <w:szCs w:val="20"/>
          <w:color w:val="auto"/>
        </w:rPr>
      </w:pPr>
    </w:p>
    <w:p>
      <w:pPr>
        <w:ind w:left="260" w:hanging="213"/>
        <w:spacing w:after="0"/>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included in our expenses was as follows: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2" w:lineRule="exact"/>
        <w:rPr>
          <w:rFonts w:ascii="Times New Roman" w:cs="Times New Roman" w:eastAsia="Times New Roman" w:hAnsi="Times New Roman"/>
          <w:sz w:val="16"/>
          <w:szCs w:val="16"/>
          <w:color w:val="auto"/>
        </w:rPr>
      </w:pPr>
    </w:p>
    <w:p>
      <w:pPr>
        <w:ind w:left="280" w:right="5280"/>
        <w:spacing w:after="0" w:line="29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revenue Sales and marketing Technology and development</w:t>
      </w:r>
    </w:p>
    <w:p>
      <w:pPr>
        <w:spacing w:after="0" w:line="1"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w:t>
      </w:r>
    </w:p>
    <w:p>
      <w:pPr>
        <w:spacing w:after="0" w:line="35" w:lineRule="exact"/>
        <w:rPr>
          <w:rFonts w:ascii="Times New Roman" w:cs="Times New Roman" w:eastAsia="Times New Roman" w:hAnsi="Times New Roman"/>
          <w:sz w:val="16"/>
          <w:szCs w:val="16"/>
          <w:color w:val="auto"/>
        </w:rPr>
      </w:pPr>
    </w:p>
    <w:p>
      <w:pPr>
        <w:ind w:left="520" w:right="4360" w:hanging="233"/>
        <w:spacing w:after="0" w:line="3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Merger, acquisition, and restructuring costs Total stock-based compensation expense</w:t>
      </w:r>
    </w:p>
    <w:p>
      <w:pPr>
        <w:spacing w:after="0" w:line="150" w:lineRule="exact"/>
        <w:rPr>
          <w:rFonts w:ascii="Times New Roman" w:cs="Times New Roman" w:eastAsia="Times New Roman" w:hAnsi="Times New Roman"/>
          <w:sz w:val="16"/>
          <w:szCs w:val="16"/>
          <w:color w:val="auto"/>
        </w:rPr>
      </w:pPr>
    </w:p>
    <w:p>
      <w:pPr>
        <w:ind w:left="320" w:hanging="215"/>
        <w:spacing w:after="0"/>
        <w:tabs>
          <w:tab w:leader="none" w:pos="32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expense included in our expenses was as follows: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7" w:lineRule="exact"/>
        <w:rPr>
          <w:rFonts w:ascii="Times New Roman" w:cs="Times New Roman" w:eastAsia="Times New Roman" w:hAnsi="Times New Roman"/>
          <w:sz w:val="14"/>
          <w:szCs w:val="14"/>
          <w:color w:val="auto"/>
        </w:rPr>
      </w:pPr>
    </w:p>
    <w:p>
      <w:pPr>
        <w:ind w:left="340" w:right="522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Cost of revenue Sales and marketing Technology and development General and administrative</w:t>
      </w: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Total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-2333625</wp:posOffset>
            </wp:positionV>
            <wp:extent cx="7105015" cy="147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015" cy="14795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-2054225</wp:posOffset>
            </wp:positionV>
            <wp:extent cx="7105015" cy="147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015" cy="14795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-1758315</wp:posOffset>
            </wp:positionV>
            <wp:extent cx="7105015" cy="131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015" cy="13144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-698500</wp:posOffset>
            </wp:positionV>
            <wp:extent cx="7031355" cy="147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1355" cy="1479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-419735</wp:posOffset>
            </wp:positionV>
            <wp:extent cx="7031355" cy="147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1355" cy="1479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-123825</wp:posOffset>
            </wp:positionV>
            <wp:extent cx="7031355" cy="156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1355"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81"/>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7"/>
          </w:tcPr>
          <w:p>
            <w:pPr>
              <w:ind w:left="9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8"/>
        </w:trPr>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60" w:type="dxa"/>
            <w:vAlign w:val="bottom"/>
          </w:tcPr>
          <w:p>
            <w:pPr>
              <w:spacing w:after="0"/>
              <w:rPr>
                <w:sz w:val="20"/>
                <w:szCs w:val="20"/>
                <w:color w:val="auto"/>
              </w:rPr>
            </w:pPr>
          </w:p>
        </w:tc>
      </w:tr>
      <w:tr>
        <w:trPr>
          <w:trHeight w:val="207"/>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w:t>
            </w:r>
          </w:p>
        </w:tc>
        <w:tc>
          <w:tcPr>
            <w:tcW w:w="60" w:type="dxa"/>
            <w:vAlign w:val="bottom"/>
          </w:tcPr>
          <w:p>
            <w:pPr>
              <w:spacing w:after="0"/>
              <w:rPr>
                <w:sz w:val="17"/>
                <w:szCs w:val="17"/>
                <w:color w:val="auto"/>
              </w:rPr>
            </w:pPr>
          </w:p>
        </w:tc>
      </w:tr>
      <w:tr>
        <w:trPr>
          <w:trHeight w:val="233"/>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5,446</w:t>
            </w:r>
          </w:p>
        </w:tc>
        <w:tc>
          <w:tcPr>
            <w:tcW w:w="60" w:type="dxa"/>
            <w:vAlign w:val="bottom"/>
          </w:tcPr>
          <w:p>
            <w:pPr>
              <w:spacing w:after="0"/>
              <w:rPr>
                <w:sz w:val="20"/>
                <w:szCs w:val="20"/>
                <w:color w:val="auto"/>
              </w:rPr>
            </w:pPr>
          </w:p>
        </w:tc>
      </w:tr>
      <w:tr>
        <w:trPr>
          <w:trHeight w:val="233"/>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60" w:type="dxa"/>
            <w:vAlign w:val="bottom"/>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60" w:type="dxa"/>
            <w:vAlign w:val="bottom"/>
            <w:tcBorders>
              <w:bottom w:val="single" w:sz="8" w:color="auto"/>
            </w:tcBorders>
          </w:tcPr>
          <w:p>
            <w:pPr>
              <w:spacing w:after="0"/>
              <w:rPr>
                <w:sz w:val="18"/>
                <w:szCs w:val="18"/>
                <w:color w:val="auto"/>
              </w:rPr>
            </w:pPr>
          </w:p>
        </w:tc>
      </w:tr>
      <w:tr>
        <w:trPr>
          <w:trHeight w:val="200"/>
        </w:trPr>
        <w:tc>
          <w:tcPr>
            <w:tcW w:w="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20,831</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19,287</w:t>
            </w:r>
          </w:p>
        </w:tc>
        <w:tc>
          <w:tcPr>
            <w:tcW w:w="60" w:type="dxa"/>
            <w:vAlign w:val="bottom"/>
            <w:tcBorders>
              <w:bottom w:val="single" w:sz="8" w:color="auto"/>
            </w:tcBorders>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746"/>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1"/>
        </w:trPr>
        <w:tc>
          <w:tcPr>
            <w:tcW w:w="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6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6"/>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5"/>
                <w:szCs w:val="15"/>
                <w:color w:val="auto"/>
              </w:rPr>
            </w:pPr>
          </w:p>
        </w:tc>
      </w:tr>
      <w:tr>
        <w:trPr>
          <w:trHeight w:val="238"/>
        </w:trPr>
        <w:tc>
          <w:tcPr>
            <w:tcW w:w="2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60" w:type="dxa"/>
            <w:vAlign w:val="bottom"/>
          </w:tcPr>
          <w:p>
            <w:pPr>
              <w:spacing w:after="0"/>
              <w:rPr>
                <w:sz w:val="20"/>
                <w:szCs w:val="20"/>
                <w:color w:val="auto"/>
              </w:rPr>
            </w:pPr>
          </w:p>
        </w:tc>
        <w:tc>
          <w:tcPr>
            <w:tcW w:w="260" w:type="dxa"/>
            <w:vAlign w:val="bottom"/>
            <w:gridSpan w:val="3"/>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80,391</w:t>
            </w:r>
          </w:p>
        </w:tc>
        <w:tc>
          <w:tcPr>
            <w:tcW w:w="60" w:type="dxa"/>
            <w:vAlign w:val="bottom"/>
          </w:tcPr>
          <w:p>
            <w:pPr>
              <w:spacing w:after="0"/>
              <w:rPr>
                <w:sz w:val="20"/>
                <w:szCs w:val="20"/>
                <w:color w:val="auto"/>
              </w:rPr>
            </w:pPr>
          </w:p>
        </w:tc>
      </w:tr>
      <w:tr>
        <w:trPr>
          <w:trHeight w:val="207"/>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15,044</w:t>
            </w:r>
          </w:p>
        </w:tc>
        <w:tc>
          <w:tcPr>
            <w:tcW w:w="60" w:type="dxa"/>
            <w:vAlign w:val="bottom"/>
          </w:tcPr>
          <w:p>
            <w:pPr>
              <w:spacing w:after="0"/>
              <w:rPr>
                <w:sz w:val="17"/>
                <w:szCs w:val="17"/>
                <w:color w:val="auto"/>
              </w:rPr>
            </w:pPr>
          </w:p>
        </w:tc>
      </w:tr>
      <w:tr>
        <w:trPr>
          <w:trHeight w:val="233"/>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60" w:type="dxa"/>
            <w:vAlign w:val="bottom"/>
          </w:tcPr>
          <w:p>
            <w:pPr>
              <w:spacing w:after="0"/>
              <w:rPr>
                <w:sz w:val="20"/>
                <w:szCs w:val="20"/>
                <w:color w:val="auto"/>
              </w:rPr>
            </w:pPr>
          </w:p>
        </w:tc>
      </w:tr>
      <w:tr>
        <w:trPr>
          <w:trHeight w:val="236"/>
        </w:trPr>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20"/>
                <w:szCs w:val="20"/>
                <w:color w:val="auto"/>
              </w:rPr>
            </w:pPr>
          </w:p>
        </w:tc>
      </w:tr>
      <w:tr>
        <w:trPr>
          <w:trHeight w:val="200"/>
        </w:trPr>
        <w:tc>
          <w:tcPr>
            <w:tcW w:w="20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95,795</w:t>
            </w:r>
          </w:p>
        </w:tc>
        <w:tc>
          <w:tcPr>
            <w:tcW w:w="60" w:type="dxa"/>
            <w:vAlign w:val="bottom"/>
          </w:tcPr>
          <w:p>
            <w:pPr>
              <w:spacing w:after="0"/>
              <w:rPr>
                <w:sz w:val="17"/>
                <w:szCs w:val="17"/>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120"/>
          </w:cols>
          <w:pgMar w:left="320" w:top="121" w:right="339" w:bottom="1440" w:gutter="0" w:footer="0" w:header="0"/>
          <w:type w:val="continuous"/>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560" w:firstLine="169"/>
        <w:spacing w:after="0" w:line="291" w:lineRule="auto"/>
        <w:rPr>
          <w:sz w:val="20"/>
          <w:szCs w:val="20"/>
          <w:color w:val="auto"/>
        </w:rPr>
      </w:pPr>
      <w:r>
        <w:rPr>
          <w:rFonts w:ascii="Times New Roman" w:cs="Times New Roman" w:eastAsia="Times New Roman" w:hAnsi="Times New Roman"/>
          <w:sz w:val="17"/>
          <w:szCs w:val="17"/>
          <w:color w:val="auto"/>
        </w:rPr>
        <w:t>The following table sets forth our condensed consolidated results of operations for the specified periods as a percentage of our revenue for those periods presented: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20" w:type="dxa"/>
            <w:vAlign w:val="bottom"/>
            <w:tcBorders>
              <w:bottom w:val="single" w:sz="8" w:color="CCEEFF"/>
            </w:tcBorders>
          </w:tcPr>
          <w:p>
            <w:pPr>
              <w:spacing w:after="0"/>
              <w:rPr>
                <w:sz w:val="17"/>
                <w:szCs w:val="17"/>
                <w:color w:val="auto"/>
              </w:rPr>
            </w:pPr>
          </w:p>
        </w:tc>
        <w:tc>
          <w:tcPr>
            <w:tcW w:w="43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3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33"/>
        </w:trPr>
        <w:tc>
          <w:tcPr>
            <w:tcW w:w="3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5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Merger, acquisition, and restructuring costs</w:t>
            </w:r>
          </w:p>
        </w:tc>
        <w:tc>
          <w:tcPr>
            <w:tcW w:w="43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expenses</w:t>
            </w:r>
          </w:p>
        </w:tc>
        <w:tc>
          <w:tcPr>
            <w:tcW w:w="436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Loss from operations</w:t>
            </w:r>
          </w:p>
        </w:tc>
        <w:tc>
          <w:tcPr>
            <w:tcW w:w="4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5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color w:val="auto"/>
              </w:rPr>
              <w:t>Loss before income taxes</w:t>
            </w:r>
          </w:p>
        </w:tc>
        <w:tc>
          <w:tcPr>
            <w:tcW w:w="436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Benefit for income taxes</w:t>
            </w:r>
          </w:p>
        </w:tc>
        <w:tc>
          <w:tcPr>
            <w:tcW w:w="5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4360" w:type="dxa"/>
            <w:vAlign w:val="bottom"/>
          </w:tcPr>
          <w:p>
            <w:pPr>
              <w:spacing w:after="0"/>
              <w:rPr>
                <w:sz w:val="18"/>
                <w:szCs w:val="18"/>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8"/>
                <w:szCs w:val="18"/>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3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Note: Percentages may not sum due to rounding.</w:t>
            </w: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20" w:type="dxa"/>
            <w:vAlign w:val="bottom"/>
          </w:tcPr>
          <w:p>
            <w:pPr>
              <w:spacing w:after="0"/>
              <w:rPr>
                <w:sz w:val="14"/>
                <w:szCs w:val="14"/>
                <w:color w:val="auto"/>
              </w:rPr>
            </w:pPr>
          </w:p>
        </w:tc>
        <w:tc>
          <w:tcPr>
            <w:tcW w:w="436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March 31, 2024 and 2023</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19" w:lineRule="exact"/>
        <w:rPr>
          <w:sz w:val="20"/>
          <w:szCs w:val="20"/>
          <w:color w:val="auto"/>
        </w:rPr>
      </w:pPr>
    </w:p>
    <w:p>
      <w:pPr>
        <w:jc w:val="both"/>
        <w:ind w:right="480" w:firstLine="621"/>
        <w:spacing w:after="0" w:line="291" w:lineRule="auto"/>
        <w:rPr>
          <w:sz w:val="20"/>
          <w:szCs w:val="20"/>
          <w:color w:val="auto"/>
        </w:rPr>
      </w:pPr>
      <w:r>
        <w:rPr>
          <w:rFonts w:ascii="Times New Roman" w:cs="Times New Roman" w:eastAsia="Times New Roman" w:hAnsi="Times New Roman"/>
          <w:sz w:val="17"/>
          <w:szCs w:val="17"/>
          <w:color w:val="auto"/>
        </w:rPr>
        <w:t>Revenue increased $19.2 million, or 15%, for the three months ended March 31, 2024 compared to the prior year period. Our revenue growth was primarily driven by growth in CTV and mobile. Revenue from CTV and mobile increased by $13.5 million, or 23%, and $5.8 million, or 12%, respectively.</w:t>
      </w:r>
    </w:p>
    <w:p>
      <w:pPr>
        <w:spacing w:after="0" w:line="30"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 For instance, managed services tend to have higher take rates while reserve auctions tend to have lower take rates. For full-year 2024, we believe our revenue will increase compared to the prior year period and we expect CTV will be our biggest growth driver for the remainder of 2024.</w:t>
      </w: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06" w:lineRule="exact"/>
        <w:rPr>
          <w:sz w:val="20"/>
          <w:szCs w:val="20"/>
          <w:color w:val="auto"/>
        </w:rPr>
      </w:pPr>
    </w:p>
    <w:p>
      <w:pPr>
        <w:ind w:right="60" w:firstLine="621"/>
        <w:spacing w:after="0" w:line="266" w:lineRule="auto"/>
        <w:rPr>
          <w:sz w:val="20"/>
          <w:szCs w:val="20"/>
          <w:color w:val="auto"/>
        </w:rPr>
      </w:pPr>
      <w:r>
        <w:rPr>
          <w:rFonts w:ascii="Times New Roman" w:cs="Times New Roman" w:eastAsia="Times New Roman" w:hAnsi="Times New Roman"/>
          <w:sz w:val="17"/>
          <w:szCs w:val="17"/>
          <w:color w:val="auto"/>
        </w:rPr>
        <w:t>Cost of revenue decreased $58.9 million, or 47%, for the three months ended March 31, 2024 compared to the prior year period primarily due to a decrease of $69.7 million in depreciation and amortization, which was primarily driven by certain acquired intangible assets becoming fully amortized in the third quarter of 2023. This decrease was partially offset by increases of $5.6 million in cloud hosting, data center, and bandwidth expenses and $4.7 million in traffic acquisition costs, primarily due to revenue growth.</w:t>
      </w:r>
    </w:p>
    <w:p>
      <w:pPr>
        <w:spacing w:after="0" w:line="39"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 xml:space="preserve">We expect cost of revenue to decrease through the remainder of 2024 compared to 2023 in absolute dollars primarily due to certain acquired intangible assets becoming fully amortized in 2023 and due to the change in estimated useful life of our network hardware assets. On January 1, 2024, we extended the </w:t>
      </w:r>
      <w:r>
        <w:rPr>
          <w:rFonts w:ascii="Times New Roman" w:cs="Times New Roman" w:eastAsia="Times New Roman" w:hAnsi="Times New Roman"/>
          <w:sz w:val="17"/>
          <w:szCs w:val="17"/>
          <w:color w:val="212529"/>
        </w:rPr>
        <w:t>estimated useful lives of our network hardware assets from three years to five years, which was due to actual and expected longer refresh cycles for these assets. Based on the related asset balance as of December 31, 2023 and those placed in service during the three months ended March 31, 2024, the effect of this change is estimated to reduce depreciation expense by $11.4 million for the full year ending December 31, 2024 when compared to what depreciation expense would have been based on the original expected useful lives of three years.</w:t>
      </w:r>
    </w:p>
    <w:p>
      <w:pPr>
        <w:spacing w:after="0" w:line="57" w:lineRule="exact"/>
        <w:rPr>
          <w:sz w:val="20"/>
          <w:szCs w:val="20"/>
          <w:color w:val="auto"/>
        </w:rPr>
      </w:pPr>
    </w:p>
    <w:p>
      <w:pPr>
        <w:ind w:right="200" w:firstLine="621"/>
        <w:spacing w:after="0" w:line="272" w:lineRule="auto"/>
        <w:rPr>
          <w:sz w:val="20"/>
          <w:szCs w:val="20"/>
          <w:color w:val="auto"/>
        </w:rPr>
      </w:pPr>
      <w:r>
        <w:rPr>
          <w:rFonts w:ascii="Times New Roman" w:cs="Times New Roman" w:eastAsia="Times New Roman" w:hAnsi="Times New Roman"/>
          <w:sz w:val="17"/>
          <w:szCs w:val="17"/>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06" w:lineRule="exact"/>
        <w:rPr>
          <w:sz w:val="20"/>
          <w:szCs w:val="20"/>
          <w:color w:val="auto"/>
        </w:rPr>
      </w:pPr>
    </w:p>
    <w:p>
      <w:pPr>
        <w:ind w:right="240" w:firstLine="621"/>
        <w:spacing w:after="0" w:line="291" w:lineRule="auto"/>
        <w:rPr>
          <w:sz w:val="20"/>
          <w:szCs w:val="20"/>
          <w:color w:val="auto"/>
        </w:rPr>
      </w:pPr>
      <w:r>
        <w:rPr>
          <w:rFonts w:ascii="Times New Roman" w:cs="Times New Roman" w:eastAsia="Times New Roman" w:hAnsi="Times New Roman"/>
          <w:sz w:val="17"/>
          <w:szCs w:val="17"/>
          <w:color w:val="auto"/>
        </w:rPr>
        <w:t>Sales and marketing expenses decreased $9.4 million, or 18%, for the three months ended March 31, 2024 compared to the prior year period primarily due to a decrease of $12.4 million in depreciation and amortization, which was primarily driven by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color w:val="auto"/>
        </w:rPr>
        <w:t>certain acquired intangible assets becoming fully amortized in 2023. This decrease was partially offset by increases of $1.9 million of personnel related expenses and $1.7 million of event and travel-related expenses.</w:t>
      </w:r>
    </w:p>
    <w:p>
      <w:pPr>
        <w:spacing w:after="0" w:line="18" w:lineRule="exact"/>
        <w:rPr>
          <w:sz w:val="20"/>
          <w:szCs w:val="20"/>
          <w:color w:val="auto"/>
        </w:rPr>
      </w:pPr>
    </w:p>
    <w:p>
      <w:pPr>
        <w:ind w:right="280" w:firstLine="621"/>
        <w:spacing w:after="0" w:line="291" w:lineRule="auto"/>
        <w:rPr>
          <w:sz w:val="20"/>
          <w:szCs w:val="20"/>
          <w:color w:val="auto"/>
        </w:rPr>
      </w:pPr>
      <w:r>
        <w:rPr>
          <w:rFonts w:ascii="Times New Roman" w:cs="Times New Roman" w:eastAsia="Times New Roman" w:hAnsi="Times New Roman"/>
          <w:sz w:val="17"/>
          <w:szCs w:val="17"/>
          <w:color w:val="auto"/>
        </w:rPr>
        <w:t>We expect sales and marketing expenses to increase through the remainder of 2024 compared to 2023 in absolute dollars primarily due to increases in personnel related expenses partially offset by decreases in amortization related to previously acquired intangible assets.</w:t>
      </w:r>
    </w:p>
    <w:p>
      <w:pPr>
        <w:spacing w:after="0" w:line="30" w:lineRule="exact"/>
        <w:rPr>
          <w:sz w:val="20"/>
          <w:szCs w:val="20"/>
          <w:color w:val="auto"/>
        </w:rPr>
      </w:pPr>
    </w:p>
    <w:p>
      <w:pPr>
        <w:ind w:right="120" w:firstLine="621"/>
        <w:spacing w:after="0" w:line="291" w:lineRule="auto"/>
        <w:rPr>
          <w:sz w:val="20"/>
          <w:szCs w:val="20"/>
          <w:color w:val="auto"/>
        </w:rPr>
      </w:pPr>
      <w:r>
        <w:rPr>
          <w:rFonts w:ascii="Times New Roman" w:cs="Times New Roman" w:eastAsia="Times New Roman" w:hAnsi="Times New Roman"/>
          <w:sz w:val="17"/>
          <w:szCs w:val="17"/>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Technology and Development</w:t>
      </w:r>
    </w:p>
    <w:p>
      <w:pPr>
        <w:spacing w:after="0" w:line="106" w:lineRule="exact"/>
        <w:rPr>
          <w:sz w:val="20"/>
          <w:szCs w:val="20"/>
          <w:color w:val="auto"/>
        </w:rPr>
      </w:pPr>
    </w:p>
    <w:p>
      <w:pPr>
        <w:ind w:right="320" w:firstLine="621"/>
        <w:spacing w:after="0" w:line="291" w:lineRule="auto"/>
        <w:rPr>
          <w:sz w:val="20"/>
          <w:szCs w:val="20"/>
          <w:color w:val="auto"/>
        </w:rPr>
      </w:pPr>
      <w:r>
        <w:rPr>
          <w:rFonts w:ascii="Times New Roman" w:cs="Times New Roman" w:eastAsia="Times New Roman" w:hAnsi="Times New Roman"/>
          <w:sz w:val="17"/>
          <w:szCs w:val="17"/>
          <w:color w:val="auto"/>
        </w:rPr>
        <w:t>Technology and development expenses increased $2.7 million, or 11%, for the three months ended March 31, 2024 compared to the prior year period primarily due to increases of $1.3 million of event and travel-related expenses and $1.1 million of software license expenses.</w:t>
      </w:r>
    </w:p>
    <w:p>
      <w:pPr>
        <w:spacing w:after="0" w:line="30" w:lineRule="exact"/>
        <w:rPr>
          <w:sz w:val="20"/>
          <w:szCs w:val="20"/>
          <w:color w:val="auto"/>
        </w:rPr>
      </w:pPr>
    </w:p>
    <w:p>
      <w:pPr>
        <w:ind w:right="340" w:firstLine="621"/>
        <w:spacing w:after="0" w:line="291" w:lineRule="auto"/>
        <w:rPr>
          <w:sz w:val="20"/>
          <w:szCs w:val="20"/>
          <w:color w:val="auto"/>
        </w:rPr>
      </w:pPr>
      <w:r>
        <w:rPr>
          <w:rFonts w:ascii="Times New Roman" w:cs="Times New Roman" w:eastAsia="Times New Roman" w:hAnsi="Times New Roman"/>
          <w:sz w:val="17"/>
          <w:szCs w:val="17"/>
          <w:color w:val="auto"/>
        </w:rPr>
        <w:t>We expect technology and development expenses to increase through the remainder of 2024 compared to 2023 in absolute dollars due to increases in personnel related expenses and software license expenses.</w:t>
      </w:r>
    </w:p>
    <w:p>
      <w:pPr>
        <w:spacing w:after="0" w:line="108"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97" w:lineRule="exact"/>
        <w:rPr>
          <w:sz w:val="20"/>
          <w:szCs w:val="20"/>
          <w:color w:val="auto"/>
        </w:rPr>
      </w:pPr>
    </w:p>
    <w:p>
      <w:pPr>
        <w:jc w:val="both"/>
        <w:ind w:right="460" w:firstLine="621"/>
        <w:spacing w:after="0" w:line="272" w:lineRule="auto"/>
        <w:rPr>
          <w:sz w:val="20"/>
          <w:szCs w:val="20"/>
          <w:color w:val="auto"/>
        </w:rPr>
      </w:pPr>
      <w:r>
        <w:rPr>
          <w:rFonts w:ascii="Times New Roman" w:cs="Times New Roman" w:eastAsia="Times New Roman" w:hAnsi="Times New Roman"/>
          <w:sz w:val="17"/>
          <w:szCs w:val="17"/>
          <w:color w:val="auto"/>
        </w:rPr>
        <w:t>General and administrative expenses increased $5.6 million, or 26%, for the three months ended March 31, 2024 compared to the prior year period primarily due to increases of $3.1 million in expenses associated with refinancing our 2021 Credit Agreement (defined below) and $2.2 million in personnel expenses.</w:t>
      </w:r>
    </w:p>
    <w:p>
      <w:pPr>
        <w:spacing w:after="0" w:line="21" w:lineRule="exact"/>
        <w:rPr>
          <w:sz w:val="20"/>
          <w:szCs w:val="20"/>
          <w:color w:val="auto"/>
        </w:rPr>
      </w:pPr>
    </w:p>
    <w:p>
      <w:pPr>
        <w:ind w:right="400" w:firstLine="621"/>
        <w:spacing w:after="0" w:line="275" w:lineRule="auto"/>
        <w:rPr>
          <w:sz w:val="20"/>
          <w:szCs w:val="20"/>
          <w:color w:val="auto"/>
        </w:rPr>
      </w:pPr>
      <w:r>
        <w:rPr>
          <w:rFonts w:ascii="Times New Roman" w:cs="Times New Roman" w:eastAsia="Times New Roman" w:hAnsi="Times New Roman"/>
          <w:sz w:val="17"/>
          <w:szCs w:val="17"/>
          <w:color w:val="auto"/>
        </w:rPr>
        <w:t>We expect general and administrative expenses to increase the remainder of 2024 compared to 2023 in absolute dollars primarily due to increases in personnel related expenses.</w:t>
      </w:r>
    </w:p>
    <w:p>
      <w:pPr>
        <w:spacing w:after="0" w:line="44" w:lineRule="exact"/>
        <w:rPr>
          <w:sz w:val="20"/>
          <w:szCs w:val="20"/>
          <w:color w:val="auto"/>
        </w:rPr>
      </w:pPr>
    </w:p>
    <w:p>
      <w:pPr>
        <w:ind w:right="160" w:firstLine="621"/>
        <w:spacing w:after="0" w:line="291" w:lineRule="auto"/>
        <w:rPr>
          <w:sz w:val="20"/>
          <w:szCs w:val="20"/>
          <w:color w:val="auto"/>
        </w:rPr>
      </w:pPr>
      <w:r>
        <w:rPr>
          <w:rFonts w:ascii="Times New Roman" w:cs="Times New Roman" w:eastAsia="Times New Roman" w:hAnsi="Times New Roman"/>
          <w:sz w:val="17"/>
          <w:szCs w:val="17"/>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Merger, Acquisition, and Restructuring Costs</w:t>
      </w:r>
    </w:p>
    <w:p>
      <w:pPr>
        <w:spacing w:after="0" w:line="184"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Merger, acquisition, and restructuring costs decreased $7.5 million, or 100% for the three months ended March 31, 2024 compared to the prior year period. There were no costs incurred for the three months ended March 31, 2024. Merger, acquisition, and restructuring costs incurred during the three months ended March 31, 2023 included $3.4 million of severance related expenses, $2.2 million of facilities related loss contracts, and $1.4 million of exit costs, all due to restructuring activities as a result of consolidating our legacy CTV and SpotX CTV platforms following the acquisition of SpotX, Inc.</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8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74"/>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4"/>
          </w:tcPr>
          <w:p>
            <w:pPr>
              <w:jc w:val="right"/>
              <w:ind w:right="957"/>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2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8,175</w:t>
            </w:r>
          </w:p>
        </w:tc>
      </w:tr>
      <w:tr>
        <w:trPr>
          <w:trHeight w:val="220"/>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(gain) loss,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7,387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(8,549)</w:t>
            </w:r>
          </w:p>
        </w:tc>
      </w:tr>
      <w:tr>
        <w:trPr>
          <w:trHeight w:val="22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w:t>
            </w:r>
          </w:p>
        </w:tc>
      </w:tr>
      <w:tr>
        <w:trPr>
          <w:trHeight w:val="23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11,738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expense, net decreased $0.2 million for the three months ended March 31, 2024 compared to the prior year period.</w:t>
      </w:r>
    </w:p>
    <w:p>
      <w:pPr>
        <w:spacing w:after="0" w:line="102" w:lineRule="exact"/>
        <w:rPr>
          <w:sz w:val="20"/>
          <w:szCs w:val="20"/>
          <w:color w:val="auto"/>
        </w:rPr>
      </w:pPr>
    </w:p>
    <w:p>
      <w:pPr>
        <w:jc w:val="both"/>
        <w:ind w:right="120" w:firstLine="621"/>
        <w:spacing w:after="0" w:line="272" w:lineRule="auto"/>
        <w:rPr>
          <w:sz w:val="20"/>
          <w:szCs w:val="20"/>
          <w:color w:val="auto"/>
        </w:rPr>
      </w:pPr>
      <w:r>
        <w:rPr>
          <w:rFonts w:ascii="Times New Roman" w:cs="Times New Roman" w:eastAsia="Times New Roman" w:hAnsi="Times New Roman"/>
          <w:sz w:val="17"/>
          <w:szCs w:val="17"/>
          <w:color w:val="auto"/>
        </w:rPr>
        <w:t>Foreign exchange (gain) loss, net increased $2.5 million for the three months ended March 31, 2024 compared to the prior year period, respectively, due to movements in foreign currency exchange rates and the amount of foreign currency-denominated cash, receivables, and payables, which were impacted by our billings to buyers, payments to sellers, and intercompany balances.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The loss on extinguishment of debt of $7.4 million for the three months ended March 31, 2024, was due to the refinancing of our 2021 Credit Agreement (defined below). The gain on extinguishment of debt of $8.5 million during the three months ended March 31, 2023 was due to the repurchase of portions of our Convertible Senior Notes (defined below).</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(Benefit) for Income Taxes</w:t>
      </w:r>
    </w:p>
    <w:p>
      <w:pPr>
        <w:spacing w:after="0" w:line="171" w:lineRule="exact"/>
        <w:rPr>
          <w:sz w:val="20"/>
          <w:szCs w:val="20"/>
          <w:color w:val="auto"/>
        </w:rPr>
      </w:pPr>
    </w:p>
    <w:p>
      <w:pPr>
        <w:ind w:right="60" w:firstLine="172"/>
        <w:spacing w:after="0" w:line="247" w:lineRule="auto"/>
        <w:rPr>
          <w:sz w:val="20"/>
          <w:szCs w:val="20"/>
          <w:color w:val="auto"/>
        </w:rPr>
      </w:pPr>
      <w:r>
        <w:rPr>
          <w:rFonts w:ascii="Times New Roman" w:cs="Times New Roman" w:eastAsia="Times New Roman" w:hAnsi="Times New Roman"/>
          <w:sz w:val="17"/>
          <w:szCs w:val="17"/>
          <w:color w:val="auto"/>
        </w:rPr>
        <w:t>We recorded an income tax benefit of $7.8 million for the three months ended March 31, 2024 and an income tax benefit of $0.3 million for the three months ended March 31, 2023. The tax benefit for the three months ended March 31, 2024 was primarily the result of the Company's ability to recognize DTAs subject to the domestic valuation allowance, Base Erosion and Anti-Abuse Tax (BEAT), and the foreign income tax provision. The tax benefit for the three months ended March 31, 2023 was primarily the result of the Company's ability to recognize DTAs subject to the domestic valuation allowance and the foreign income tax provision.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Performance Metrics</w:t>
      </w:r>
    </w:p>
    <w:p>
      <w:pPr>
        <w:spacing w:after="0" w:line="104"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w:t>
      </w:r>
    </w:p>
    <w:p>
      <w:pPr>
        <w:spacing w:after="0" w:line="395"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tbl>
      <w:tblPr>
        <w:tblLayout w:type="fixed"/>
        <w:tblInd w:w="7260" w:type="dxa"/>
        <w:tblCellMar>
          <w:top w:w="0" w:type="dxa"/>
          <w:left w:w="0" w:type="dxa"/>
          <w:bottom w:w="0" w:type="dxa"/>
          <w:right w:w="0" w:type="dxa"/>
        </w:tblCellMar>
      </w:tblPr>
      <w:tr>
        <w:trPr>
          <w:trHeight w:val="144"/>
        </w:trPr>
        <w:tc>
          <w:tcPr>
            <w:tcW w:w="13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5"/>
              </w:rPr>
              <w:t>Favorable/</w:t>
            </w:r>
          </w:p>
        </w:tc>
        <w:tc>
          <w:tcPr>
            <w:tcW w:w="0" w:type="dxa"/>
            <w:vAlign w:val="bottom"/>
          </w:tcPr>
          <w:p>
            <w:pPr>
              <w:spacing w:after="0"/>
              <w:rPr>
                <w:sz w:val="1"/>
                <w:szCs w:val="1"/>
                <w:color w:val="auto"/>
              </w:rPr>
            </w:pPr>
          </w:p>
        </w:tc>
      </w:tr>
      <w:tr>
        <w:trPr>
          <w:trHeight w:val="183"/>
        </w:trPr>
        <w:tc>
          <w:tcPr>
            <w:tcW w:w="13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(Unfavorable)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6350</wp:posOffset>
            </wp:positionV>
            <wp:extent cx="2529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255"/>
                    </a:xfrm>
                    <a:prstGeom prst="rect">
                      <a:avLst/>
                    </a:prstGeom>
                    <a:noFill/>
                  </pic:spPr>
                </pic:pic>
              </a:graphicData>
            </a:graphic>
          </wp:anchor>
        </w:drawing>
      </w:r>
    </w:p>
    <w:p>
      <w:pPr>
        <w:ind w:left="81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Measures and non-GAAP Financial Measures:</w:t>
            </w:r>
          </w:p>
        </w:tc>
        <w:tc>
          <w:tcPr>
            <w:tcW w:w="20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20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149,319</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130,150</w:t>
            </w: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6"/>
              </w:rPr>
              <w:t>15%</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2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83,417</w:t>
            </w:r>
          </w:p>
        </w:tc>
        <w:tc>
          <w:tcPr>
            <w:tcW w:w="4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5,322</w:t>
            </w:r>
          </w:p>
        </w:tc>
        <w:tc>
          <w:tcPr>
            <w:tcW w:w="1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NM</w:t>
            </w:r>
          </w:p>
        </w:tc>
      </w:tr>
      <w:tr>
        <w:trPr>
          <w:trHeight w:val="220"/>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Contribution ex-TAC</w:t>
            </w:r>
          </w:p>
        </w:tc>
        <w:tc>
          <w:tcPr>
            <w:tcW w:w="20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130,553</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116,049</w:t>
            </w: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6"/>
              </w:rPr>
              <w:t>12%</w:t>
            </w:r>
          </w:p>
        </w:tc>
      </w:tr>
      <w:tr>
        <w:trPr>
          <w:trHeight w:val="22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2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(17,757)</w:t>
            </w:r>
          </w:p>
        </w:tc>
        <w:tc>
          <w:tcPr>
            <w:tcW w:w="4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(98,732)</w:t>
            </w:r>
          </w:p>
        </w:tc>
        <w:tc>
          <w:tcPr>
            <w:tcW w:w="108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color w:val="auto"/>
                <w:w w:val="96"/>
              </w:rPr>
              <w:t>82%</w:t>
            </w:r>
          </w:p>
        </w:tc>
      </w:tr>
      <w:tr>
        <w:trPr>
          <w:trHeight w:val="226"/>
        </w:trPr>
        <w:tc>
          <w:tcPr>
            <w:tcW w:w="5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20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25,026</w:t>
            </w:r>
          </w:p>
        </w:tc>
        <w:tc>
          <w:tcPr>
            <w:tcW w:w="4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23,338</w:t>
            </w: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6"/>
              </w:rPr>
              <w:t>7%</w:t>
            </w:r>
          </w:p>
        </w:tc>
      </w:tr>
    </w:tbl>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Contribution ex-TAC</w:t>
      </w:r>
    </w:p>
    <w:p>
      <w:pPr>
        <w:spacing w:after="0" w:line="91" w:lineRule="exact"/>
        <w:rPr>
          <w:sz w:val="20"/>
          <w:szCs w:val="20"/>
          <w:color w:val="auto"/>
        </w:rPr>
      </w:pPr>
    </w:p>
    <w:p>
      <w:pPr>
        <w:ind w:right="20" w:firstLine="621"/>
        <w:spacing w:after="0" w:line="263" w:lineRule="auto"/>
        <w:rPr>
          <w:sz w:val="20"/>
          <w:szCs w:val="20"/>
          <w:color w:val="auto"/>
        </w:rPr>
      </w:pPr>
      <w:r>
        <w:rPr>
          <w:rFonts w:ascii="Times New Roman" w:cs="Times New Roman" w:eastAsia="Times New Roman" w:hAnsi="Times New Roman"/>
          <w:sz w:val="17"/>
          <w:szCs w:val="17"/>
          <w:color w:val="auto"/>
        </w:rPr>
        <w:t>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assessing our performance and facilitates a consistent comparison against our core business without considering the impact of traffic acquisition costs related to revenue reported on a gross basis.</w:t>
      </w:r>
    </w:p>
    <w:p>
      <w:pPr>
        <w:spacing w:after="0" w:line="54" w:lineRule="exact"/>
        <w:rPr>
          <w:sz w:val="20"/>
          <w:szCs w:val="20"/>
          <w:color w:val="auto"/>
        </w:rPr>
      </w:pPr>
    </w:p>
    <w:p>
      <w:pPr>
        <w:ind w:right="60" w:firstLine="621"/>
        <w:spacing w:after="0" w:line="263" w:lineRule="auto"/>
        <w:rPr>
          <w:sz w:val="20"/>
          <w:szCs w:val="20"/>
          <w:color w:val="auto"/>
        </w:rPr>
      </w:pPr>
      <w:r>
        <w:rPr>
          <w:rFonts w:ascii="Times New Roman" w:cs="Times New Roman" w:eastAsia="Times New Roman" w:hAnsi="Times New Roman"/>
          <w:sz w:val="17"/>
          <w:szCs w:val="17"/>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calculation of gross profit and reconciliation of gross profit to Contribution ex-TAC for the three months ended March 31, 2024 and 2023:</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gridSpan w:val="4"/>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140" w:type="dxa"/>
            <w:vAlign w:val="bottom"/>
          </w:tcPr>
          <w:p>
            <w:pPr>
              <w:spacing w:after="0"/>
              <w:rPr>
                <w:sz w:val="15"/>
                <w:szCs w:val="15"/>
                <w:color w:val="auto"/>
              </w:rPr>
            </w:pPr>
          </w:p>
        </w:tc>
      </w:tr>
      <w:tr>
        <w:trPr>
          <w:trHeight w:val="23"/>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7"/>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8"/>
              </w:rPr>
              <w:t>March 31, 2023</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3"/>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5"/>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5"/>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5"/>
                <w:szCs w:val="15"/>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149,319</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130,150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20"/>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Cost of revenue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65,902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124,828</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83,417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13"/>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Add back: Cost of revenue, excluding TAC</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47,136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110,727</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ex-TAC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130,553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116,049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63" w:lineRule="exact"/>
        <w:rPr>
          <w:sz w:val="20"/>
          <w:szCs w:val="20"/>
          <w:color w:val="auto"/>
        </w:rPr>
      </w:pPr>
    </w:p>
    <w:p>
      <w:pPr>
        <w:ind w:right="340" w:firstLine="621"/>
        <w:spacing w:after="0" w:line="291" w:lineRule="auto"/>
        <w:rPr>
          <w:sz w:val="20"/>
          <w:szCs w:val="20"/>
          <w:color w:val="auto"/>
        </w:rPr>
      </w:pPr>
      <w:r>
        <w:rPr>
          <w:rFonts w:ascii="Times New Roman" w:cs="Times New Roman" w:eastAsia="Times New Roman" w:hAnsi="Times New Roman"/>
          <w:sz w:val="17"/>
          <w:szCs w:val="17"/>
          <w:color w:val="auto"/>
        </w:rPr>
        <w:t>We track the breakdown of Contribution ex-TAC across channels to better understand how our clients are transacting on our platform, which informs decisions as to business strategy and the allocation of resources and capital. The following table presents Contribution ex-TAC by channel:</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5"/>
              </w:rPr>
              <w:t>Contribution ex-TAC</w:t>
            </w:r>
          </w:p>
        </w:tc>
        <w:tc>
          <w:tcPr>
            <w:tcW w:w="1160" w:type="dxa"/>
            <w:vAlign w:val="bottom"/>
          </w:tcPr>
          <w:p>
            <w:pPr>
              <w:spacing w:after="0"/>
              <w:rPr>
                <w:sz w:val="15"/>
                <w:szCs w:val="15"/>
                <w:color w:val="auto"/>
              </w:rPr>
            </w:pPr>
          </w:p>
        </w:tc>
      </w:tr>
      <w:tr>
        <w:trPr>
          <w:trHeight w:val="23"/>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7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160" w:type="dxa"/>
            <w:vAlign w:val="bottom"/>
            <w:tcBorders>
              <w:bottom w:val="single" w:sz="8" w:color="auto"/>
            </w:tcBorders>
          </w:tcPr>
          <w:p>
            <w:pPr>
              <w:spacing w:after="0"/>
              <w:rPr>
                <w:sz w:val="15"/>
                <w:szCs w:val="15"/>
                <w:color w:val="auto"/>
              </w:rPr>
            </w:pPr>
          </w:p>
        </w:tc>
      </w:tr>
      <w:tr>
        <w:trPr>
          <w:trHeight w:val="187"/>
        </w:trPr>
        <w:tc>
          <w:tcPr>
            <w:tcW w:w="7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8"/>
              </w:rPr>
              <w:t>March 31, 2023</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187"/>
        </w:trPr>
        <w:tc>
          <w:tcPr>
            <w:tcW w:w="7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Channel: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74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CTV</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46,412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220"/>
        </w:trPr>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Mobile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20"/>
        </w:trPr>
        <w:tc>
          <w:tcPr>
            <w:tcW w:w="7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Desktop</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22,740</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116,049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Contribution ex-TAC increased $14.5 million, or 12%, for the three months ended March 31, 2024 compared to the three months ended March 31, 2023.</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Contribution ex-TAC was primarily due to the growth drivers described above for revenue.</w:t>
      </w:r>
    </w:p>
    <w:p>
      <w:pPr>
        <w:spacing w:after="0" w:line="70" w:lineRule="exact"/>
        <w:rPr>
          <w:sz w:val="20"/>
          <w:szCs w:val="20"/>
          <w:color w:val="auto"/>
        </w:rPr>
      </w:pPr>
    </w:p>
    <w:p>
      <w:pPr>
        <w:ind w:right="80" w:firstLine="621"/>
        <w:spacing w:after="0" w:line="275" w:lineRule="auto"/>
        <w:rPr>
          <w:sz w:val="20"/>
          <w:szCs w:val="20"/>
          <w:color w:val="auto"/>
        </w:rPr>
      </w:pPr>
      <w:r>
        <w:rPr>
          <w:rFonts w:ascii="Times New Roman" w:cs="Times New Roman" w:eastAsia="Times New Roman" w:hAnsi="Times New Roman"/>
          <w:sz w:val="17"/>
          <w:szCs w:val="17"/>
          <w:color w:val="auto"/>
        </w:rPr>
        <w:t>For the remainder of 2024, we expect Contribution ex-TAC to increase compared to the prior year period and we expect CTV will be our biggest growth driver in 2024.</w:t>
      </w:r>
    </w:p>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246"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gains or losses on extinguishment of debt, other debt refinancing expenses, non-operational real estate and other expenses (income), net, and provision (benefit) for income taxes. We believe Adjusted EBITDA is useful to investors in evaluating our performance for the following reasons:</w:t>
      </w:r>
    </w:p>
    <w:p>
      <w:pPr>
        <w:spacing w:after="0" w:line="54" w:lineRule="exact"/>
        <w:rPr>
          <w:sz w:val="20"/>
          <w:szCs w:val="20"/>
          <w:color w:val="auto"/>
        </w:rPr>
      </w:pPr>
    </w:p>
    <w:p>
      <w:pPr>
        <w:ind w:left="620" w:right="180" w:hanging="306"/>
        <w:spacing w:after="0" w:line="272"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46" w:lineRule="exact"/>
        <w:rPr>
          <w:rFonts w:ascii="Times New Roman" w:cs="Times New Roman" w:eastAsia="Times New Roman" w:hAnsi="Times New Roman"/>
          <w:sz w:val="17"/>
          <w:szCs w:val="17"/>
          <w:color w:val="auto"/>
        </w:rPr>
      </w:pPr>
    </w:p>
    <w:p>
      <w:pPr>
        <w:ind w:left="620" w:right="200" w:hanging="306"/>
        <w:spacing w:after="0" w:line="272"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spacing w:after="0" w:line="33" w:lineRule="exact"/>
        <w:rPr>
          <w:rFonts w:ascii="Times New Roman" w:cs="Times New Roman" w:eastAsia="Times New Roman" w:hAnsi="Times New Roman"/>
          <w:sz w:val="17"/>
          <w:szCs w:val="17"/>
          <w:color w:val="auto"/>
        </w:rPr>
      </w:pPr>
    </w:p>
    <w:p>
      <w:pPr>
        <w:jc w:val="both"/>
        <w:ind w:left="620" w:right="80" w:hanging="306"/>
        <w:spacing w:after="0" w:line="272"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37" w:lineRule="exact"/>
        <w:rPr>
          <w:sz w:val="20"/>
          <w:szCs w:val="20"/>
          <w:color w:val="auto"/>
        </w:rPr>
      </w:pPr>
    </w:p>
    <w:p>
      <w:pPr>
        <w:ind w:firstLine="621"/>
        <w:spacing w:after="0" w:line="272" w:lineRule="auto"/>
        <w:rPr>
          <w:sz w:val="20"/>
          <w:szCs w:val="20"/>
          <w:color w:val="auto"/>
        </w:rPr>
      </w:pPr>
      <w:r>
        <w:rPr>
          <w:rFonts w:ascii="Times New Roman" w:cs="Times New Roman" w:eastAsia="Times New Roman" w:hAnsi="Times New Roman"/>
          <w:sz w:val="17"/>
          <w:szCs w:val="17"/>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right="100" w:hanging="306"/>
        <w:spacing w:after="0" w:line="29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17" w:lineRule="exact"/>
        <w:rPr>
          <w:rFonts w:ascii="Times New Roman" w:cs="Times New Roman" w:eastAsia="Times New Roman" w:hAnsi="Times New Roman"/>
          <w:sz w:val="17"/>
          <w:szCs w:val="17"/>
          <w:color w:val="auto"/>
        </w:rPr>
      </w:pPr>
    </w:p>
    <w:p>
      <w:pPr>
        <w:ind w:left="620" w:right="540" w:hanging="306"/>
        <w:spacing w:after="0" w:line="29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charges are non-cash charges related to goodwill, intangible assets and/or long-lived assets.</w:t>
      </w:r>
    </w:p>
    <w:p>
      <w:pPr>
        <w:spacing w:after="0" w:line="102" w:lineRule="exact"/>
        <w:rPr>
          <w:rFonts w:ascii="Times New Roman" w:cs="Times New Roman" w:eastAsia="Times New Roman" w:hAnsi="Times New Roman"/>
          <w:sz w:val="17"/>
          <w:szCs w:val="17"/>
          <w:color w:val="auto"/>
        </w:rPr>
      </w:pPr>
    </w:p>
    <w:p>
      <w:pPr>
        <w:ind w:left="620" w:right="60" w:hanging="306"/>
        <w:spacing w:after="0" w:line="29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certain cash and non-cash charges related to acquisition and related items, such as amortization of acquired intangible assets, merger, acquisition, or restructuring related severance costs, and changes in the fair value of contingent consideration.</w:t>
      </w:r>
    </w:p>
    <w:p>
      <w:pPr>
        <w:spacing w:after="0" w:line="17" w:lineRule="exact"/>
        <w:rPr>
          <w:rFonts w:ascii="Times New Roman" w:cs="Times New Roman" w:eastAsia="Times New Roman" w:hAnsi="Times New Roman"/>
          <w:sz w:val="17"/>
          <w:szCs w:val="17"/>
          <w:color w:val="auto"/>
        </w:rPr>
      </w:pPr>
    </w:p>
    <w:p>
      <w:pPr>
        <w:ind w:left="620" w:right="360" w:hanging="306"/>
        <w:spacing w:after="0" w:line="29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and non-cash charges and changes in, or cash requirements for, acquisition and related items, such as certain transaction expenses.</w:t>
      </w:r>
    </w:p>
    <w:p>
      <w:pPr>
        <w:spacing w:after="0" w:line="30" w:lineRule="exact"/>
        <w:rPr>
          <w:rFonts w:ascii="Times New Roman" w:cs="Times New Roman" w:eastAsia="Times New Roman" w:hAnsi="Times New Roman"/>
          <w:sz w:val="17"/>
          <w:szCs w:val="17"/>
          <w:color w:val="auto"/>
        </w:rPr>
      </w:pPr>
    </w:p>
    <w:p>
      <w:pPr>
        <w:ind w:left="620" w:right="140" w:hanging="306"/>
        <w:spacing w:after="0" w:line="29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and non-cash charges related to certain financing transactions such as gains or losses on extinguishment of debt or other debt refinancing expenses.</w:t>
      </w:r>
    </w:p>
    <w:p>
      <w:pPr>
        <w:spacing w:after="0" w:line="30" w:lineRule="exact"/>
        <w:rPr>
          <w:rFonts w:ascii="Times New Roman" w:cs="Times New Roman" w:eastAsia="Times New Roman" w:hAnsi="Times New Roman"/>
          <w:sz w:val="17"/>
          <w:szCs w:val="17"/>
          <w:color w:val="auto"/>
        </w:rPr>
      </w:pPr>
    </w:p>
    <w:p>
      <w:pPr>
        <w:ind w:left="620" w:right="600" w:hanging="306"/>
        <w:spacing w:after="0" w:line="29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changes in our working capital needs, capital expenditures, non-operational real estate expenses or income, or contractual commitments.</w:t>
      </w:r>
    </w:p>
    <w:p>
      <w:pPr>
        <w:spacing w:after="0" w:line="1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requirements for income taxes and the cash impact of other income or expense.</w:t>
      </w:r>
    </w:p>
    <w:p>
      <w:pPr>
        <w:spacing w:after="0" w:line="10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may calculate Adjusted EBITDA differently than we do, limiting its usefulness as a comparative measure.</w:t>
      </w:r>
    </w:p>
    <w:p>
      <w:pPr>
        <w:spacing w:after="0" w:line="180" w:lineRule="exact"/>
        <w:rPr>
          <w:sz w:val="20"/>
          <w:szCs w:val="20"/>
          <w:color w:val="auto"/>
        </w:rPr>
      </w:pPr>
    </w:p>
    <w:p>
      <w:pPr>
        <w:jc w:val="both"/>
        <w:ind w:right="80" w:firstLine="621"/>
        <w:spacing w:after="0" w:line="272" w:lineRule="auto"/>
        <w:rPr>
          <w:sz w:val="20"/>
          <w:szCs w:val="20"/>
          <w:color w:val="auto"/>
        </w:rPr>
      </w:pPr>
      <w:r>
        <w:rPr>
          <w:rFonts w:ascii="Times New Roman" w:cs="Times New Roman" w:eastAsia="Times New Roman" w:hAnsi="Times New Roman"/>
          <w:sz w:val="17"/>
          <w:szCs w:val="17"/>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137" w:lineRule="exact"/>
        <w:rPr>
          <w:sz w:val="20"/>
          <w:szCs w:val="20"/>
          <w:color w:val="auto"/>
        </w:rPr>
      </w:pPr>
    </w:p>
    <w:p>
      <w:pPr>
        <w:ind w:right="18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a reconciliation of net loss, the most comparable GAAP measure, to Adjusted EBITDA for the three months ended March 31, 2024 and 2023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5"/>
                <w:szCs w:val="15"/>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
        </w:trPr>
        <w:tc>
          <w:tcPr>
            <w:tcW w:w="8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(98,732)</w:t>
            </w:r>
          </w:p>
        </w:tc>
      </w:tr>
      <w:tr>
        <w:trPr>
          <w:trHeight w:val="220"/>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back (deduct):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 expense, excluding amortization of acquired intangible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9,366</w:t>
            </w:r>
          </w:p>
        </w:tc>
      </w:tr>
      <w:tr>
        <w:trPr>
          <w:trHeight w:val="220"/>
        </w:trPr>
        <w:tc>
          <w:tcPr>
            <w:tcW w:w="8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acquired intangibles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86,429</w:t>
            </w:r>
          </w:p>
        </w:tc>
      </w:tr>
      <w:tr>
        <w:trPr>
          <w:trHeight w:val="22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19,287</w:t>
            </w:r>
          </w:p>
        </w:tc>
      </w:tr>
      <w:tr>
        <w:trPr>
          <w:trHeight w:val="220"/>
        </w:trPr>
        <w:tc>
          <w:tcPr>
            <w:tcW w:w="8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Merger, acquisition, and restructuring costs, excluding stock-based compensation expense</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7,322</w:t>
            </w:r>
          </w:p>
        </w:tc>
      </w:tr>
      <w:tr>
        <w:trPr>
          <w:trHeight w:val="220"/>
        </w:trPr>
        <w:tc>
          <w:tcPr>
            <w:tcW w:w="8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Non-operational real estate and other expense,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20"/>
        </w:trPr>
        <w:tc>
          <w:tcPr>
            <w:tcW w:w="8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8,175</w:t>
            </w:r>
          </w:p>
        </w:tc>
      </w:tr>
      <w:tr>
        <w:trPr>
          <w:trHeight w:val="22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exchange (gain) loss,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20"/>
        </w:trPr>
        <w:tc>
          <w:tcPr>
            <w:tcW w:w="8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(8,549)</w:t>
            </w:r>
          </w:p>
        </w:tc>
      </w:tr>
      <w:tr>
        <w:trPr>
          <w:trHeight w:val="22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debt refinancing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Benefit for income taxes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3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 w:firstLine="621"/>
        <w:spacing w:after="0" w:line="272" w:lineRule="auto"/>
        <w:rPr>
          <w:sz w:val="20"/>
          <w:szCs w:val="20"/>
          <w:color w:val="auto"/>
        </w:rPr>
      </w:pPr>
      <w:r>
        <w:rPr>
          <w:rFonts w:ascii="Times New Roman" w:cs="Times New Roman" w:eastAsia="Times New Roman" w:hAnsi="Times New Roman"/>
          <w:sz w:val="17"/>
          <w:szCs w:val="17"/>
          <w:color w:val="auto"/>
        </w:rPr>
        <w:t>Adjusted EBITDA increased by $1.7 million during the three months ended March 31, 2024 compared to the prior year period, primarily due to increases in revenue exceeding increases in operating expenses, such as increases in cloud hosting, data center, and bandwidth costs, traffic acquisition costs, event and travel-related expenses, and personnel expenses, which are discussed in section "Comparison of the Three Months Ended March 31, 2024 and 2023."</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80" w:lineRule="exact"/>
        <w:rPr>
          <w:sz w:val="20"/>
          <w:szCs w:val="20"/>
          <w:color w:val="auto"/>
        </w:rPr>
      </w:pPr>
    </w:p>
    <w:p>
      <w:pPr>
        <w:ind w:right="20" w:firstLine="621"/>
        <w:spacing w:after="0" w:line="247" w:lineRule="auto"/>
        <w:rPr>
          <w:sz w:val="20"/>
          <w:szCs w:val="20"/>
          <w:color w:val="auto"/>
        </w:rPr>
      </w:pPr>
      <w:r>
        <w:rPr>
          <w:rFonts w:ascii="Times New Roman" w:cs="Times New Roman" w:eastAsia="Times New Roman" w:hAnsi="Times New Roman"/>
          <w:sz w:val="17"/>
          <w:szCs w:val="17"/>
          <w:color w:val="auto"/>
        </w:rPr>
        <w:t>As of March 31, 2024, we had cash and cash equivalents of $252.8 million, of which $40.3 million was held in foreign currency denominated cash accounts, and an aggregate gross principal amount of $570.1 million of indebtedness outstanding under our 2024 Term Loan B Facility (as defined below) and our Convertible Senior Notes (as defined below). In addition, we were party to a $175.0 million 2024 Revolving Credit Facility (as defined below), of which approximately $5.2 million was assigned to outstanding but undrawn letters of credit. See "Capital Resources" below for further information about our outstanding debt.</w:t>
      </w:r>
    </w:p>
    <w:p>
      <w:pPr>
        <w:spacing w:after="0" w:line="68"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Our principal cash requirements for the twelve-month period following this report primarily consists of personnel costs, contractual payment obligations, including office leases, data center costs and cloud hosting costs, capital expenditures, payment of interest and required principal payments on our Convertible Senior Notes and our 2024 Term Loan B Facility,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41"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The impacts from changes in working capital and capital expenditures can significantly impact our cash flows and therefore, our liquidity during any period presented.</w:t>
      </w:r>
    </w:p>
    <w:p>
      <w:pPr>
        <w:spacing w:after="0" w:line="54" w:lineRule="exact"/>
        <w:rPr>
          <w:sz w:val="20"/>
          <w:szCs w:val="20"/>
          <w:color w:val="auto"/>
        </w:rPr>
      </w:pPr>
    </w:p>
    <w:p>
      <w:pPr>
        <w:ind w:right="240" w:firstLine="621"/>
        <w:spacing w:after="0" w:line="266" w:lineRule="auto"/>
        <w:rPr>
          <w:sz w:val="20"/>
          <w:szCs w:val="20"/>
          <w:color w:val="auto"/>
        </w:rPr>
      </w:pPr>
      <w:r>
        <w:rPr>
          <w:rFonts w:ascii="Times New Roman" w:cs="Times New Roman" w:eastAsia="Times New Roman" w:hAnsi="Times New Roman"/>
          <w:sz w:val="17"/>
          <w:szCs w:val="17"/>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52" w:lineRule="exact"/>
        <w:rPr>
          <w:sz w:val="20"/>
          <w:szCs w:val="20"/>
          <w:color w:val="auto"/>
        </w:rPr>
      </w:pPr>
    </w:p>
    <w:p>
      <w:pPr>
        <w:ind w:right="120" w:firstLine="621"/>
        <w:spacing w:after="0" w:line="263" w:lineRule="auto"/>
        <w:rPr>
          <w:sz w:val="20"/>
          <w:szCs w:val="20"/>
          <w:color w:val="auto"/>
        </w:rPr>
      </w:pPr>
      <w:r>
        <w:rPr>
          <w:rFonts w:ascii="Times New Roman" w:cs="Times New Roman" w:eastAsia="Times New Roman" w:hAnsi="Times New Roman"/>
          <w:sz w:val="17"/>
          <w:szCs w:val="17"/>
          <w:color w:val="auto"/>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our Annual Report on Form 10-K for the year ended December 31, 2023.</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106"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March 31, 2024, the balance of the Convertible Senior Notes was $202.8 million, net of unamortized debt issuance costs of $2.3 million. Accrued interest for the Convertible Senior Notes at March 31, 2024 was immaterial.</w:t>
      </w:r>
    </w:p>
    <w:p>
      <w:pPr>
        <w:spacing w:after="0" w:line="57" w:lineRule="exact"/>
        <w:rPr>
          <w:sz w:val="20"/>
          <w:szCs w:val="20"/>
          <w:color w:val="auto"/>
        </w:rPr>
      </w:pPr>
    </w:p>
    <w:p>
      <w:pPr>
        <w:ind w:right="140" w:firstLine="621"/>
        <w:spacing w:after="0" w:line="272" w:lineRule="auto"/>
        <w:rPr>
          <w:sz w:val="20"/>
          <w:szCs w:val="20"/>
          <w:color w:val="auto"/>
        </w:rPr>
      </w:pPr>
      <w:r>
        <w:rPr>
          <w:rFonts w:ascii="Times New Roman" w:cs="Times New Roman" w:eastAsia="Times New Roman" w:hAnsi="Times New Roman"/>
          <w:sz w:val="17"/>
          <w:szCs w:val="17"/>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w:t>
      </w:r>
    </w:p>
    <w:p>
      <w:pPr>
        <w:spacing w:after="0" w:line="21" w:lineRule="exact"/>
        <w:rPr>
          <w:sz w:val="20"/>
          <w:szCs w:val="20"/>
          <w:color w:val="auto"/>
        </w:rPr>
      </w:pPr>
    </w:p>
    <w:p>
      <w:pPr>
        <w:ind w:right="80" w:firstLine="621"/>
        <w:spacing w:after="0" w:line="244" w:lineRule="auto"/>
        <w:rPr>
          <w:sz w:val="20"/>
          <w:szCs w:val="20"/>
          <w:color w:val="auto"/>
        </w:rPr>
      </w:pPr>
      <w:r>
        <w:rPr>
          <w:rFonts w:ascii="Times New Roman" w:cs="Times New Roman" w:eastAsia="Times New Roman" w:hAnsi="Times New Roman"/>
          <w:sz w:val="17"/>
          <w:szCs w:val="17"/>
          <w:color w:val="auto"/>
        </w:rPr>
        <w:t>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2021 Credit Agreement. At March 31, 2024, amounts available under the 2024 Revolving Credit Facility were $169.8 million, net of letters of credit outstanding in the amount of $5.2 million. Accrued interest for the 2024 Term Loan B Facility at March 31, 2024 was $3.3 million.</w:t>
      </w:r>
    </w:p>
    <w:p>
      <w:pPr>
        <w:spacing w:after="0" w:line="45" w:lineRule="exact"/>
        <w:rPr>
          <w:sz w:val="20"/>
          <w:szCs w:val="20"/>
          <w:color w:val="auto"/>
        </w:rPr>
      </w:pPr>
    </w:p>
    <w:p>
      <w:pPr>
        <w:ind w:right="200" w:firstLine="621"/>
        <w:spacing w:after="0" w:line="256" w:lineRule="auto"/>
        <w:rPr>
          <w:sz w:val="20"/>
          <w:szCs w:val="20"/>
          <w:color w:val="auto"/>
        </w:rPr>
      </w:pPr>
      <w:r>
        <w:rPr>
          <w:rFonts w:ascii="Times New Roman" w:cs="Times New Roman" w:eastAsia="Times New Roman" w:hAnsi="Times New Roman"/>
          <w:sz w:val="17"/>
          <w:szCs w:val="17"/>
          <w:color w:val="auto"/>
        </w:rPr>
        <w:t>On August 4, 2023, the Board of Directors approved a repurchase plan (the "August 2023 Repurchase Plan"), pursuant to which we were authorized to repurchase common stock or Convertible Senior Notes, with an aggregate market value of up to $100.0 million, through August 4, 2025. As of December 31, 2023, $9.5 million remained available under the August 2023</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Repurchase Plan. Subsequently, on February 1, 2024, the Board of Directors approved a new repurchase plan (the "February 2024 Repurchase Plan"), which fully replaced the August 2023 Repurchase Plan, pursuant to which we are authorized to repurchase common stock or Convertible Senior Notes, with an aggregate market value of up to $125.0 million, through February 1, 2026.</w:t>
      </w:r>
    </w:p>
    <w:p>
      <w:pPr>
        <w:spacing w:after="0" w:line="47" w:lineRule="exact"/>
        <w:rPr>
          <w:sz w:val="20"/>
          <w:szCs w:val="20"/>
          <w:color w:val="auto"/>
        </w:rPr>
      </w:pPr>
    </w:p>
    <w:p>
      <w:pPr>
        <w:ind w:right="100" w:firstLine="621"/>
        <w:spacing w:after="0" w:line="261" w:lineRule="auto"/>
        <w:rPr>
          <w:sz w:val="20"/>
          <w:szCs w:val="20"/>
          <w:color w:val="auto"/>
        </w:rPr>
      </w:pPr>
      <w:r>
        <w:rPr>
          <w:rFonts w:ascii="Times New Roman" w:cs="Times New Roman" w:eastAsia="Times New Roman" w:hAnsi="Times New Roman"/>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w:t>
      </w:r>
    </w:p>
    <w:p>
      <w:pPr>
        <w:spacing w:after="0" w:line="57" w:lineRule="exact"/>
        <w:rPr>
          <w:sz w:val="20"/>
          <w:szCs w:val="20"/>
          <w:color w:val="auto"/>
        </w:rPr>
      </w:pPr>
    </w:p>
    <w:p>
      <w:pPr>
        <w:ind w:right="140" w:firstLine="621"/>
        <w:spacing w:after="0" w:line="263" w:lineRule="auto"/>
        <w:rPr>
          <w:sz w:val="20"/>
          <w:szCs w:val="20"/>
          <w:color w:val="auto"/>
        </w:rPr>
      </w:pPr>
      <w:r>
        <w:rPr>
          <w:rFonts w:ascii="Times New Roman" w:cs="Times New Roman" w:eastAsia="Times New Roman" w:hAnsi="Times New Roman"/>
          <w:sz w:val="17"/>
          <w:szCs w:val="17"/>
          <w:color w:val="auto"/>
        </w:rPr>
        <w:t>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by certain macroeconomic challenges, such as capital market disruptions and instability of financial institutions.</w:t>
      </w: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gridSpan w:val="4"/>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7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87"/>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12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used in operating activities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(30,893)</w:t>
            </w: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(7,467)</w:t>
            </w: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used in financing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(51,809)</w:t>
            </w:r>
          </w:p>
        </w:tc>
      </w:tr>
      <w:tr>
        <w:trPr>
          <w:trHeight w:val="22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Effects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06" w:lineRule="exact"/>
        <w:rPr>
          <w:sz w:val="20"/>
          <w:szCs w:val="20"/>
          <w:color w:val="auto"/>
        </w:rPr>
      </w:pPr>
    </w:p>
    <w:p>
      <w:pPr>
        <w:ind w:right="180" w:firstLine="621"/>
        <w:spacing w:after="0" w:line="272" w:lineRule="auto"/>
        <w:rPr>
          <w:sz w:val="20"/>
          <w:szCs w:val="20"/>
          <w:color w:val="auto"/>
        </w:rPr>
      </w:pPr>
      <w:r>
        <w:rPr>
          <w:rFonts w:ascii="Times New Roman" w:cs="Times New Roman" w:eastAsia="Times New Roman" w:hAnsi="Times New Roman"/>
          <w:sz w:val="17"/>
          <w:szCs w:val="17"/>
          <w:color w:val="auto"/>
        </w:rPr>
        <w:t>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47" w:lineRule="exact"/>
        <w:rPr>
          <w:sz w:val="20"/>
          <w:szCs w:val="20"/>
          <w:color w:val="auto"/>
        </w:rPr>
      </w:pPr>
    </w:p>
    <w:p>
      <w:pPr>
        <w:ind w:right="160" w:firstLine="621"/>
        <w:spacing w:after="0" w:line="261" w:lineRule="auto"/>
        <w:rPr>
          <w:sz w:val="20"/>
          <w:szCs w:val="20"/>
          <w:color w:val="auto"/>
        </w:rPr>
      </w:pPr>
      <w:r>
        <w:rPr>
          <w:rFonts w:ascii="Times New Roman" w:cs="Times New Roman" w:eastAsia="Times New Roman" w:hAnsi="Times New Roman"/>
          <w:sz w:val="17"/>
          <w:szCs w:val="17"/>
          <w:color w:val="auto"/>
        </w:rPr>
        <w:t>For the three months ended March 31, 2024, net cash used in operating activities was $60.4 million compared to net cash used in operating activities of $30.9 million for the three months ended March 31, 2023. Our operating activities included our net loss of $17.8 million and $98.7 million for the three months ended March 31, 2024 and 2023, respectively, which were offset by non-cash adjustments of $30.8 million and $109.1 million, respectively. Net changes in our working capital resulted in $73.5 million and $41.3 million of cash used in operating activities for the three months ended March 31, 2024 and March 31, 2023, respectively. The net changes in working capital for both periods presented are primarily due to the timing of cash receipts from buyers and the timing of payments to sellers.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cash flows from operations will continue to fluctuate, but in general will increase over time as our business continues to grow.</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93" w:lineRule="exact"/>
        <w:rPr>
          <w:sz w:val="20"/>
          <w:szCs w:val="20"/>
          <w:color w:val="auto"/>
        </w:rPr>
      </w:pPr>
    </w:p>
    <w:p>
      <w:pPr>
        <w:ind w:right="100" w:firstLine="621"/>
        <w:spacing w:after="0" w:line="272" w:lineRule="auto"/>
        <w:rPr>
          <w:sz w:val="20"/>
          <w:szCs w:val="20"/>
          <w:color w:val="auto"/>
        </w:rPr>
      </w:pPr>
      <w:r>
        <w:rPr>
          <w:rFonts w:ascii="Times New Roman" w:cs="Times New Roman" w:eastAsia="Times New Roman" w:hAnsi="Times New Roman"/>
          <w:sz w:val="17"/>
          <w:szCs w:val="17"/>
          <w:color w:val="auto"/>
        </w:rPr>
        <w:t>Our primary investing activities have consisted of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spacing w:after="0" w:line="4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During the three months ended March 31, 2024 and 2023, our investing activities used net cash of $9.3 million and $7.5 million, respectively. During the three months ended March 31, 2024 and 2023, we used cash for purchases of property and equipment of $5.9 million and $4.4 million, respectively, and used cash for investments in our internally developed software of $3.4 million and $3.1 million, respectively.</w:t>
      </w:r>
    </w:p>
    <w:p>
      <w:pPr>
        <w:spacing w:after="0" w:line="47" w:lineRule="exact"/>
        <w:rPr>
          <w:sz w:val="20"/>
          <w:szCs w:val="20"/>
          <w:color w:val="auto"/>
        </w:rPr>
      </w:pPr>
    </w:p>
    <w:p>
      <w:pPr>
        <w:ind w:right="100" w:firstLine="621"/>
        <w:spacing w:after="0" w:line="291" w:lineRule="auto"/>
        <w:rPr>
          <w:sz w:val="20"/>
          <w:szCs w:val="20"/>
          <w:color w:val="auto"/>
        </w:rPr>
      </w:pPr>
      <w:r>
        <w:rPr>
          <w:rFonts w:ascii="Times New Roman" w:cs="Times New Roman" w:eastAsia="Times New Roman" w:hAnsi="Times New Roman"/>
          <w:sz w:val="17"/>
          <w:szCs w:val="17"/>
          <w:color w:val="auto"/>
        </w:rPr>
        <w:t>We anticipate cash flows used in our investing activities will generally increase through the remainder of 2024 compared to 2023 in order to support our overall growth, in particular with respect to investments in property and equipment and internally developed software.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06" w:lineRule="exact"/>
        <w:rPr>
          <w:sz w:val="20"/>
          <w:szCs w:val="20"/>
          <w:color w:val="auto"/>
        </w:rPr>
      </w:pPr>
    </w:p>
    <w:p>
      <w:pPr>
        <w:ind w:right="260" w:firstLine="621"/>
        <w:spacing w:after="0" w:line="291" w:lineRule="auto"/>
        <w:rPr>
          <w:sz w:val="20"/>
          <w:szCs w:val="20"/>
          <w:color w:val="auto"/>
        </w:rPr>
      </w:pPr>
      <w:r>
        <w:rPr>
          <w:rFonts w:ascii="Times New Roman" w:cs="Times New Roman" w:eastAsia="Times New Roman" w:hAnsi="Times New Roman"/>
          <w:sz w:val="17"/>
          <w:szCs w:val="17"/>
          <w:color w:val="auto"/>
        </w:rPr>
        <w:t>Our financing activities consisted of our debt refinancing activities, Convertible Senior Notes transactions, repayment of amounts borrowed under our 2021 Term Loan B Facility, and transactions related to our equity plans.</w:t>
      </w:r>
    </w:p>
    <w:p>
      <w:pPr>
        <w:spacing w:after="0" w:line="30" w:lineRule="exact"/>
        <w:rPr>
          <w:sz w:val="20"/>
          <w:szCs w:val="20"/>
          <w:color w:val="auto"/>
        </w:rPr>
      </w:pPr>
    </w:p>
    <w:p>
      <w:pPr>
        <w:ind w:right="60" w:firstLine="621"/>
        <w:spacing w:after="0" w:line="263" w:lineRule="auto"/>
        <w:rPr>
          <w:sz w:val="20"/>
          <w:szCs w:val="20"/>
          <w:color w:val="auto"/>
        </w:rPr>
      </w:pPr>
      <w:r>
        <w:rPr>
          <w:rFonts w:ascii="Times New Roman" w:cs="Times New Roman" w:eastAsia="Times New Roman" w:hAnsi="Times New Roman"/>
          <w:sz w:val="17"/>
          <w:szCs w:val="17"/>
          <w:color w:val="auto"/>
        </w:rPr>
        <w:t>For the three months ended March 31, 2024 and 2023, net cash used in financing activities was $3.1 million and $51.8 million, respectively. Cash outflows from financing activities for the three months ended March 31, 2024 primarily included $351.0 million of payments related to paying off our 2021 Term Loan B Facility, $8.9 million for taxes paid related to net share settlement of stock-based awards, and a $4.5 million of payments related to debt issuance costs for our 2024 Term Loan B Facility and 2024 Revolver Facility. The outflows were partially offset by cash proceeds of $361.4 million from the issuance of our 2024 Term Loan B Facility, net of debt discount.</w:t>
      </w:r>
    </w:p>
    <w:p>
      <w:pPr>
        <w:spacing w:after="0" w:line="41" w:lineRule="exact"/>
        <w:rPr>
          <w:sz w:val="20"/>
          <w:szCs w:val="20"/>
          <w:color w:val="auto"/>
        </w:rPr>
      </w:pPr>
    </w:p>
    <w:p>
      <w:pPr>
        <w:ind w:right="40" w:firstLine="621"/>
        <w:spacing w:after="0" w:line="266" w:lineRule="auto"/>
        <w:rPr>
          <w:sz w:val="20"/>
          <w:szCs w:val="20"/>
          <w:color w:val="auto"/>
        </w:rPr>
      </w:pPr>
      <w:r>
        <w:rPr>
          <w:rFonts w:ascii="Times New Roman" w:cs="Times New Roman" w:eastAsia="Times New Roman" w:hAnsi="Times New Roman"/>
          <w:sz w:val="17"/>
          <w:szCs w:val="17"/>
          <w:color w:val="auto"/>
        </w:rPr>
        <w:t>Cash outflows from financing activities for the three months ended March 31, 2023 primarily included $40.8 million of payments related to repurchases of our Convertible Senior Notes, $9.0 million for taxes paid related to net share settlement of stock-based awards, $2.3 million for payment of our indemnification claims holdback related to historical acquisitions, and $0.9 million for repayment of our 2021 Term Loan B. The outflows were partially offset by cash proceeds from stock options exercised of $1.5 million.</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06"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March 31, 2024 other than the short-term operating leases described below and commitments mentioned in Note 12— "Commitments Contingencies" to our condensed consolidated financial statements included in this Quarterly Report on Form 10-Q.</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 and Known Future Cash Requirements</w:t>
      </w:r>
    </w:p>
    <w:p>
      <w:pPr>
        <w:spacing w:after="0" w:line="106" w:lineRule="exact"/>
        <w:rPr>
          <w:sz w:val="20"/>
          <w:szCs w:val="20"/>
          <w:color w:val="auto"/>
        </w:rPr>
      </w:pPr>
    </w:p>
    <w:p>
      <w:pPr>
        <w:ind w:right="40" w:firstLine="621"/>
        <w:spacing w:after="0" w:line="266" w:lineRule="auto"/>
        <w:rPr>
          <w:sz w:val="20"/>
          <w:szCs w:val="20"/>
          <w:color w:val="auto"/>
        </w:rPr>
      </w:pPr>
      <w:r>
        <w:rPr>
          <w:rFonts w:ascii="Times New Roman" w:cs="Times New Roman" w:eastAsia="Times New Roman" w:hAnsi="Times New Roman"/>
          <w:sz w:val="17"/>
          <w:szCs w:val="17"/>
          <w:color w:val="auto"/>
        </w:rPr>
        <w:t>As of March 31, 2024, our principal commitments consist of obligations under our Convertible Senior Notes, 2024 Term Loan B Facility, 2024 Revolving Credit Facility, leases for our various office facilities, including our corporate headquarters in New York, New York and offices in Los Angeles, California, and operating lease agreements, including data centers, and cloud hosting services that expire at various times through 2033. In certain cases, the terms of the lease agreements provide for rental payments on a graduated basis.</w:t>
      </w:r>
    </w:p>
    <w:p>
      <w:pPr>
        <w:spacing w:after="0" w:line="52" w:lineRule="exact"/>
        <w:rPr>
          <w:sz w:val="20"/>
          <w:szCs w:val="20"/>
          <w:color w:val="auto"/>
        </w:rPr>
      </w:pPr>
    </w:p>
    <w:p>
      <w:pPr>
        <w:ind w:right="26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summarizes our future lease obligations, payments of principal and interest under our debt agreements, and other future payments due under non-cancelable agreements at March 31, 2024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8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Remaining 2024</w:t>
            </w:r>
          </w:p>
        </w:tc>
        <w:tc>
          <w:tcPr>
            <w:tcW w:w="260" w:type="dxa"/>
            <w:vAlign w:val="bottom"/>
          </w:tcPr>
          <w:p>
            <w:pPr>
              <w:spacing w:after="0"/>
              <w:rPr>
                <w:sz w:val="15"/>
                <w:szCs w:val="15"/>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5"/>
                <w:szCs w:val="15"/>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8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7"/>
                <w:szCs w:val="17"/>
                <w:color w:val="auto"/>
              </w:rPr>
              <w:t>Lease liabilities associated with leases</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included Right of Use Asset as of March</w:t>
            </w:r>
          </w:p>
        </w:tc>
        <w:tc>
          <w:tcPr>
            <w:tcW w:w="34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18,596</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10,119</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7,839</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84,355</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31, 2024</w:t>
            </w:r>
          </w:p>
        </w:tc>
        <w:tc>
          <w:tcPr>
            <w:tcW w:w="3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205,067</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Convertible Senior Notes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2024 Term Loan B Facility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365,000</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Interest, 2024 Term Loan B Facility </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240,151</w:t>
            </w:r>
          </w:p>
        </w:tc>
        <w:tc>
          <w:tcPr>
            <w:tcW w:w="0" w:type="dxa"/>
            <w:vAlign w:val="bottom"/>
          </w:tcPr>
          <w:p>
            <w:pPr>
              <w:spacing w:after="0"/>
              <w:rPr>
                <w:sz w:val="1"/>
                <w:szCs w:val="1"/>
                <w:color w:val="auto"/>
              </w:rPr>
            </w:pPr>
          </w:p>
        </w:tc>
      </w:tr>
      <w:tr>
        <w:trPr>
          <w:trHeight w:val="176"/>
        </w:trPr>
        <w:tc>
          <w:tcPr>
            <w:tcW w:w="28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Contractual fees related to the 2024</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80" w:type="dxa"/>
            <w:vAlign w:val="bottom"/>
          </w:tcPr>
          <w:p>
            <w:pPr>
              <w:ind w:left="20"/>
              <w:spacing w:after="0" w:line="174" w:lineRule="exact"/>
              <w:rPr>
                <w:sz w:val="20"/>
                <w:szCs w:val="20"/>
                <w:color w:val="auto"/>
              </w:rPr>
            </w:pPr>
            <w:r>
              <w:rPr>
                <w:rFonts w:ascii="Times New Roman" w:cs="Times New Roman" w:eastAsia="Times New Roman" w:hAnsi="Times New Roman"/>
                <w:sz w:val="17"/>
                <w:szCs w:val="17"/>
                <w:color w:val="auto"/>
              </w:rPr>
              <w:t>Term Loan B Facility and the 2024</w:t>
            </w:r>
          </w:p>
        </w:tc>
        <w:tc>
          <w:tcPr>
            <w:tcW w:w="3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4,721</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Revolving Credit Facility </w:t>
            </w:r>
            <w:r>
              <w:rPr>
                <w:rFonts w:ascii="Times New Roman" w:cs="Times New Roman" w:eastAsia="Times New Roman" w:hAnsi="Times New Roman"/>
                <w:sz w:val="22"/>
                <w:szCs w:val="22"/>
                <w:color w:val="auto"/>
                <w:vertAlign w:val="superscript"/>
              </w:rPr>
              <w:t>(3)</w:t>
            </w:r>
          </w:p>
        </w:tc>
        <w:tc>
          <w:tcPr>
            <w:tcW w:w="3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non-cancelable obligations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67,414</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94,057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81,165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260,882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50,033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47,486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434,110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967,733</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20" w:right="200" w:firstLine="1"/>
        <w:spacing w:after="0" w:line="239" w:lineRule="auto"/>
        <w:tabs>
          <w:tab w:leader="none" w:pos="159"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only customary scheduled loan amortization payments and excludes currently unknown prepayment amounts that may be required, per terms of the 2024 Credit Agreement, after the end of each fiscal year.</w:t>
      </w:r>
    </w:p>
    <w:p>
      <w:pPr>
        <w:spacing w:after="0" w:line="2" w:lineRule="exact"/>
        <w:rPr>
          <w:rFonts w:ascii="Times New Roman" w:cs="Times New Roman" w:eastAsia="Times New Roman" w:hAnsi="Times New Roman"/>
          <w:sz w:val="9"/>
          <w:szCs w:val="9"/>
          <w:color w:val="auto"/>
        </w:rPr>
      </w:pPr>
    </w:p>
    <w:p>
      <w:pPr>
        <w:ind w:left="160" w:hanging="139"/>
        <w:spacing w:after="0"/>
        <w:tabs>
          <w:tab w:leader="none" w:pos="16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payments are based on an assumed rate of 9.79%, which was the rate as of March 31, 2024 for the associated 2024 Term Loan B Facility.</w:t>
      </w:r>
    </w:p>
    <w:p>
      <w:pPr>
        <w:spacing w:after="0" w:line="33" w:lineRule="exact"/>
        <w:rPr>
          <w:rFonts w:ascii="Times New Roman" w:cs="Times New Roman" w:eastAsia="Times New Roman" w:hAnsi="Times New Roman"/>
          <w:sz w:val="9"/>
          <w:szCs w:val="9"/>
          <w:color w:val="auto"/>
        </w:rPr>
      </w:pPr>
    </w:p>
    <w:p>
      <w:pPr>
        <w:ind w:left="20" w:right="420" w:firstLine="1"/>
        <w:spacing w:after="0" w:line="239" w:lineRule="auto"/>
        <w:tabs>
          <w:tab w:leader="none" w:pos="159"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estimated fees based on current available amounts under our 2024 Revolving Credit Facility and using the current commitment rate as of March 31, 2024, fees based on outstanding but undrawn letters of credit as of March 31, 2024, and fees owed to our administrative agents for both facilities under the 2024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7138035" cy="123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035" cy="123190"/>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-518795</wp:posOffset>
            </wp:positionV>
            <wp:extent cx="53060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49" w:lineRule="exact"/>
        <w:rPr>
          <w:sz w:val="20"/>
          <w:szCs w:val="20"/>
          <w:color w:val="auto"/>
        </w:rPr>
      </w:pPr>
    </w:p>
    <w:p>
      <w:pPr>
        <w:ind w:right="420" w:firstLine="621"/>
        <w:spacing w:after="0" w:line="275" w:lineRule="auto"/>
        <w:rPr>
          <w:sz w:val="20"/>
          <w:szCs w:val="20"/>
          <w:color w:val="auto"/>
        </w:rPr>
      </w:pPr>
      <w:r>
        <w:rPr>
          <w:rFonts w:ascii="Times New Roman" w:cs="Times New Roman" w:eastAsia="Times New Roman" w:hAnsi="Times New Roman"/>
          <w:sz w:val="17"/>
          <w:szCs w:val="17"/>
          <w:color w:val="auto"/>
        </w:rPr>
        <w:t>Payments associated with our Convertible Senior Notes, 2024 Term Loan B, and 2024 Revolving Credit Facility are based on contractual terms and intended timing of repayments of long-term debt and associated interest and required fees.</w:t>
      </w:r>
    </w:p>
    <w:p>
      <w:pPr>
        <w:spacing w:after="0" w:line="18" w:lineRule="exact"/>
        <w:rPr>
          <w:sz w:val="20"/>
          <w:szCs w:val="20"/>
          <w:color w:val="auto"/>
        </w:rPr>
      </w:pPr>
    </w:p>
    <w:p>
      <w:pPr>
        <w:ind w:right="380" w:firstLine="621"/>
        <w:spacing w:after="0" w:line="275" w:lineRule="auto"/>
        <w:rPr>
          <w:sz w:val="20"/>
          <w:szCs w:val="20"/>
          <w:color w:val="auto"/>
        </w:rPr>
      </w:pPr>
      <w:r>
        <w:rPr>
          <w:rFonts w:ascii="Times New Roman" w:cs="Times New Roman" w:eastAsia="Times New Roman" w:hAnsi="Times New Roman"/>
          <w:sz w:val="17"/>
          <w:szCs w:val="17"/>
          <w:color w:val="auto"/>
        </w:rPr>
        <w:t>Other non-cancelable obligations include agreements in the normal course of business that extend beyond a year as of March 31, 2024. The amounts above include commitments under a cloud-managed services agreement, under which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has a non-cancelable minimum spend commitment from July 2024 to June 2025 of $57.6 million. The minimum spend commitment reflected above approximates the manner in which we expect to fulfill the obligation.</w:t>
      </w:r>
    </w:p>
    <w:p>
      <w:pPr>
        <w:spacing w:after="0" w:line="18" w:lineRule="exact"/>
        <w:rPr>
          <w:sz w:val="20"/>
          <w:szCs w:val="20"/>
          <w:color w:val="auto"/>
        </w:rPr>
      </w:pPr>
    </w:p>
    <w:p>
      <w:pPr>
        <w:ind w:firstLine="621"/>
        <w:spacing w:after="0" w:line="242" w:lineRule="auto"/>
        <w:rPr>
          <w:sz w:val="20"/>
          <w:szCs w:val="20"/>
          <w:color w:val="auto"/>
        </w:rPr>
      </w:pPr>
      <w:r>
        <w:rPr>
          <w:rFonts w:ascii="Times New Roman" w:cs="Times New Roman" w:eastAsia="Times New Roman" w:hAnsi="Times New Roman"/>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March 31,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91"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2" w:lineRule="exact"/>
        <w:rPr>
          <w:sz w:val="20"/>
          <w:szCs w:val="20"/>
          <w:color w:val="auto"/>
        </w:rPr>
      </w:pPr>
    </w:p>
    <w:p>
      <w:pPr>
        <w:ind w:right="120" w:firstLine="621"/>
        <w:spacing w:after="0" w:line="266" w:lineRule="auto"/>
        <w:rPr>
          <w:sz w:val="20"/>
          <w:szCs w:val="20"/>
          <w:color w:val="auto"/>
        </w:rPr>
      </w:pPr>
      <w:r>
        <w:rPr>
          <w:rFonts w:ascii="Times New Roman" w:cs="Times New Roman" w:eastAsia="Times New Roman" w:hAnsi="Times New Roman"/>
          <w:sz w:val="17"/>
          <w:szCs w:val="17"/>
          <w:color w:val="auto"/>
        </w:rPr>
        <w:t>We believe that the following assumptions and estimates have the greatest potential impact on our condensed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 ended December 31, 2023 included in our Annual Report on Form 10-K.</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91" w:lineRule="exact"/>
        <w:rPr>
          <w:sz w:val="20"/>
          <w:szCs w:val="20"/>
          <w:color w:val="auto"/>
        </w:rPr>
      </w:pPr>
    </w:p>
    <w:p>
      <w:pPr>
        <w:ind w:right="140" w:firstLine="621"/>
        <w:spacing w:after="0" w:line="291" w:lineRule="auto"/>
        <w:rPr>
          <w:sz w:val="20"/>
          <w:szCs w:val="20"/>
          <w:color w:val="auto"/>
        </w:rPr>
      </w:pPr>
      <w:r>
        <w:rPr>
          <w:rFonts w:ascii="Times New Roman" w:cs="Times New Roman" w:eastAsia="Times New Roman" w:hAnsi="Times New Roman"/>
          <w:sz w:val="17"/>
          <w:szCs w:val="17"/>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 About Market Risk</w:t>
      </w:r>
    </w:p>
    <w:p>
      <w:pPr>
        <w:spacing w:after="0" w:line="104" w:lineRule="exact"/>
        <w:rPr>
          <w:sz w:val="20"/>
          <w:szCs w:val="20"/>
          <w:color w:val="auto"/>
        </w:rPr>
      </w:pPr>
    </w:p>
    <w:p>
      <w:pPr>
        <w:jc w:val="both"/>
        <w:ind w:right="160" w:firstLine="621"/>
        <w:spacing w:after="0" w:line="272" w:lineRule="auto"/>
        <w:rPr>
          <w:sz w:val="20"/>
          <w:szCs w:val="20"/>
          <w:color w:val="auto"/>
        </w:rPr>
      </w:pPr>
      <w:r>
        <w:rPr>
          <w:rFonts w:ascii="Times New Roman" w:cs="Times New Roman" w:eastAsia="Times New Roman" w:hAnsi="Times New Roman"/>
          <w:sz w:val="17"/>
          <w:szCs w:val="17"/>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 Risk</w:t>
      </w:r>
    </w:p>
    <w:p>
      <w:pPr>
        <w:spacing w:after="0" w:line="106"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52" w:lineRule="exact"/>
        <w:rPr>
          <w:sz w:val="20"/>
          <w:szCs w:val="20"/>
          <w:color w:val="auto"/>
        </w:rPr>
      </w:pPr>
    </w:p>
    <w:p>
      <w:pPr>
        <w:ind w:right="80" w:firstLine="621"/>
        <w:spacing w:after="0" w:line="263" w:lineRule="auto"/>
        <w:rPr>
          <w:sz w:val="20"/>
          <w:szCs w:val="20"/>
          <w:color w:val="auto"/>
        </w:rPr>
      </w:pPr>
      <w:r>
        <w:rPr>
          <w:rFonts w:ascii="Times New Roman" w:cs="Times New Roman" w:eastAsia="Times New Roman" w:hAnsi="Times New Roman"/>
          <w:sz w:val="17"/>
          <w:szCs w:val="17"/>
          <w:color w:val="auto"/>
        </w:rPr>
        <w:t>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rates. It is fixed at 100% of the principal amount of the Convertible Senior Notes plus unpaid interest. Since the Convertible Senior Notes bear a fixed interest rate, we are not exposed to interest rate risk on those notes, however, the fair value of those notes will change as market interest rates change.</w:t>
      </w:r>
    </w:p>
    <w:p>
      <w:pPr>
        <w:spacing w:after="0" w:line="41" w:lineRule="exact"/>
        <w:rPr>
          <w:sz w:val="20"/>
          <w:szCs w:val="20"/>
          <w:color w:val="auto"/>
        </w:rPr>
      </w:pPr>
    </w:p>
    <w:p>
      <w:pPr>
        <w:jc w:val="both"/>
        <w:ind w:right="100" w:firstLine="621"/>
        <w:spacing w:after="0" w:line="263" w:lineRule="auto"/>
        <w:rPr>
          <w:sz w:val="20"/>
          <w:szCs w:val="20"/>
          <w:color w:val="auto"/>
        </w:rPr>
      </w:pPr>
      <w:r>
        <w:rPr>
          <w:rFonts w:ascii="Times New Roman" w:cs="Times New Roman" w:eastAsia="Times New Roman" w:hAnsi="Times New Roman"/>
          <w:sz w:val="17"/>
          <w:szCs w:val="17"/>
          <w:color w:val="auto"/>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March 31, 2024, the Company had no outstanding borrowings under the 2024 Revolving Credit Facility. Should the company borrow under the 2024</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7"/>
          <w:szCs w:val="17"/>
          <w:color w:val="auto"/>
        </w:rPr>
        <w:t>Revolving Credit Facility at any point in the future, any associated borrowings would have a floating underlying base rate of interest that would expose the Company to interest rate risk.</w:t>
      </w:r>
    </w:p>
    <w:p>
      <w:pPr>
        <w:spacing w:after="0" w:line="18"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$3.7 million. The actual impact to our financial results of the same increase in interest rates is expected to be lower depending on the timing and magnitude of such rate changes relative to our SOFR Floor, and will be partially offset by higher interest income earned on our cash and cash equivalent balances over the same period. In future periods, we will continue to evaluate our investment opportunities and policy relative to our overall objectives.</w:t>
      </w:r>
    </w:p>
    <w:p>
      <w:pPr>
        <w:spacing w:after="0" w:line="54" w:lineRule="exact"/>
        <w:rPr>
          <w:sz w:val="20"/>
          <w:szCs w:val="20"/>
          <w:color w:val="auto"/>
        </w:rPr>
      </w:pPr>
    </w:p>
    <w:p>
      <w:pPr>
        <w:ind w:right="40" w:firstLine="621"/>
        <w:spacing w:after="0" w:line="291" w:lineRule="auto"/>
        <w:rPr>
          <w:sz w:val="20"/>
          <w:szCs w:val="20"/>
          <w:color w:val="auto"/>
        </w:rPr>
      </w:pPr>
      <w:r>
        <w:rPr>
          <w:rFonts w:ascii="Times New Roman" w:cs="Times New Roman" w:eastAsia="Times New Roman" w:hAnsi="Times New Roman"/>
          <w:sz w:val="17"/>
          <w:szCs w:val="17"/>
          <w:color w:val="auto"/>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93" w:lineRule="exact"/>
        <w:rPr>
          <w:sz w:val="20"/>
          <w:szCs w:val="20"/>
          <w:color w:val="auto"/>
        </w:rPr>
      </w:pPr>
    </w:p>
    <w:p>
      <w:pPr>
        <w:ind w:right="20" w:firstLine="621"/>
        <w:spacing w:after="0" w:line="258" w:lineRule="auto"/>
        <w:rPr>
          <w:sz w:val="20"/>
          <w:szCs w:val="20"/>
          <w:color w:val="auto"/>
        </w:rPr>
      </w:pPr>
      <w:r>
        <w:rPr>
          <w:rFonts w:ascii="Times New Roman" w:cs="Times New Roman" w:eastAsia="Times New Roman" w:hAnsi="Times New Roman"/>
          <w:sz w:val="17"/>
          <w:szCs w:val="17"/>
          <w:color w:val="auto"/>
        </w:rPr>
        <w:t>As a U.S. based company that does business around the globe, we have foreign currency risks related to our revenue and expenses denominated in currencies other than the U.S. Dollar, principally the Australian Dollar, British Pound, Canadian Dollar,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March 31, 2024 and December 31, 2023, including intercompany balances, would result in a foreign currency loss of approximately $9.0 million and $9.5 million, respectively. At this time we do not, but we may in the future, enter into derivatives or other financial instruments in an attempt to hedge our foreign currency exchange risk.</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106" w:lineRule="exact"/>
        <w:rPr>
          <w:sz w:val="20"/>
          <w:szCs w:val="20"/>
          <w:color w:val="auto"/>
        </w:rPr>
      </w:pPr>
    </w:p>
    <w:p>
      <w:pPr>
        <w:ind w:right="80" w:firstLine="621"/>
        <w:spacing w:after="0" w:line="263" w:lineRule="auto"/>
        <w:rPr>
          <w:sz w:val="20"/>
          <w:szCs w:val="20"/>
          <w:color w:val="auto"/>
        </w:rPr>
      </w:pPr>
      <w:r>
        <w:rPr>
          <w:rFonts w:ascii="Times New Roman" w:cs="Times New Roman" w:eastAsia="Times New Roman" w:hAnsi="Times New Roman"/>
          <w:sz w:val="17"/>
          <w:szCs w:val="17"/>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06"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March 31, 2024, our disclosure controls and procedures were effective at the reasonable assurance level.</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93" w:lineRule="exact"/>
        <w:rPr>
          <w:sz w:val="20"/>
          <w:szCs w:val="20"/>
          <w:color w:val="auto"/>
        </w:rPr>
      </w:pPr>
    </w:p>
    <w:p>
      <w:pPr>
        <w:ind w:right="500" w:firstLine="621"/>
        <w:spacing w:after="0" w:line="291"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that occurred during the three months ended March 31, 2024 that have materially affected, or are reasonably likely to materially affect, our internal control over financial reporting.</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Controls</w:t>
      </w:r>
    </w:p>
    <w:p>
      <w:pPr>
        <w:spacing w:after="0" w:line="106" w:lineRule="exact"/>
        <w:rPr>
          <w:sz w:val="20"/>
          <w:szCs w:val="20"/>
          <w:color w:val="auto"/>
        </w:rPr>
      </w:pPr>
    </w:p>
    <w:p>
      <w:pPr>
        <w:ind w:right="140" w:firstLine="621"/>
        <w:spacing w:after="0" w:line="263" w:lineRule="auto"/>
        <w:rPr>
          <w:sz w:val="20"/>
          <w:szCs w:val="20"/>
          <w:color w:val="auto"/>
        </w:rPr>
      </w:pPr>
      <w:r>
        <w:rPr>
          <w:rFonts w:ascii="Times New Roman" w:cs="Times New Roman" w:eastAsia="Times New Roman" w:hAnsi="Times New Roman"/>
          <w:sz w:val="17"/>
          <w:szCs w:val="17"/>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95" w:lineRule="exact"/>
        <w:rPr>
          <w:sz w:val="20"/>
          <w:szCs w:val="20"/>
          <w:color w:val="auto"/>
        </w:rPr>
      </w:pPr>
    </w:p>
    <w:p>
      <w:pPr>
        <w:ind w:right="100" w:firstLine="621"/>
        <w:spacing w:after="0" w:line="259" w:lineRule="auto"/>
        <w:rPr>
          <w:sz w:val="20"/>
          <w:szCs w:val="20"/>
          <w:color w:val="auto"/>
        </w:rPr>
      </w:pPr>
      <w:r>
        <w:rPr>
          <w:rFonts w:ascii="Times New Roman" w:cs="Times New Roman" w:eastAsia="Times New Roman" w:hAnsi="Times New Roman"/>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audits by taxing authorities,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March 31, 2024. However, based on our knowledge as of March 31, 2024,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6" w:lineRule="exact"/>
        <w:rPr>
          <w:sz w:val="20"/>
          <w:szCs w:val="20"/>
          <w:color w:val="auto"/>
        </w:rPr>
      </w:pPr>
    </w:p>
    <w:p>
      <w:pPr>
        <w:ind w:right="60" w:firstLine="621"/>
        <w:spacing w:after="0" w:line="291" w:lineRule="auto"/>
        <w:rPr>
          <w:sz w:val="20"/>
          <w:szCs w:val="20"/>
          <w:color w:val="auto"/>
        </w:rPr>
      </w:pPr>
      <w:r>
        <w:rPr>
          <w:rFonts w:ascii="Times New Roman" w:cs="Times New Roman" w:eastAsia="Times New Roman" w:hAnsi="Times New Roman"/>
          <w:sz w:val="17"/>
          <w:szCs w:val="17"/>
          <w:color w:val="auto"/>
        </w:rPr>
        <w:t>Refer to Note 12—"Commitments and Contingencies" to our condensed consolidated financial statements included in this Quarterly Report on Form 10-Q for additional information related to legal proceedings.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5" w:lineRule="exact"/>
        <w:rPr>
          <w:sz w:val="20"/>
          <w:szCs w:val="20"/>
          <w:color w:val="auto"/>
        </w:rPr>
      </w:pPr>
    </w:p>
    <w:p>
      <w:pPr>
        <w:ind w:right="240" w:firstLine="621"/>
        <w:spacing w:after="0" w:line="260"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We describe risks associated with our business in Part I, Item 1A: "Risk Factors" of our Annual Report on Form 10-K for the year ended December 31, 2023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44"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and the instability of financial institutions, the risk of a recession, and other macroeconomic factors may amplify many of the risks described in our risk factors. Accordingly, you are advised to consider additional sources of information and exercise your own judgment in addition to the information we provide.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02" w:lineRule="exact"/>
        <w:rPr>
          <w:sz w:val="20"/>
          <w:szCs w:val="20"/>
          <w:color w:val="auto"/>
        </w:rPr>
      </w:pPr>
    </w:p>
    <w:p>
      <w:pPr>
        <w:ind w:left="180" w:right="7640" w:firstLine="444"/>
        <w:spacing w:after="0" w:line="388" w:lineRule="auto"/>
        <w:tabs>
          <w:tab w:leader="none" w:pos="873"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Recent Sales of Unregistered Securities </w:t>
      </w:r>
      <w:r>
        <w:rPr>
          <w:rFonts w:ascii="Times New Roman" w:cs="Times New Roman" w:eastAsia="Times New Roman" w:hAnsi="Times New Roman"/>
          <w:sz w:val="17"/>
          <w:szCs w:val="17"/>
          <w:color w:val="auto"/>
        </w:rPr>
        <w:t>None (except as previously disclosed).</w:t>
      </w:r>
    </w:p>
    <w:p>
      <w:pPr>
        <w:spacing w:after="0" w:line="40" w:lineRule="exact"/>
        <w:rPr>
          <w:rFonts w:ascii="Times New Roman" w:cs="Times New Roman" w:eastAsia="Times New Roman" w:hAnsi="Times New Roman"/>
          <w:sz w:val="17"/>
          <w:szCs w:val="17"/>
          <w:i w:val="1"/>
          <w:iCs w:val="1"/>
          <w:color w:val="auto"/>
        </w:rPr>
      </w:pPr>
    </w:p>
    <w:p>
      <w:pPr>
        <w:ind w:left="860" w:hanging="236"/>
        <w:spacing w:after="0"/>
        <w:tabs>
          <w:tab w:leader="none" w:pos="86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Use of Proceeds</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Applicable.</w:t>
      </w:r>
    </w:p>
    <w:p>
      <w:pPr>
        <w:spacing w:after="0" w:line="191" w:lineRule="exact"/>
        <w:rPr>
          <w:sz w:val="20"/>
          <w:szCs w:val="20"/>
          <w:color w:val="auto"/>
        </w:rPr>
      </w:pPr>
    </w:p>
    <w:p>
      <w:pPr>
        <w:ind w:left="5540" w:right="5280" w:hanging="4916"/>
        <w:spacing w:after="0" w:line="897" w:lineRule="auto"/>
        <w:tabs>
          <w:tab w:leader="none" w:pos="861"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Purchases of Equity Securities by the Company and Affiliated Purchasers </w:t>
      </w: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-286385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Common stock repurchases during the quarter ended March 31, 2024 were as follows (in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60" w:type="dxa"/>
            <w:vAlign w:val="bottom"/>
          </w:tcPr>
          <w:p>
            <w:pPr>
              <w:ind w:left="23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354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Total Number of Shares Purchased</w:t>
            </w:r>
          </w:p>
        </w:tc>
        <w:tc>
          <w:tcPr>
            <w:tcW w:w="240" w:type="dxa"/>
            <w:vAlign w:val="bottom"/>
          </w:tcPr>
          <w:p>
            <w:pPr>
              <w:spacing w:after="0"/>
              <w:rPr>
                <w:sz w:val="19"/>
                <w:szCs w:val="19"/>
                <w:color w:val="auto"/>
              </w:rPr>
            </w:pPr>
          </w:p>
        </w:tc>
        <w:tc>
          <w:tcPr>
            <w:tcW w:w="23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Average Price per Share</w:t>
            </w: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January 1 - January 31, 2024</w:t>
            </w:r>
          </w:p>
        </w:tc>
        <w:tc>
          <w:tcPr>
            <w:tcW w:w="3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20"/>
        </w:trPr>
        <w:tc>
          <w:tcPr>
            <w:tcW w:w="516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3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February 1 - February 29, 2024</w:t>
            </w:r>
          </w:p>
        </w:tc>
        <w:tc>
          <w:tcPr>
            <w:tcW w:w="3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20"/>
        </w:trPr>
        <w:tc>
          <w:tcPr>
            <w:tcW w:w="516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3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w:t>
            </w: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1 - March 31, 2024</w:t>
            </w:r>
          </w:p>
        </w:tc>
        <w:tc>
          <w:tcPr>
            <w:tcW w:w="3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20"/>
        </w:trPr>
        <w:tc>
          <w:tcPr>
            <w:tcW w:w="516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3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38"/>
        </w:trPr>
        <w:tc>
          <w:tcPr>
            <w:tcW w:w="516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24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bl>
    <w:p>
      <w:pPr>
        <w:spacing w:after="0" w:line="163" w:lineRule="exact"/>
        <w:rPr>
          <w:sz w:val="20"/>
          <w:szCs w:val="20"/>
          <w:color w:val="auto"/>
        </w:rPr>
      </w:pPr>
    </w:p>
    <w:p>
      <w:pPr>
        <w:ind w:right="80" w:firstLine="3"/>
        <w:spacing w:after="0" w:line="247" w:lineRule="auto"/>
        <w:tabs>
          <w:tab w:leader="none" w:pos="174"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Trading Plans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the first quarter of 2024, the following trading plans were adopted or terminated by our Section 16 officers or directors: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Date Plan</w:t>
            </w: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Intended to</w:t>
            </w:r>
          </w:p>
        </w:tc>
        <w:tc>
          <w:tcPr>
            <w:tcW w:w="0" w:type="dxa"/>
            <w:vAlign w:val="bottom"/>
          </w:tcPr>
          <w:p>
            <w:pPr>
              <w:spacing w:after="0"/>
              <w:rPr>
                <w:sz w:val="1"/>
                <w:szCs w:val="1"/>
                <w:color w:val="auto"/>
              </w:rPr>
            </w:pPr>
          </w:p>
        </w:tc>
      </w:tr>
      <w:tr>
        <w:trPr>
          <w:trHeight w:val="176"/>
        </w:trPr>
        <w:tc>
          <w:tcPr>
            <w:tcW w:w="1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Officer Name</w:t>
            </w:r>
          </w:p>
        </w:tc>
        <w:tc>
          <w:tcPr>
            <w:tcW w:w="1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b w:val="1"/>
                <w:bCs w:val="1"/>
                <w:color w:val="auto"/>
              </w:rPr>
              <w:t>Officer Title</w:t>
            </w:r>
          </w:p>
        </w:tc>
        <w:tc>
          <w:tcPr>
            <w:tcW w:w="1900" w:type="dxa"/>
            <w:vAlign w:val="bottom"/>
            <w:gridSpan w:val="2"/>
            <w:vMerge w:val="continue"/>
          </w:tcPr>
          <w:p>
            <w:pPr>
              <w:spacing w:after="0"/>
              <w:rPr>
                <w:sz w:val="15"/>
                <w:szCs w:val="15"/>
                <w:color w:val="auto"/>
              </w:rPr>
            </w:pPr>
          </w:p>
        </w:tc>
        <w:tc>
          <w:tcPr>
            <w:tcW w:w="2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Duration of Plan</w:t>
            </w:r>
          </w:p>
        </w:tc>
        <w:tc>
          <w:tcPr>
            <w:tcW w:w="2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 to be Purchased or Sold</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Satisfy Rule</w:t>
            </w:r>
          </w:p>
        </w:tc>
        <w:tc>
          <w:tcPr>
            <w:tcW w:w="0" w:type="dxa"/>
            <w:vAlign w:val="bottom"/>
          </w:tcPr>
          <w:p>
            <w:pPr>
              <w:spacing w:after="0"/>
              <w:rPr>
                <w:sz w:val="1"/>
                <w:szCs w:val="1"/>
                <w:color w:val="auto"/>
              </w:rPr>
            </w:pPr>
          </w:p>
        </w:tc>
      </w:tr>
      <w:tr>
        <w:trPr>
          <w:trHeight w:val="220"/>
        </w:trPr>
        <w:tc>
          <w:tcPr>
            <w:tcW w:w="1680" w:type="dxa"/>
            <w:vAlign w:val="bottom"/>
            <w:gridSpan w:val="2"/>
            <w:vMerge w:val="continue"/>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Adopted/Terminated</w:t>
            </w:r>
          </w:p>
        </w:tc>
        <w:tc>
          <w:tcPr>
            <w:tcW w:w="2100" w:type="dxa"/>
            <w:vAlign w:val="bottom"/>
            <w:gridSpan w:val="2"/>
            <w:vMerge w:val="continue"/>
          </w:tcPr>
          <w:p>
            <w:pPr>
              <w:spacing w:after="0"/>
              <w:rPr>
                <w:sz w:val="19"/>
                <w:szCs w:val="19"/>
                <w:color w:val="auto"/>
              </w:rPr>
            </w:pPr>
          </w:p>
        </w:tc>
        <w:tc>
          <w:tcPr>
            <w:tcW w:w="2500" w:type="dxa"/>
            <w:vAlign w:val="bottom"/>
            <w:gridSpan w:val="2"/>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10b5-1(c)?</w:t>
            </w:r>
          </w:p>
        </w:tc>
        <w:tc>
          <w:tcPr>
            <w:tcW w:w="0" w:type="dxa"/>
            <w:vAlign w:val="bottom"/>
          </w:tcPr>
          <w:p>
            <w:pPr>
              <w:spacing w:after="0"/>
              <w:rPr>
                <w:sz w:val="1"/>
                <w:szCs w:val="1"/>
                <w:color w:val="auto"/>
              </w:rPr>
            </w:pPr>
          </w:p>
        </w:tc>
      </w:tr>
      <w:tr>
        <w:trPr>
          <w:trHeight w:val="169"/>
        </w:trPr>
        <w:tc>
          <w:tcPr>
            <w:tcW w:w="1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June 10, 2024 - March 7,</w:t>
            </w:r>
          </w:p>
        </w:tc>
        <w:tc>
          <w:tcPr>
            <w:tcW w:w="8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7"/>
                <w:szCs w:val="17"/>
                <w:color w:val="auto"/>
              </w:rPr>
              <w:t>Sell up to 224,936, subject to</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Rossman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Adopted March 8, 2024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certain conditions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Chief Operating</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7"/>
                <w:szCs w:val="17"/>
                <w:color w:val="auto"/>
              </w:rPr>
              <w:t>June 13, 2024 - March 14,</w:t>
            </w:r>
          </w:p>
        </w:tc>
        <w:tc>
          <w:tcPr>
            <w:tcW w:w="25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7"/>
                <w:szCs w:val="17"/>
                <w:color w:val="auto"/>
              </w:rPr>
              <w:t>Sell up to 49,888, subject to</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Katheryn Evans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Officer</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Adopted March 14, 2024</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tcPr>
          <w:p>
            <w:pPr>
              <w:spacing w:after="0"/>
              <w:rPr>
                <w:sz w:val="19"/>
                <w:szCs w:val="19"/>
                <w:color w:val="auto"/>
              </w:rPr>
            </w:pP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certain conditions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7"/>
                <w:szCs w:val="17"/>
                <w:color w:val="auto"/>
              </w:rPr>
              <w:t>June 14, 2024 - March 14,</w:t>
            </w:r>
          </w:p>
        </w:tc>
        <w:tc>
          <w:tcPr>
            <w:tcW w:w="2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7"/>
                <w:szCs w:val="17"/>
                <w:color w:val="auto"/>
              </w:rPr>
              <w:t>Sell up to 51,521, subject to</w:t>
            </w: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Aaron Saltz</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Legal Officer</w:t>
            </w:r>
          </w:p>
        </w:tc>
        <w:tc>
          <w:tcPr>
            <w:tcW w:w="1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Adopted March 15, 2024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certain conditions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2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65"/>
        </w:trPr>
        <w:tc>
          <w:tcPr>
            <w:tcW w:w="2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3"/>
                <w:szCs w:val="23"/>
                <w:color w:val="auto"/>
              </w:rPr>
            </w:pPr>
          </w:p>
        </w:tc>
        <w:tc>
          <w:tcPr>
            <w:tcW w:w="8880" w:type="dxa"/>
            <w:vAlign w:val="bottom"/>
            <w:tcBorders>
              <w:top w:val="single" w:sz="8" w:color="auto"/>
            </w:tcBorders>
            <w:gridSpan w:val="10"/>
          </w:tcPr>
          <w:p>
            <w:pPr>
              <w:spacing w:after="0"/>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Credit Agreement, dated as of February 6, 2024, by and among Magnite, Inc., Morgan Stanley Senior Funding, Inc. as term</w:t>
              </w:r>
            </w:hyperlink>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54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loan administrative agent and Citibank, N.A. as revolving facility administrative agent and collateral agent, and other lender</w:t>
              </w:r>
            </w:hyperlink>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560" w:type="dxa"/>
            <w:vAlign w:val="bottom"/>
            <w:gridSpan w:val="6"/>
          </w:tcPr>
          <w:p>
            <w:pPr>
              <w:spacing w:after="0" w:line="148"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parties thereto (incorporated by reference to Exhibit 10.28 of the Registrant's Annual Report on Form 10-K filed with the</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360" w:type="dxa"/>
            <w:vAlign w:val="bottom"/>
            <w:tcBorders>
              <w:top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Commission on February 28, 2024).</w:t>
              </w:r>
            </w:hyperlink>
          </w:p>
        </w:tc>
        <w:tc>
          <w:tcPr>
            <w:tcW w:w="5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17"/>
                <w:szCs w:val="17"/>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Exchange Act Rules 13a-14(a) and 15d-14(a), as adopted pursuant to</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40" w:type="dxa"/>
            <w:vAlign w:val="bottom"/>
            <w:tcBorders>
              <w:top w:val="single" w:sz="8" w:color="0000FF"/>
            </w:tcBorders>
            <w:gridSpan w:val="8"/>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18"/>
                <w:szCs w:val="18"/>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Exchange Act Rules 13a-14(a) and 15d-14(a), as adopted pursuant to</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0" w:type="dxa"/>
            <w:vAlign w:val="bottom"/>
            <w:tcBorders>
              <w:top w:val="single" w:sz="8" w:color="0000FF"/>
            </w:tcBorders>
            <w:gridSpan w:val="7"/>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ind w:left="20"/>
              <w:spacing w:after="0" w:line="232" w:lineRule="exact"/>
              <w:rPr>
                <w:sz w:val="20"/>
                <w:szCs w:val="20"/>
                <w:color w:val="auto"/>
              </w:rPr>
            </w:pPr>
            <w:r>
              <w:rPr>
                <w:rFonts w:ascii="Times New Roman" w:cs="Times New Roman" w:eastAsia="Times New Roman" w:hAnsi="Times New Roman"/>
                <w:sz w:val="17"/>
                <w:szCs w:val="17"/>
                <w:color w:val="auto"/>
              </w:rPr>
              <w:t>32*</w:t>
            </w:r>
            <w:r>
              <w:rPr>
                <w:rFonts w:ascii="Times New Roman" w:cs="Times New Roman" w:eastAsia="Times New Roman" w:hAnsi="Times New Roman"/>
                <w:sz w:val="22"/>
                <w:szCs w:val="22"/>
                <w:color w:val="auto"/>
                <w:vertAlign w:val="superscript"/>
              </w:rPr>
              <w:t>(1)</w:t>
            </w:r>
          </w:p>
        </w:tc>
        <w:tc>
          <w:tcPr>
            <w:tcW w:w="120" w:type="dxa"/>
            <w:vAlign w:val="bottom"/>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4620" w:type="dxa"/>
            <w:vAlign w:val="bottom"/>
            <w:tcBorders>
              <w:top w:val="single" w:sz="8" w:color="0000FF"/>
            </w:tcBorders>
            <w:gridSpan w:val="6"/>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7"/>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 *</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 *</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Schema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 *</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Calculation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 *</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Definition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 *</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Label Linkbase Document</w:t>
            </w:r>
          </w:p>
        </w:tc>
        <w:tc>
          <w:tcPr>
            <w:tcW w:w="0" w:type="dxa"/>
            <w:vAlign w:val="bottom"/>
          </w:tcPr>
          <w:p>
            <w:pPr>
              <w:spacing w:after="0"/>
              <w:rPr>
                <w:sz w:val="1"/>
                <w:szCs w:val="1"/>
                <w:color w:val="auto"/>
              </w:rPr>
            </w:pPr>
          </w:p>
        </w:tc>
      </w:tr>
      <w:tr>
        <w:trPr>
          <w:trHeight w:val="22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 *</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Presentation Linkbase Document</w:t>
            </w:r>
          </w:p>
        </w:tc>
        <w:tc>
          <w:tcPr>
            <w:tcW w:w="0" w:type="dxa"/>
            <w:vAlign w:val="bottom"/>
          </w:tcPr>
          <w:p>
            <w:pPr>
              <w:spacing w:after="0"/>
              <w:rPr>
                <w:sz w:val="1"/>
                <w:szCs w:val="1"/>
                <w:color w:val="auto"/>
              </w:rPr>
            </w:pPr>
          </w:p>
        </w:tc>
      </w:tr>
      <w:tr>
        <w:trPr>
          <w:trHeight w:val="246"/>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1"/>
                <w:szCs w:val="21"/>
                <w:color w:val="auto"/>
              </w:rPr>
            </w:pP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115" w:lineRule="exact"/>
        <w:rPr>
          <w:sz w:val="20"/>
          <w:szCs w:val="20"/>
          <w:color w:val="auto"/>
        </w:rPr>
      </w:pPr>
    </w:p>
    <w:p>
      <w:pPr>
        <w:ind w:right="260" w:firstLine="3"/>
        <w:spacing w:after="0" w:line="242" w:lineRule="auto"/>
        <w:tabs>
          <w:tab w:leader="none" w:pos="242"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586740</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0" w:lineRule="exact"/>
        <w:rPr>
          <w:sz w:val="20"/>
          <w:szCs w:val="20"/>
          <w:color w:val="auto"/>
        </w:rPr>
      </w:pPr>
    </w:p>
    <w:p>
      <w:pPr>
        <w:ind w:right="119" w:firstLine="17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MAGNITE, INC. (Registrant)</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35560</wp:posOffset>
            </wp:positionV>
            <wp:extent cx="34994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David Day</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(Principal Financial Officer and Duly Authorized Officer)</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Date May 8, 2024</w:t>
      </w:r>
    </w:p>
    <w:p>
      <w:pPr>
        <w:sectPr>
          <w:pgSz w:w="11900" w:h="16838" w:orient="portrait"/>
          <w:cols w:equalWidth="0" w:num="1">
            <w:col w:w="10139"/>
          </w:cols>
          <w:pgMar w:left="320" w:top="121" w:right="1440" w:bottom="1440" w:gutter="0" w:footer="0" w:header="0"/>
        </w:sectPr>
      </w:pPr>
    </w:p>
    <w:bookmarkStart w:id="45" w:name="page46"/>
    <w:bookmarkEnd w:id="45"/>
    <w:p>
      <w:pPr>
        <w:ind w:left="99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ind w:left="52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ind w:left="486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Barrett, certify that:</w:t>
      </w:r>
    </w:p>
    <w:p>
      <w:pPr>
        <w:spacing w:after="0" w:line="256" w:lineRule="exact"/>
        <w:rPr>
          <w:sz w:val="20"/>
          <w:szCs w:val="20"/>
          <w:color w:val="auto"/>
        </w:rPr>
      </w:pPr>
    </w:p>
    <w:p>
      <w:pPr>
        <w:ind w:left="1240" w:hanging="616"/>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44" w:lineRule="exact"/>
        <w:rPr>
          <w:rFonts w:ascii="Times New Roman" w:cs="Times New Roman" w:eastAsia="Times New Roman" w:hAnsi="Times New Roman"/>
          <w:sz w:val="17"/>
          <w:szCs w:val="17"/>
          <w:color w:val="auto"/>
        </w:rPr>
      </w:pPr>
    </w:p>
    <w:p>
      <w:pPr>
        <w:ind w:left="1240" w:right="220" w:hanging="616"/>
        <w:spacing w:after="0" w:line="295" w:lineRule="auto"/>
        <w:tabs>
          <w:tab w:leader="none" w:pos="1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6"/>
          <w:szCs w:val="16"/>
          <w:color w:val="auto"/>
        </w:rPr>
      </w:pPr>
    </w:p>
    <w:p>
      <w:pPr>
        <w:ind w:left="1240" w:right="320" w:hanging="616"/>
        <w:spacing w:after="0" w:line="262" w:lineRule="auto"/>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Times New Roman" w:cs="Times New Roman" w:eastAsia="Times New Roman" w:hAnsi="Times New Roman"/>
          <w:sz w:val="17"/>
          <w:szCs w:val="17"/>
          <w:color w:val="auto"/>
        </w:rPr>
      </w:pPr>
    </w:p>
    <w:p>
      <w:pPr>
        <w:ind w:left="1240" w:right="20" w:hanging="616"/>
        <w:spacing w:after="0" w:line="248" w:lineRule="auto"/>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Times New Roman" w:cs="Times New Roman" w:eastAsia="Times New Roman" w:hAnsi="Times New Roman"/>
          <w:sz w:val="17"/>
          <w:szCs w:val="17"/>
          <w:color w:val="auto"/>
        </w:rPr>
      </w:pPr>
    </w:p>
    <w:p>
      <w:pPr>
        <w:ind w:left="1720" w:right="160" w:hanging="475"/>
        <w:spacing w:after="0" w:line="265" w:lineRule="auto"/>
        <w:tabs>
          <w:tab w:leader="none" w:pos="153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6"/>
          <w:szCs w:val="16"/>
          <w:color w:val="auto"/>
        </w:rPr>
      </w:pPr>
    </w:p>
    <w:p>
      <w:pPr>
        <w:ind w:left="1720" w:right="240" w:hanging="475"/>
        <w:spacing w:after="0" w:line="256" w:lineRule="auto"/>
        <w:tabs>
          <w:tab w:leader="none" w:pos="154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Times New Roman" w:cs="Times New Roman" w:eastAsia="Times New Roman" w:hAnsi="Times New Roman"/>
          <w:sz w:val="16"/>
          <w:szCs w:val="16"/>
          <w:color w:val="auto"/>
        </w:rPr>
      </w:pPr>
    </w:p>
    <w:p>
      <w:pPr>
        <w:ind w:left="1720" w:right="60" w:hanging="475"/>
        <w:spacing w:after="0" w:line="277" w:lineRule="auto"/>
        <w:tabs>
          <w:tab w:leader="none" w:pos="153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Times New Roman" w:cs="Times New Roman" w:eastAsia="Times New Roman" w:hAnsi="Times New Roman"/>
          <w:sz w:val="16"/>
          <w:szCs w:val="16"/>
          <w:color w:val="auto"/>
        </w:rPr>
      </w:pPr>
    </w:p>
    <w:p>
      <w:pPr>
        <w:ind w:left="1720" w:hanging="475"/>
        <w:spacing w:after="0" w:line="265" w:lineRule="auto"/>
        <w:tabs>
          <w:tab w:leader="none" w:pos="154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6"/>
          <w:szCs w:val="16"/>
          <w:color w:val="auto"/>
        </w:rPr>
      </w:pPr>
    </w:p>
    <w:p>
      <w:pPr>
        <w:ind w:left="1240" w:right="660" w:hanging="616"/>
        <w:spacing w:after="0" w:line="262" w:lineRule="auto"/>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rFonts w:ascii="Times New Roman" w:cs="Times New Roman" w:eastAsia="Times New Roman" w:hAnsi="Times New Roman"/>
          <w:sz w:val="17"/>
          <w:szCs w:val="17"/>
          <w:color w:val="auto"/>
        </w:rPr>
      </w:pPr>
    </w:p>
    <w:p>
      <w:pPr>
        <w:ind w:left="1720" w:right="200" w:hanging="475"/>
        <w:spacing w:after="0" w:line="277" w:lineRule="auto"/>
        <w:tabs>
          <w:tab w:leader="none" w:pos="157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Times New Roman" w:cs="Times New Roman" w:eastAsia="Times New Roman" w:hAnsi="Times New Roman"/>
          <w:sz w:val="16"/>
          <w:szCs w:val="16"/>
          <w:color w:val="auto"/>
        </w:rPr>
      </w:pPr>
    </w:p>
    <w:p>
      <w:pPr>
        <w:ind w:left="1720" w:right="340" w:hanging="436"/>
        <w:spacing w:after="0" w:line="277" w:lineRule="auto"/>
        <w:tabs>
          <w:tab w:leader="none" w:pos="1621"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3980"/>
        <w:spacing w:after="0"/>
        <w:tabs>
          <w:tab w:leader="none" w:pos="664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15240</wp:posOffset>
            </wp:positionV>
            <wp:extent cx="2152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152015" cy="8255"/>
                    </a:xfrm>
                    <a:prstGeom prst="rect">
                      <a:avLst/>
                    </a:prstGeom>
                    <a:noFill/>
                  </pic:spPr>
                </pic:pic>
              </a:graphicData>
            </a:graphic>
          </wp:anchor>
        </w:drawing>
      </w:r>
    </w:p>
    <w:p>
      <w:pPr>
        <w:spacing w:after="0" w:line="6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1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ind w:left="71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9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Date May 8, 2024</w:t>
      </w:r>
    </w:p>
    <w:p>
      <w:pPr>
        <w:sectPr>
          <w:pgSz w:w="11900" w:h="16838" w:orient="portrait"/>
          <w:cols w:equalWidth="0" w:num="1">
            <w:col w:w="11200"/>
          </w:cols>
          <w:pgMar w:left="320" w:top="861" w:right="379" w:bottom="1440" w:gutter="0" w:footer="0" w:header="0"/>
        </w:sectPr>
      </w:pPr>
    </w:p>
    <w:bookmarkStart w:id="46" w:name="page47"/>
    <w:bookmarkEnd w:id="46"/>
    <w:p>
      <w:pPr>
        <w:ind w:left="966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ind w:left="454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Day, certify that:</w:t>
      </w:r>
    </w:p>
    <w:p>
      <w:pPr>
        <w:spacing w:after="0" w:line="256" w:lineRule="exact"/>
        <w:rPr>
          <w:sz w:val="20"/>
          <w:szCs w:val="20"/>
          <w:color w:val="auto"/>
        </w:rPr>
      </w:pPr>
    </w:p>
    <w:p>
      <w:pPr>
        <w:ind w:left="920" w:hanging="460"/>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44" w:lineRule="exact"/>
        <w:rPr>
          <w:rFonts w:ascii="Times New Roman" w:cs="Times New Roman" w:eastAsia="Times New Roman" w:hAnsi="Times New Roman"/>
          <w:sz w:val="17"/>
          <w:szCs w:val="17"/>
          <w:color w:val="auto"/>
        </w:rPr>
      </w:pPr>
    </w:p>
    <w:p>
      <w:pPr>
        <w:ind w:left="920" w:right="220" w:hanging="460"/>
        <w:spacing w:after="0" w:line="295" w:lineRule="auto"/>
        <w:tabs>
          <w:tab w:leader="none" w:pos="9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6"/>
          <w:szCs w:val="16"/>
          <w:color w:val="auto"/>
        </w:rPr>
      </w:pPr>
    </w:p>
    <w:p>
      <w:pPr>
        <w:ind w:left="920" w:right="320" w:hanging="460"/>
        <w:spacing w:after="0" w:line="262" w:lineRule="auto"/>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Times New Roman" w:cs="Times New Roman" w:eastAsia="Times New Roman" w:hAnsi="Times New Roman"/>
          <w:sz w:val="17"/>
          <w:szCs w:val="17"/>
          <w:color w:val="auto"/>
        </w:rPr>
      </w:pPr>
    </w:p>
    <w:p>
      <w:pPr>
        <w:ind w:left="920" w:right="20" w:hanging="460"/>
        <w:spacing w:after="0" w:line="248" w:lineRule="auto"/>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6" w:lineRule="exact"/>
        <w:rPr>
          <w:rFonts w:ascii="Times New Roman" w:cs="Times New Roman" w:eastAsia="Times New Roman" w:hAnsi="Times New Roman"/>
          <w:sz w:val="17"/>
          <w:szCs w:val="17"/>
          <w:color w:val="auto"/>
        </w:rPr>
      </w:pPr>
    </w:p>
    <w:p>
      <w:pPr>
        <w:ind w:left="1540" w:right="100" w:hanging="459"/>
        <w:spacing w:after="0" w:line="256" w:lineRule="auto"/>
        <w:tabs>
          <w:tab w:leader="none" w:pos="153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6"/>
          <w:szCs w:val="16"/>
          <w:color w:val="auto"/>
        </w:rPr>
      </w:pPr>
    </w:p>
    <w:p>
      <w:pPr>
        <w:ind w:left="1540" w:right="80" w:hanging="459"/>
        <w:spacing w:after="0" w:line="256" w:lineRule="auto"/>
        <w:tabs>
          <w:tab w:leader="none" w:pos="15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16"/>
          <w:szCs w:val="16"/>
          <w:color w:val="auto"/>
        </w:rPr>
      </w:pPr>
    </w:p>
    <w:p>
      <w:pPr>
        <w:ind w:left="1540" w:right="120" w:hanging="459"/>
        <w:spacing w:after="0" w:line="260" w:lineRule="auto"/>
        <w:tabs>
          <w:tab w:leader="none" w:pos="153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Times New Roman" w:cs="Times New Roman" w:eastAsia="Times New Roman" w:hAnsi="Times New Roman"/>
          <w:sz w:val="16"/>
          <w:szCs w:val="16"/>
          <w:color w:val="auto"/>
        </w:rPr>
      </w:pPr>
    </w:p>
    <w:p>
      <w:pPr>
        <w:ind w:left="1540" w:hanging="459"/>
        <w:spacing w:after="0" w:line="256" w:lineRule="auto"/>
        <w:tabs>
          <w:tab w:leader="none" w:pos="15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Times New Roman" w:cs="Times New Roman" w:eastAsia="Times New Roman" w:hAnsi="Times New Roman"/>
          <w:sz w:val="16"/>
          <w:szCs w:val="16"/>
          <w:color w:val="auto"/>
        </w:rPr>
      </w:pPr>
    </w:p>
    <w:p>
      <w:pPr>
        <w:ind w:left="920" w:right="80" w:hanging="460"/>
        <w:spacing w:after="0" w:line="277" w:lineRule="auto"/>
        <w:tabs>
          <w:tab w:leader="none" w:pos="78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Times New Roman" w:cs="Times New Roman" w:eastAsia="Times New Roman" w:hAnsi="Times New Roman"/>
          <w:sz w:val="16"/>
          <w:szCs w:val="16"/>
          <w:color w:val="auto"/>
        </w:rPr>
      </w:pPr>
    </w:p>
    <w:p>
      <w:pPr>
        <w:ind w:left="1540" w:right="60" w:hanging="459"/>
        <w:spacing w:after="0" w:line="260" w:lineRule="auto"/>
        <w:tabs>
          <w:tab w:leader="none" w:pos="153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Times New Roman" w:cs="Times New Roman" w:eastAsia="Times New Roman" w:hAnsi="Times New Roman"/>
          <w:sz w:val="16"/>
          <w:szCs w:val="16"/>
          <w:color w:val="auto"/>
        </w:rPr>
      </w:pPr>
    </w:p>
    <w:p>
      <w:pPr>
        <w:ind w:left="1540" w:right="100" w:hanging="459"/>
        <w:spacing w:after="0" w:line="260" w:lineRule="auto"/>
        <w:tabs>
          <w:tab w:leader="none" w:pos="15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542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Signature:</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Day</w:t>
            </w:r>
          </w:p>
        </w:tc>
        <w:tc>
          <w:tcPr>
            <w:tcW w:w="0" w:type="dxa"/>
            <w:vAlign w:val="bottom"/>
          </w:tcPr>
          <w:p>
            <w:pPr>
              <w:spacing w:after="0"/>
              <w:rPr>
                <w:sz w:val="1"/>
                <w:szCs w:val="1"/>
                <w:color w:val="auto"/>
              </w:rPr>
            </w:pPr>
          </w:p>
        </w:tc>
      </w:tr>
      <w:tr>
        <w:trPr>
          <w:trHeight w:val="228"/>
        </w:trPr>
        <w:tc>
          <w:tcPr>
            <w:tcW w:w="5420" w:type="dxa"/>
            <w:vAlign w:val="bottom"/>
          </w:tcPr>
          <w:p>
            <w:pPr>
              <w:spacing w:after="0"/>
              <w:rPr>
                <w:sz w:val="19"/>
                <w:szCs w:val="19"/>
                <w:color w:val="auto"/>
              </w:rPr>
            </w:pPr>
          </w:p>
        </w:tc>
        <w:tc>
          <w:tcPr>
            <w:tcW w:w="34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David Day</w:t>
            </w:r>
          </w:p>
        </w:tc>
        <w:tc>
          <w:tcPr>
            <w:tcW w:w="0" w:type="dxa"/>
            <w:vAlign w:val="bottom"/>
          </w:tcPr>
          <w:p>
            <w:pPr>
              <w:spacing w:after="0"/>
              <w:rPr>
                <w:sz w:val="1"/>
                <w:szCs w:val="1"/>
                <w:color w:val="auto"/>
              </w:rPr>
            </w:pPr>
          </w:p>
        </w:tc>
      </w:tr>
      <w:tr>
        <w:trPr>
          <w:trHeight w:val="181"/>
        </w:trPr>
        <w:tc>
          <w:tcPr>
            <w:tcW w:w="5420" w:type="dxa"/>
            <w:vAlign w:val="bottom"/>
          </w:tcPr>
          <w:p>
            <w:pPr>
              <w:spacing w:after="0"/>
              <w:rPr>
                <w:sz w:val="15"/>
                <w:szCs w:val="15"/>
                <w:color w:val="auto"/>
              </w:rPr>
            </w:pPr>
          </w:p>
        </w:tc>
        <w:tc>
          <w:tcPr>
            <w:tcW w:w="3400" w:type="dxa"/>
            <w:vAlign w:val="bottom"/>
          </w:tcPr>
          <w:p>
            <w:pPr>
              <w:ind w:left="720"/>
              <w:spacing w:after="0" w:line="181" w:lineRule="exact"/>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02"/>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May 8, 2024</w:t>
            </w:r>
          </w:p>
        </w:tc>
        <w:tc>
          <w:tcPr>
            <w:tcW w:w="34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0" w:type="dxa"/>
            <w:vAlign w:val="bottom"/>
          </w:tcPr>
          <w:p>
            <w:pPr>
              <w:spacing w:after="0"/>
              <w:rPr>
                <w:sz w:val="1"/>
                <w:szCs w:val="1"/>
                <w:color w:val="auto"/>
              </w:rPr>
            </w:pPr>
          </w:p>
        </w:tc>
      </w:tr>
      <w:tr>
        <w:trPr>
          <w:trHeight w:val="52"/>
        </w:trPr>
        <w:tc>
          <w:tcPr>
            <w:tcW w:w="542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640" w:top="861" w:right="3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21" w:lineRule="exact"/>
        <w:rPr>
          <w:sz w:val="20"/>
          <w:szCs w:val="20"/>
          <w:color w:val="auto"/>
        </w:rPr>
      </w:pPr>
    </w:p>
    <w:p>
      <w:pPr>
        <w:jc w:val="center"/>
        <w:ind w:left="780" w:right="140"/>
        <w:spacing w:after="0" w:line="380" w:lineRule="auto"/>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28" w:lineRule="exact"/>
        <w:rPr>
          <w:sz w:val="20"/>
          <w:szCs w:val="20"/>
          <w:color w:val="auto"/>
        </w:rPr>
      </w:pPr>
    </w:p>
    <w:p>
      <w:pPr>
        <w:ind w:right="480"/>
        <w:spacing w:after="0" w:line="357" w:lineRule="auto"/>
        <w:rPr>
          <w:sz w:val="20"/>
          <w:szCs w:val="20"/>
          <w:color w:val="auto"/>
        </w:rPr>
      </w:pPr>
      <w:r>
        <w:rPr>
          <w:rFonts w:ascii="Times New Roman" w:cs="Times New Roman" w:eastAsia="Times New Roman" w:hAnsi="Times New Roman"/>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40" w:lineRule="exact"/>
        <w:rPr>
          <w:sz w:val="20"/>
          <w:szCs w:val="20"/>
          <w:color w:val="auto"/>
        </w:rPr>
      </w:pPr>
    </w:p>
    <w:p>
      <w:pPr>
        <w:ind w:left="620" w:right="100" w:hanging="306"/>
        <w:spacing w:after="0" w:line="363"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Quarterly Report on Form 10-Q for the quarter ended March 31, 2024, to which this certification is attached as Exhibit 32 (the "Report"), fully complies with the requirements of Section 13(a) or 15(d) of the Securities Exchange Act of 1934; and</w:t>
      </w:r>
    </w:p>
    <w:p>
      <w:pPr>
        <w:spacing w:after="0" w:line="22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2024</w:t>
      </w:r>
    </w:p>
    <w:p>
      <w:pPr>
        <w:spacing w:after="0" w:line="30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15240</wp:posOffset>
            </wp:positionV>
            <wp:extent cx="2250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15"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President and Chief Executive</w:t>
      </w:r>
    </w:p>
    <w:p>
      <w:pPr>
        <w:ind w:left="7380"/>
        <w:spacing w:after="0"/>
        <w:rPr>
          <w:sz w:val="20"/>
          <w:szCs w:val="20"/>
          <w:color w:val="auto"/>
        </w:rPr>
      </w:pPr>
      <w:r>
        <w:rPr>
          <w:rFonts w:ascii="Times New Roman" w:cs="Times New Roman" w:eastAsia="Times New Roman" w:hAnsi="Times New Roman"/>
          <w:sz w:val="16"/>
          <w:szCs w:val="16"/>
          <w:color w:val="auto"/>
        </w:rPr>
        <w:t>Officer</w:t>
      </w:r>
    </w:p>
    <w:p>
      <w:pPr>
        <w:spacing w:after="0" w:line="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15240</wp:posOffset>
            </wp:positionV>
            <wp:extent cx="22504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55"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David Day</w:t>
      </w:r>
    </w:p>
    <w:p>
      <w:pPr>
        <w:spacing w:after="0" w:line="1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0"/>
        <w:spacing w:after="0" w:line="378" w:lineRule="auto"/>
        <w:rPr>
          <w:sz w:val="20"/>
          <w:szCs w:val="20"/>
          <w:color w:val="auto"/>
        </w:rPr>
      </w:pPr>
      <w:r>
        <w:rPr>
          <w:rFonts w:ascii="Times New Roman" w:cs="Times New Roman" w:eastAsia="Times New Roman" w:hAnsi="Times New Roman"/>
          <w:sz w:val="16"/>
          <w:szCs w:val="16"/>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80"/>
      </w:cols>
      <w:pgMar w:left="320" w:top="90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12"/>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3"/>
    </w:lvl>
  </w:abstractNum>
  <w:abstractNum w:abstractNumId="5">
    <w:nsid w:val="1F16E9E8"/>
    <w:multiLevelType w:val="hybridMultilevel"/>
    <w:lvl w:ilvl="0">
      <w:lvlJc w:val="left"/>
      <w:lvlText w:val="(%1)"/>
      <w:numFmt w:val="decimal"/>
      <w:start w:val="1"/>
    </w:lvl>
    <w:lvl w:ilvl="1">
      <w:lvlJc w:val="left"/>
      <w:lvlText w:val="(%2)"/>
      <w:numFmt w:val="decimal"/>
      <w:start w:val="2"/>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67" Type="http://schemas.openxmlformats.org/officeDocument/2006/relationships/hyperlink" Target="https://www.sec.gov/Archives/edgar/data/1595974/000159597424000014/exhibit1028-credi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2024-05-08T15:41:15Z</dcterms:created>
  <dcterms:modified xsi:type="dcterms:W3CDTF">2024-05-08T15:41:15Z</dcterms:modified>
</cp:coreProperties>
</file>