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33"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(Mark One)</w:t>
      </w:r>
    </w:p>
    <w:p>
      <w:pPr>
        <w:spacing w:after="0" w:line="226"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2021</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_____________ to 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001-36384</w:t>
      </w:r>
    </w:p>
    <w:p>
      <w:pPr>
        <w:spacing w:after="0" w:line="30" w:lineRule="exact"/>
        <w:rPr>
          <w:sz w:val="24"/>
          <w:szCs w:val="24"/>
          <w:color w:val="auto"/>
        </w:rPr>
      </w:pPr>
    </w:p>
    <w:p>
      <w:pPr>
        <w:ind w:left="4840"/>
        <w:spacing w:after="0"/>
        <w:rPr>
          <w:sz w:val="20"/>
          <w:szCs w:val="20"/>
          <w:color w:val="auto"/>
        </w:rPr>
      </w:pPr>
      <w:r>
        <w:rPr>
          <w:rFonts w:ascii="Arial" w:cs="Arial" w:eastAsia="Arial" w:hAnsi="Arial"/>
          <w:sz w:val="17"/>
          <w:szCs w:val="17"/>
          <w:b w:val="1"/>
          <w:bCs w:val="1"/>
          <w:color w:val="auto"/>
        </w:rPr>
        <w:t>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MAGNITE,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0"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__________________</w:t>
      </w:r>
    </w:p>
    <w:p>
      <w:pPr>
        <w:sectPr>
          <w:pgSz w:w="11900" w:h="16838" w:orient="portrait"/>
          <w:cols w:equalWidth="0" w:num="1">
            <w:col w:w="11240"/>
          </w:cols>
          <w:pgMar w:left="320" w:top="231" w:right="339" w:bottom="1440" w:gutter="0" w:footer="0" w:header="0"/>
        </w:sectPr>
      </w:pPr>
    </w:p>
    <w:p>
      <w:pPr>
        <w:spacing w:after="0" w:line="122" w:lineRule="exact"/>
        <w:rPr>
          <w:sz w:val="24"/>
          <w:szCs w:val="24"/>
          <w:color w:val="auto"/>
        </w:rPr>
      </w:pPr>
    </w:p>
    <w:p>
      <w:pPr>
        <w:ind w:left="18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20-8881738</w:t>
      </w:r>
    </w:p>
    <w:p>
      <w:pPr>
        <w:spacing w:after="0" w:line="52" w:lineRule="exact"/>
        <w:rPr>
          <w:sz w:val="24"/>
          <w:szCs w:val="24"/>
          <w:color w:val="auto"/>
        </w:rPr>
      </w:pPr>
    </w:p>
    <w:p>
      <w:pPr>
        <w:sectPr>
          <w:pgSz w:w="11900" w:h="16838" w:orient="portrait"/>
          <w:cols w:equalWidth="0" w:num="2">
            <w:col w:w="7880" w:space="720"/>
            <w:col w:w="2640"/>
          </w:cols>
          <w:pgMar w:left="320" w:top="231" w:right="339" w:bottom="1440" w:gutter="0" w:footer="0" w:header="0"/>
          <w:type w:val="continuous"/>
        </w:sectPr>
      </w:pPr>
    </w:p>
    <w:p>
      <w:pPr>
        <w:jc w:val="center"/>
        <w:ind w:right="2600"/>
        <w:spacing w:after="0"/>
        <w:rPr>
          <w:sz w:val="20"/>
          <w:szCs w:val="20"/>
          <w:color w:val="auto"/>
        </w:rPr>
      </w:pPr>
      <w:r>
        <w:rPr>
          <w:rFonts w:ascii="Arial" w:cs="Arial" w:eastAsia="Arial" w:hAnsi="Arial"/>
          <w:sz w:val="16"/>
          <w:szCs w:val="16"/>
          <w:color w:val="auto"/>
        </w:rPr>
        <w:t>(State or other jurisdiction of incorporation or</w:t>
      </w:r>
    </w:p>
    <w:p>
      <w:pPr>
        <w:jc w:val="center"/>
        <w:ind w:right="2600"/>
        <w:spacing w:after="0"/>
        <w:rPr>
          <w:sz w:val="20"/>
          <w:szCs w:val="20"/>
          <w:color w:val="auto"/>
        </w:rPr>
      </w:pPr>
      <w:r>
        <w:rPr>
          <w:rFonts w:ascii="Arial" w:cs="Arial" w:eastAsia="Arial" w:hAnsi="Arial"/>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88" w:lineRule="exact"/>
        <w:rPr>
          <w:sz w:val="24"/>
          <w:szCs w:val="24"/>
          <w:color w:val="auto"/>
        </w:rPr>
      </w:pPr>
    </w:p>
    <w:p>
      <w:pPr>
        <w:sectPr>
          <w:pgSz w:w="11900" w:h="16838" w:orient="portrait"/>
          <w:cols w:equalWidth="0" w:num="2">
            <w:col w:w="7040" w:space="720"/>
            <w:col w:w="3480"/>
          </w:cols>
          <w:pgMar w:left="320" w:top="231"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1250 Broadway, 15th Floor</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New York, New York 10001</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24" w:lineRule="exact"/>
        <w:rPr>
          <w:sz w:val="24"/>
          <w:szCs w:val="24"/>
          <w:color w:val="auto"/>
        </w:rPr>
      </w:pPr>
    </w:p>
    <w:p>
      <w:pPr>
        <w:ind w:left="5500" w:hanging="415"/>
        <w:spacing w:after="0"/>
        <w:tabs>
          <w:tab w:leader="none" w:pos="55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243-2769</w:t>
      </w:r>
    </w:p>
    <w:p>
      <w:pPr>
        <w:spacing w:after="0" w:line="96" w:lineRule="exact"/>
        <w:rPr>
          <w:rFonts w:ascii="Arial" w:cs="Arial" w:eastAsia="Arial" w:hAnsi="Arial"/>
          <w:sz w:val="17"/>
          <w:szCs w:val="17"/>
          <w:b w:val="1"/>
          <w:bCs w:val="1"/>
          <w:color w:val="auto"/>
        </w:rPr>
      </w:pPr>
    </w:p>
    <w:p>
      <w:pPr>
        <w:ind w:left="5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______________</w:t>
      </w:r>
    </w:p>
    <w:p>
      <w:pPr>
        <w:spacing w:after="0" w:line="250"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231" w:right="339" w:bottom="1440" w:gutter="0" w:footer="0" w:header="0"/>
          <w:type w:val="continuous"/>
        </w:sectPr>
      </w:pPr>
    </w:p>
    <w:p>
      <w:pPr>
        <w:spacing w:after="0" w:line="128"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Trading Symbol(s)</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Name of each exchange on which registered</w:t>
      </w:r>
    </w:p>
    <w:p>
      <w:pPr>
        <w:spacing w:after="0" w:line="47" w:lineRule="exact"/>
        <w:rPr>
          <w:sz w:val="24"/>
          <w:szCs w:val="24"/>
          <w:color w:val="auto"/>
        </w:rPr>
      </w:pPr>
    </w:p>
    <w:p>
      <w:pPr>
        <w:sectPr>
          <w:pgSz w:w="11900" w:h="16838" w:orient="portrait"/>
          <w:cols w:equalWidth="0" w:num="3">
            <w:col w:w="3760" w:space="720"/>
            <w:col w:w="1980" w:space="720"/>
            <w:col w:w="4060"/>
          </w:cols>
          <w:pgMar w:left="320" w:top="231" w:right="339" w:bottom="1440" w:gutter="0" w:footer="0" w:header="0"/>
          <w:type w:val="continuous"/>
        </w:sectPr>
      </w:pPr>
    </w:p>
    <w:p>
      <w:pPr>
        <w:ind w:left="400"/>
        <w:spacing w:after="0"/>
        <w:rPr>
          <w:sz w:val="20"/>
          <w:szCs w:val="20"/>
          <w:color w:val="auto"/>
        </w:rPr>
      </w:pPr>
      <w:r>
        <w:rPr>
          <w:rFonts w:ascii="Arial" w:cs="Arial" w:eastAsia="Arial" w:hAnsi="Arial"/>
          <w:sz w:val="15"/>
          <w:szCs w:val="15"/>
          <w:b w:val="1"/>
          <w:bCs w:val="1"/>
          <w:color w:val="auto"/>
        </w:rPr>
        <w:t>Common stock, par value $0.00001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MGNI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Nasdaq Global Select Market</w:t>
      </w:r>
    </w:p>
    <w:p>
      <w:pPr>
        <w:spacing w:after="0" w:line="222" w:lineRule="exact"/>
        <w:rPr>
          <w:sz w:val="24"/>
          <w:szCs w:val="24"/>
          <w:color w:val="auto"/>
        </w:rPr>
      </w:pPr>
    </w:p>
    <w:p>
      <w:pPr>
        <w:sectPr>
          <w:pgSz w:w="11900" w:h="16838" w:orient="portrait"/>
          <w:cols w:equalWidth="0" w:num="3">
            <w:col w:w="4180" w:space="720"/>
            <w:col w:w="2000" w:space="720"/>
            <w:col w:w="3620"/>
          </w:cols>
          <w:pgMar w:left="320" w:top="231" w:right="339" w:bottom="1440" w:gutter="0" w:footer="0" w:header="0"/>
          <w:type w:val="continuous"/>
        </w:sectPr>
      </w:pPr>
    </w:p>
    <w:p>
      <w:pPr>
        <w:spacing w:after="0" w:line="19"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2" w:lineRule="exact"/>
        <w:rPr>
          <w:sz w:val="24"/>
          <w:szCs w:val="24"/>
          <w:color w:val="auto"/>
        </w:rPr>
      </w:pPr>
    </w:p>
    <w:p>
      <w:pPr>
        <w:jc w:val="both"/>
        <w:spacing w:after="0" w:line="22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60" w:lineRule="exact"/>
        <w:rPr>
          <w:sz w:val="24"/>
          <w:szCs w:val="24"/>
          <w:color w:val="auto"/>
        </w:rPr>
      </w:pPr>
    </w:p>
    <w:p>
      <w:pPr>
        <w:jc w:val="both"/>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18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80"/>
              <w:spacing w:after="0"/>
              <w:rPr>
                <w:sz w:val="20"/>
                <w:szCs w:val="20"/>
                <w:color w:val="auto"/>
              </w:rPr>
            </w:pPr>
            <w:r>
              <w:rPr>
                <w:rFonts w:ascii="Arial" w:cs="Arial" w:eastAsia="Arial" w:hAnsi="Arial"/>
                <w:sz w:val="17"/>
                <w:szCs w:val="17"/>
                <w:color w:val="auto"/>
              </w:rPr>
              <w:t>Accelerated filer</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2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1880"/>
              <w:spacing w:after="0" w:line="171" w:lineRule="exact"/>
              <w:rPr>
                <w:sz w:val="20"/>
                <w:szCs w:val="20"/>
                <w:color w:val="auto"/>
              </w:rPr>
            </w:pPr>
            <w:r>
              <w:rPr>
                <w:rFonts w:ascii="MS PGothic" w:cs="MS PGothic" w:eastAsia="MS PGothic" w:hAnsi="MS PGothic"/>
                <w:sz w:val="17"/>
                <w:szCs w:val="17"/>
                <w:color w:val="auto"/>
              </w:rPr>
              <w:t>☐</w:t>
            </w:r>
          </w:p>
        </w:tc>
        <w:tc>
          <w:tcPr>
            <w:tcW w:w="3760" w:type="dxa"/>
            <w:vAlign w:val="bottom"/>
          </w:tcPr>
          <w:p>
            <w:pPr>
              <w:ind w:left="80"/>
              <w:spacing w:after="0"/>
              <w:rPr>
                <w:sz w:val="20"/>
                <w:szCs w:val="20"/>
                <w:color w:val="auto"/>
              </w:rPr>
            </w:pPr>
            <w:r>
              <w:rPr>
                <w:rFonts w:ascii="Arial" w:cs="Arial" w:eastAsia="Arial" w:hAnsi="Arial"/>
                <w:sz w:val="17"/>
                <w:szCs w:val="17"/>
                <w:color w:val="auto"/>
              </w:rPr>
              <w:t>Smaller reporting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10"/>
        </w:trPr>
        <w:tc>
          <w:tcPr>
            <w:tcW w:w="3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7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3" w:lineRule="exact"/>
        <w:rPr>
          <w:sz w:val="24"/>
          <w:szCs w:val="24"/>
          <w:color w:val="auto"/>
        </w:rPr>
      </w:pPr>
    </w:p>
    <w:p>
      <w:pPr>
        <w:ind w:right="44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right="2560"/>
        <w:spacing w:after="0" w:line="26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Indicate the number of shares outstanding of each of the registrant's classes of common stock, as of the latest practicable date.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500" w:type="dxa"/>
            <w:vAlign w:val="bottom"/>
          </w:tcPr>
          <w:p>
            <w:pPr>
              <w:spacing w:after="0"/>
              <w:rPr>
                <w:sz w:val="17"/>
                <w:szCs w:val="17"/>
                <w:color w:val="auto"/>
              </w:rPr>
            </w:pPr>
          </w:p>
        </w:tc>
        <w:tc>
          <w:tcPr>
            <w:tcW w:w="4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Class</w:t>
            </w:r>
          </w:p>
        </w:tc>
        <w:tc>
          <w:tcPr>
            <w:tcW w:w="5580" w:type="dxa"/>
            <w:vAlign w:val="bottom"/>
            <w:gridSpan w:val="2"/>
          </w:tcPr>
          <w:p>
            <w:pPr>
              <w:jc w:val="center"/>
              <w:ind w:right="1480"/>
              <w:spacing w:after="0"/>
              <w:rPr>
                <w:sz w:val="20"/>
                <w:szCs w:val="20"/>
                <w:color w:val="auto"/>
              </w:rPr>
            </w:pPr>
            <w:r>
              <w:rPr>
                <w:rFonts w:ascii="Arial" w:cs="Arial" w:eastAsia="Arial" w:hAnsi="Arial"/>
                <w:sz w:val="16"/>
                <w:szCs w:val="16"/>
                <w:b w:val="1"/>
                <w:bCs w:val="1"/>
                <w:color w:val="auto"/>
                <w:w w:val="87"/>
              </w:rPr>
              <w:t>Outstanding as of October 27, 2021</w:t>
            </w:r>
          </w:p>
        </w:tc>
      </w:tr>
      <w:tr>
        <w:trPr>
          <w:trHeight w:val="221"/>
        </w:trPr>
        <w:tc>
          <w:tcPr>
            <w:tcW w:w="1500" w:type="dxa"/>
            <w:vAlign w:val="bottom"/>
          </w:tcPr>
          <w:p>
            <w:pPr>
              <w:spacing w:after="0"/>
              <w:rPr>
                <w:sz w:val="19"/>
                <w:szCs w:val="19"/>
                <w:color w:val="auto"/>
              </w:rPr>
            </w:pP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Common Stock, $0.00001 par value</w:t>
            </w:r>
          </w:p>
        </w:tc>
        <w:tc>
          <w:tcPr>
            <w:tcW w:w="100" w:type="dxa"/>
            <w:vAlign w:val="bottom"/>
          </w:tcPr>
          <w:p>
            <w:pPr>
              <w:spacing w:after="0"/>
              <w:rPr>
                <w:sz w:val="19"/>
                <w:szCs w:val="19"/>
                <w:color w:val="auto"/>
              </w:rPr>
            </w:pPr>
          </w:p>
        </w:tc>
        <w:tc>
          <w:tcPr>
            <w:tcW w:w="4100" w:type="dxa"/>
            <w:vAlign w:val="bottom"/>
            <w:tcBorders>
              <w:top w:val="single" w:sz="8" w:color="auto"/>
            </w:tcBorders>
          </w:tcPr>
          <w:p>
            <w:pPr>
              <w:jc w:val="right"/>
              <w:ind w:right="1538"/>
              <w:spacing w:after="0"/>
              <w:rPr>
                <w:sz w:val="20"/>
                <w:szCs w:val="20"/>
                <w:color w:val="auto"/>
              </w:rPr>
            </w:pPr>
            <w:r>
              <w:rPr>
                <w:rFonts w:ascii="Arial" w:cs="Arial" w:eastAsia="Arial" w:hAnsi="Arial"/>
                <w:sz w:val="17"/>
                <w:szCs w:val="17"/>
                <w:b w:val="1"/>
                <w:bCs w:val="1"/>
                <w:color w:val="auto"/>
              </w:rPr>
              <w:t>131,812,867</w:t>
            </w:r>
          </w:p>
        </w:tc>
        <w:tc>
          <w:tcPr>
            <w:tcW w:w="1480" w:type="dxa"/>
            <w:vAlign w:val="bottom"/>
          </w:tcPr>
          <w:p>
            <w:pPr>
              <w:spacing w:after="0"/>
              <w:rPr>
                <w:sz w:val="19"/>
                <w:szCs w:val="19"/>
                <w:color w:val="auto"/>
              </w:rPr>
            </w:pPr>
          </w:p>
        </w:tc>
      </w:tr>
      <w:tr>
        <w:trPr>
          <w:trHeight w:val="815"/>
        </w:trPr>
        <w:tc>
          <w:tcPr>
            <w:tcW w:w="15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2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5"/>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0"/>
          </w:tcPr>
          <w:p>
            <w:pPr>
              <w:jc w:val="center"/>
              <w:ind w:right="3980"/>
              <w:spacing w:after="0"/>
              <w:rPr>
                <w:sz w:val="20"/>
                <w:szCs w:val="20"/>
                <w:color w:val="auto"/>
              </w:rPr>
            </w:pPr>
            <w:r>
              <w:rPr>
                <w:rFonts w:ascii="Arial" w:cs="Arial" w:eastAsia="Arial" w:hAnsi="Arial"/>
                <w:sz w:val="17"/>
                <w:szCs w:val="17"/>
                <w:b w:val="1"/>
                <w:bCs w:val="1"/>
                <w:color w:val="auto"/>
              </w:rPr>
              <w:t>MAGNITE, INC.</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1"/>
          </w:tcPr>
          <w:p>
            <w:pPr>
              <w:jc w:val="center"/>
              <w:ind w:right="2320"/>
              <w:spacing w:after="0"/>
              <w:rPr>
                <w:sz w:val="20"/>
                <w:szCs w:val="20"/>
                <w:color w:val="auto"/>
              </w:rPr>
            </w:pPr>
            <w:r>
              <w:rPr>
                <w:rFonts w:ascii="Arial" w:cs="Arial" w:eastAsia="Arial" w:hAnsi="Arial"/>
                <w:sz w:val="17"/>
                <w:szCs w:val="17"/>
                <w:b w:val="1"/>
                <w:bCs w:val="1"/>
                <w:color w:val="auto"/>
              </w:rPr>
              <w:t>QUARTERLY REPORT ON FORM 10-Q</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1"/>
          </w:tcPr>
          <w:p>
            <w:pPr>
              <w:jc w:val="center"/>
              <w:ind w:right="2320"/>
              <w:spacing w:after="0"/>
              <w:rPr>
                <w:sz w:val="20"/>
                <w:szCs w:val="20"/>
                <w:color w:val="auto"/>
              </w:rPr>
            </w:pPr>
            <w:r>
              <w:rPr>
                <w:rFonts w:ascii="Arial" w:cs="Arial" w:eastAsia="Arial" w:hAnsi="Arial"/>
                <w:sz w:val="17"/>
                <w:szCs w:val="17"/>
                <w:b w:val="1"/>
                <w:bCs w:val="1"/>
                <w:color w:val="auto"/>
              </w:rPr>
              <w:t>TABLE OF CONTENTS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7"/>
          </w:tcPr>
          <w:p>
            <w:pPr>
              <w:ind w:left="100"/>
              <w:spacing w:after="0"/>
              <w:rPr>
                <w:sz w:val="20"/>
                <w:szCs w:val="20"/>
                <w:color w:val="auto"/>
              </w:rPr>
            </w:pPr>
            <w:r>
              <w:rPr>
                <w:rFonts w:ascii="Arial" w:cs="Arial" w:eastAsia="Arial" w:hAnsi="Arial"/>
                <w:sz w:val="17"/>
                <w:szCs w:val="17"/>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tcPr>
          <w:p>
            <w:pPr>
              <w:ind w:left="120"/>
              <w:spacing w:after="0" w:line="174" w:lineRule="exact"/>
              <w:rPr>
                <w:sz w:val="20"/>
                <w:szCs w:val="20"/>
                <w:color w:val="auto"/>
              </w:rPr>
            </w:pPr>
            <w:r>
              <w:rPr>
                <w:rFonts w:ascii="Arial" w:cs="Arial" w:eastAsia="Arial" w:hAnsi="Arial"/>
                <w:sz w:val="17"/>
                <w:szCs w:val="17"/>
                <w:color w:val="auto"/>
              </w:rPr>
              <w:t>Part I.</w:t>
            </w:r>
          </w:p>
        </w:tc>
        <w:tc>
          <w:tcPr>
            <w:tcW w:w="2160" w:type="dxa"/>
            <w:vAlign w:val="bottom"/>
            <w:gridSpan w:val="10"/>
          </w:tcPr>
          <w:p>
            <w:pPr>
              <w:spacing w:after="0" w:line="174"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7000" w:type="dxa"/>
            <w:vAlign w:val="bottom"/>
            <w:gridSpan w:val="11"/>
          </w:tcPr>
          <w:p>
            <w:pPr>
              <w:spacing w:after="0"/>
              <w:rPr>
                <w:sz w:val="15"/>
                <w:szCs w:val="15"/>
                <w:color w:val="auto"/>
              </w:rPr>
            </w:pPr>
          </w:p>
        </w:tc>
        <w:tc>
          <w:tcPr>
            <w:tcW w:w="520" w:type="dxa"/>
            <w:vAlign w:val="bottom"/>
            <w:tcBorders>
              <w:top w:val="single" w:sz="8" w:color="auto"/>
            </w:tcBorders>
            <w:gridSpan w:val="5"/>
          </w:tcPr>
          <w:p>
            <w:pPr>
              <w:jc w:val="center"/>
              <w:ind w:left="274"/>
              <w:spacing w:after="0" w:line="174" w:lineRule="exact"/>
              <w:rPr>
                <w:rFonts w:ascii="Arial" w:cs="Arial" w:eastAsia="Arial" w:hAnsi="Arial"/>
                <w:sz w:val="17"/>
                <w:szCs w:val="17"/>
                <w:color w:val="0000FF"/>
                <w:w w:val="84"/>
              </w:rPr>
            </w:pPr>
            <w:hyperlink w:anchor="page2">
              <w:r>
                <w:rPr>
                  <w:rFonts w:ascii="Arial" w:cs="Arial" w:eastAsia="Arial" w:hAnsi="Arial"/>
                  <w:sz w:val="17"/>
                  <w:szCs w:val="17"/>
                  <w:color w:val="0000FF"/>
                  <w:w w:val="84"/>
                </w:rPr>
                <w:t>4</w:t>
              </w:r>
            </w:hyperlink>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4080" w:type="dxa"/>
            <w:vAlign w:val="bottom"/>
            <w:gridSpan w:val="12"/>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Condensed Consolidated Financial Statements (Unaudited)</w:t>
              </w:r>
            </w:hyperlink>
          </w:p>
        </w:tc>
        <w:tc>
          <w:tcPr>
            <w:tcW w:w="5080" w:type="dxa"/>
            <w:vAlign w:val="bottom"/>
            <w:gridSpan w:val="9"/>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1"/>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Balance Sheets as of September 30, 2021 and December 31, 2020</w:t>
              </w:r>
            </w:hyperlink>
          </w:p>
        </w:tc>
        <w:tc>
          <w:tcPr>
            <w:tcW w:w="520" w:type="dxa"/>
            <w:vAlign w:val="bottom"/>
            <w:gridSpan w:val="5"/>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1"/>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Operations for the Three and Nine Months Ended September 30, 2021 and September 30,</w:t>
              </w:r>
            </w:hyperlink>
          </w:p>
        </w:tc>
        <w:tc>
          <w:tcPr>
            <w:tcW w:w="520" w:type="dxa"/>
            <w:vAlign w:val="bottom"/>
            <w:gridSpan w:val="5"/>
            <w:vMerge w:val="restart"/>
          </w:tcPr>
          <w:p>
            <w:pPr>
              <w:jc w:val="center"/>
              <w:ind w:left="274"/>
              <w:spacing w:after="0"/>
              <w:rPr>
                <w:rFonts w:ascii="Arial" w:cs="Arial" w:eastAsia="Arial" w:hAnsi="Arial"/>
                <w:sz w:val="17"/>
                <w:szCs w:val="17"/>
                <w:color w:val="0000FF"/>
                <w:w w:val="84"/>
              </w:rPr>
            </w:pPr>
            <w:hyperlink w:anchor="page3">
              <w:r>
                <w:rPr>
                  <w:rFonts w:ascii="Arial" w:cs="Arial" w:eastAsia="Arial" w:hAnsi="Arial"/>
                  <w:sz w:val="17"/>
                  <w:szCs w:val="17"/>
                  <w:color w:val="0000FF"/>
                  <w:w w:val="84"/>
                </w:rPr>
                <w:t>5</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40" w:type="dxa"/>
            <w:vAlign w:val="bottom"/>
            <w:tcBorders>
              <w:top w:val="single" w:sz="8" w:color="0000FF"/>
            </w:tcBorders>
            <w:gridSpan w:val="2"/>
          </w:tcPr>
          <w:p>
            <w:pPr>
              <w:spacing w:after="0" w:line="148"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2020</w:t>
              </w:r>
            </w:hyperlink>
          </w:p>
        </w:tc>
        <w:tc>
          <w:tcPr>
            <w:tcW w:w="2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1"/>
          </w:tcPr>
          <w:p>
            <w:pPr>
              <w:spacing w:after="0"/>
              <w:rPr>
                <w:rFonts w:ascii="Arial" w:cs="Arial" w:eastAsia="Arial" w:hAnsi="Arial"/>
                <w:sz w:val="17"/>
                <w:szCs w:val="17"/>
                <w:color w:val="0000FF"/>
                <w:w w:val="92"/>
              </w:rPr>
            </w:pPr>
            <w:hyperlink w:anchor="page4">
              <w:r>
                <w:rPr>
                  <w:rFonts w:ascii="Arial" w:cs="Arial" w:eastAsia="Arial" w:hAnsi="Arial"/>
                  <w:sz w:val="17"/>
                  <w:szCs w:val="17"/>
                  <w:color w:val="0000FF"/>
                  <w:w w:val="92"/>
                </w:rPr>
                <w:t>Condensed Consolidated Statements of Comprehensive Income (Loss) for the Three and Nine Months Ended September 30, 2021</w:t>
              </w:r>
            </w:hyperlink>
          </w:p>
        </w:tc>
        <w:tc>
          <w:tcPr>
            <w:tcW w:w="520" w:type="dxa"/>
            <w:vAlign w:val="bottom"/>
            <w:gridSpan w:val="5"/>
            <w:vMerge w:val="restart"/>
          </w:tcPr>
          <w:p>
            <w:pPr>
              <w:jc w:val="center"/>
              <w:ind w:left="274"/>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6</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680" w:type="dxa"/>
            <w:vAlign w:val="bottom"/>
            <w:tcBorders>
              <w:top w:val="single" w:sz="8" w:color="0000FF"/>
            </w:tcBorders>
            <w:gridSpan w:val="7"/>
          </w:tcPr>
          <w:p>
            <w:pPr>
              <w:spacing w:after="0" w:line="148" w:lineRule="exact"/>
              <w:rPr>
                <w:rFonts w:ascii="Arial" w:cs="Arial" w:eastAsia="Arial" w:hAnsi="Arial"/>
                <w:sz w:val="17"/>
                <w:szCs w:val="17"/>
                <w:color w:val="0000FF"/>
                <w:w w:val="88"/>
              </w:rPr>
            </w:pPr>
            <w:hyperlink w:anchor="page4">
              <w:r>
                <w:rPr>
                  <w:rFonts w:ascii="Arial" w:cs="Arial" w:eastAsia="Arial" w:hAnsi="Arial"/>
                  <w:sz w:val="17"/>
                  <w:szCs w:val="17"/>
                  <w:color w:val="0000FF"/>
                  <w:w w:val="88"/>
                </w:rPr>
                <w:t>and September 30, 2020</w:t>
              </w:r>
            </w:hyperlink>
          </w:p>
        </w:tc>
        <w:tc>
          <w:tcPr>
            <w:tcW w:w="7280" w:type="dxa"/>
            <w:vAlign w:val="bottom"/>
            <w:tcBorders>
              <w:top w:val="single" w:sz="8" w:color="0000FF"/>
            </w:tcBorders>
            <w:gridSpan w:val="13"/>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1"/>
          </w:tcPr>
          <w:p>
            <w:pPr>
              <w:spacing w:after="0"/>
              <w:rPr>
                <w:rFonts w:ascii="Arial" w:cs="Arial" w:eastAsia="Arial" w:hAnsi="Arial"/>
                <w:sz w:val="17"/>
                <w:szCs w:val="17"/>
                <w:color w:val="0000FF"/>
                <w:w w:val="97"/>
              </w:rPr>
            </w:pPr>
            <w:hyperlink w:anchor="page5">
              <w:r>
                <w:rPr>
                  <w:rFonts w:ascii="Arial" w:cs="Arial" w:eastAsia="Arial" w:hAnsi="Arial"/>
                  <w:sz w:val="17"/>
                  <w:szCs w:val="17"/>
                  <w:color w:val="0000FF"/>
                  <w:w w:val="97"/>
                </w:rPr>
                <w:t>Condensed Consolidated Statements of Stockholders' Equity for the Three and Nine Months Ended September 30, 2021 and</w:t>
              </w:r>
            </w:hyperlink>
          </w:p>
        </w:tc>
        <w:tc>
          <w:tcPr>
            <w:tcW w:w="520" w:type="dxa"/>
            <w:vAlign w:val="bottom"/>
            <w:gridSpan w:val="5"/>
            <w:vMerge w:val="restart"/>
          </w:tcPr>
          <w:p>
            <w:pPr>
              <w:jc w:val="center"/>
              <w:ind w:left="274"/>
              <w:spacing w:after="0"/>
              <w:rPr>
                <w:rFonts w:ascii="Arial" w:cs="Arial" w:eastAsia="Arial" w:hAnsi="Arial"/>
                <w:sz w:val="17"/>
                <w:szCs w:val="17"/>
                <w:color w:val="0000FF"/>
                <w:w w:val="84"/>
              </w:rPr>
            </w:pPr>
            <w:hyperlink w:anchor="page5">
              <w:r>
                <w:rPr>
                  <w:rFonts w:ascii="Arial" w:cs="Arial" w:eastAsia="Arial" w:hAnsi="Arial"/>
                  <w:sz w:val="17"/>
                  <w:szCs w:val="17"/>
                  <w:color w:val="0000FF"/>
                  <w:w w:val="84"/>
                </w:rPr>
                <w:t>7</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56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w:anchor="page5">
              <w:r>
                <w:rPr>
                  <w:rFonts w:ascii="Arial" w:cs="Arial" w:eastAsia="Arial" w:hAnsi="Arial"/>
                  <w:sz w:val="17"/>
                  <w:szCs w:val="17"/>
                  <w:color w:val="0000FF"/>
                </w:rPr>
                <w:t>September 30, 2020</w:t>
              </w:r>
            </w:hyperlink>
          </w:p>
        </w:tc>
        <w:tc>
          <w:tcPr>
            <w:tcW w:w="80" w:type="dxa"/>
            <w:vAlign w:val="bottom"/>
          </w:tcPr>
          <w:p>
            <w:pPr>
              <w:spacing w:after="0"/>
              <w:rPr>
                <w:sz w:val="12"/>
                <w:szCs w:val="12"/>
                <w:color w:val="auto"/>
              </w:rPr>
            </w:pPr>
          </w:p>
        </w:tc>
        <w:tc>
          <w:tcPr>
            <w:tcW w:w="520" w:type="dxa"/>
            <w:vAlign w:val="bottom"/>
            <w:gridSpan w:val="3"/>
          </w:tcPr>
          <w:p>
            <w:pPr>
              <w:spacing w:after="0"/>
              <w:rPr>
                <w:sz w:val="12"/>
                <w:szCs w:val="12"/>
                <w:color w:val="auto"/>
              </w:rPr>
            </w:pPr>
          </w:p>
        </w:tc>
        <w:tc>
          <w:tcPr>
            <w:tcW w:w="52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640" w:type="dxa"/>
            <w:vAlign w:val="bottom"/>
            <w:gridSpan w:val="18"/>
          </w:tcPr>
          <w:p>
            <w:pPr>
              <w:spacing w:after="0"/>
              <w:rPr>
                <w:rFonts w:ascii="Arial" w:cs="Arial" w:eastAsia="Arial" w:hAnsi="Arial"/>
                <w:sz w:val="17"/>
                <w:szCs w:val="17"/>
                <w:color w:val="0000FF"/>
                <w:w w:val="90"/>
              </w:rPr>
            </w:pPr>
            <w:hyperlink w:anchor="page7">
              <w:r>
                <w:rPr>
                  <w:rFonts w:ascii="Arial" w:cs="Arial" w:eastAsia="Arial" w:hAnsi="Arial"/>
                  <w:sz w:val="17"/>
                  <w:szCs w:val="17"/>
                  <w:color w:val="0000FF"/>
                  <w:w w:val="90"/>
                </w:rPr>
                <w:t>Condensed Consolidated Statements of Cash Flows for the Nine Months Ended September 30, 2021 and September 30, 2020</w:t>
              </w:r>
            </w:hyperlink>
          </w:p>
        </w:tc>
        <w:tc>
          <w:tcPr>
            <w:tcW w:w="520" w:type="dxa"/>
            <w:vAlign w:val="bottom"/>
            <w:gridSpan w:val="3"/>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9</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640" w:type="dxa"/>
            <w:vAlign w:val="bottom"/>
            <w:gridSpan w:val="18"/>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520" w:type="dxa"/>
            <w:vAlign w:val="bottom"/>
            <w:gridSpan w:val="3"/>
          </w:tcPr>
          <w:p>
            <w:pPr>
              <w:spacing w:after="0"/>
              <w:rPr>
                <w:sz w:val="17"/>
                <w:szCs w:val="17"/>
                <w:color w:val="auto"/>
              </w:rPr>
            </w:pPr>
          </w:p>
        </w:tc>
        <w:tc>
          <w:tcPr>
            <w:tcW w:w="520" w:type="dxa"/>
            <w:vAlign w:val="bottom"/>
            <w:gridSpan w:val="5"/>
          </w:tcPr>
          <w:p>
            <w:pPr>
              <w:jc w:val="center"/>
              <w:ind w:left="274"/>
              <w:spacing w:after="0"/>
              <w:rPr>
                <w:rFonts w:ascii="Arial" w:cs="Arial" w:eastAsia="Arial" w:hAnsi="Arial"/>
                <w:sz w:val="17"/>
                <w:szCs w:val="17"/>
                <w:color w:val="0000FF"/>
                <w:w w:val="84"/>
              </w:rPr>
            </w:pPr>
            <w:hyperlink w:anchor="page9">
              <w:r>
                <w:rPr>
                  <w:rFonts w:ascii="Arial" w:cs="Arial" w:eastAsia="Arial" w:hAnsi="Arial"/>
                  <w:sz w:val="17"/>
                  <w:szCs w:val="17"/>
                  <w:color w:val="0000FF"/>
                  <w:w w:val="84"/>
                </w:rPr>
                <w:t>11</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30">
              <w:r>
                <w:rPr>
                  <w:rFonts w:ascii="Arial" w:cs="Arial" w:eastAsia="Arial" w:hAnsi="Arial"/>
                  <w:sz w:val="17"/>
                  <w:szCs w:val="17"/>
                  <w:color w:val="0000FF"/>
                  <w:w w:val="92"/>
                </w:rPr>
                <w:t>Management's Discussion and Analysis of Financial Condition and Results of Operations</w:t>
              </w:r>
            </w:hyperlink>
          </w:p>
        </w:tc>
        <w:tc>
          <w:tcPr>
            <w:tcW w:w="298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32</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51">
              <w:r>
                <w:rPr>
                  <w:rFonts w:ascii="Arial" w:cs="Arial" w:eastAsia="Arial" w:hAnsi="Arial"/>
                  <w:sz w:val="17"/>
                  <w:szCs w:val="17"/>
                  <w:color w:val="0000FF"/>
                  <w:w w:val="93"/>
                </w:rPr>
                <w:t>Quantitative and Qualitative Disclosures About Market Risk</w:t>
              </w:r>
            </w:hyperlink>
          </w:p>
        </w:tc>
        <w:tc>
          <w:tcPr>
            <w:tcW w:w="4980" w:type="dxa"/>
            <w:vAlign w:val="bottom"/>
            <w:gridSpan w:val="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52</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8"/>
          </w:tcPr>
          <w:p>
            <w:pPr>
              <w:spacing w:after="0"/>
              <w:rPr>
                <w:rFonts w:ascii="Arial" w:cs="Arial" w:eastAsia="Arial" w:hAnsi="Arial"/>
                <w:sz w:val="17"/>
                <w:szCs w:val="17"/>
                <w:color w:val="0000FF"/>
                <w:w w:val="89"/>
              </w:rPr>
            </w:pPr>
            <w:hyperlink w:anchor="page51">
              <w:r>
                <w:rPr>
                  <w:rFonts w:ascii="Arial" w:cs="Arial" w:eastAsia="Arial" w:hAnsi="Arial"/>
                  <w:sz w:val="17"/>
                  <w:szCs w:val="17"/>
                  <w:color w:val="0000FF"/>
                  <w:w w:val="89"/>
                </w:rPr>
                <w:t>Controls and Procedures</w:t>
              </w:r>
            </w:hyperlink>
          </w:p>
        </w:tc>
        <w:tc>
          <w:tcPr>
            <w:tcW w:w="74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53</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Part II.</w:t>
            </w:r>
          </w:p>
        </w:tc>
        <w:tc>
          <w:tcPr>
            <w:tcW w:w="9160" w:type="dxa"/>
            <w:vAlign w:val="bottom"/>
            <w:gridSpan w:val="21"/>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OTHER INFORMATION</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53</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w:t>
            </w:r>
          </w:p>
        </w:tc>
        <w:tc>
          <w:tcPr>
            <w:tcW w:w="1800" w:type="dxa"/>
            <w:vAlign w:val="bottom"/>
            <w:tcBorders>
              <w:top w:val="single" w:sz="8" w:color="0000FF"/>
              <w:bottom w:val="single" w:sz="8" w:color="0000FF"/>
            </w:tcBorders>
            <w:gridSpan w:val="9"/>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Legal Proceedings</w:t>
              </w:r>
            </w:hyperlink>
          </w:p>
        </w:tc>
        <w:tc>
          <w:tcPr>
            <w:tcW w:w="2360" w:type="dxa"/>
            <w:vAlign w:val="bottom"/>
            <w:tcBorders>
              <w:bottom w:val="single" w:sz="8" w:color="0000FF"/>
            </w:tcBorders>
            <w:gridSpan w:val="4"/>
          </w:tcPr>
          <w:p>
            <w:pPr>
              <w:spacing w:after="0"/>
              <w:rPr>
                <w:sz w:val="17"/>
                <w:szCs w:val="17"/>
                <w:color w:val="auto"/>
              </w:rPr>
            </w:pPr>
          </w:p>
        </w:tc>
        <w:tc>
          <w:tcPr>
            <w:tcW w:w="50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53</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1A.</w:t>
            </w:r>
          </w:p>
        </w:tc>
        <w:tc>
          <w:tcPr>
            <w:tcW w:w="9160" w:type="dxa"/>
            <w:vAlign w:val="bottom"/>
            <w:gridSpan w:val="21"/>
          </w:tcPr>
          <w:p>
            <w:pPr>
              <w:spacing w:after="0"/>
              <w:rPr>
                <w:rFonts w:ascii="Arial" w:cs="Arial" w:eastAsia="Arial" w:hAnsi="Arial"/>
                <w:sz w:val="17"/>
                <w:szCs w:val="17"/>
                <w:color w:val="0000FF"/>
              </w:rPr>
            </w:pPr>
            <w:hyperlink w:anchor="page52">
              <w:r>
                <w:rPr>
                  <w:rFonts w:ascii="Arial" w:cs="Arial" w:eastAsia="Arial" w:hAnsi="Arial"/>
                  <w:sz w:val="17"/>
                  <w:szCs w:val="17"/>
                  <w:color w:val="0000FF"/>
                </w:rPr>
                <w:t>Risk Factors</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2">
              <w:r>
                <w:rPr>
                  <w:rFonts w:ascii="Arial" w:cs="Arial" w:eastAsia="Arial" w:hAnsi="Arial"/>
                  <w:sz w:val="17"/>
                  <w:szCs w:val="17"/>
                  <w:color w:val="0000FF"/>
                  <w:w w:val="94"/>
                </w:rPr>
                <w:t>54</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2.</w:t>
            </w:r>
          </w:p>
        </w:tc>
        <w:tc>
          <w:tcPr>
            <w:tcW w:w="9160" w:type="dxa"/>
            <w:vAlign w:val="bottom"/>
            <w:gridSpan w:val="21"/>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Unregistered Sales of Equity Securities and Use of Proceeds</w:t>
              </w:r>
            </w:hyperlink>
          </w:p>
        </w:tc>
        <w:tc>
          <w:tcPr>
            <w:tcW w:w="520" w:type="dxa"/>
            <w:vAlign w:val="bottom"/>
            <w:gridSpan w:val="5"/>
          </w:tcPr>
          <w:p>
            <w:pPr>
              <w:jc w:val="center"/>
              <w:ind w:left="254"/>
              <w:spacing w:after="0"/>
              <w:rPr>
                <w:rFonts w:ascii="Arial" w:cs="Arial" w:eastAsia="Arial" w:hAnsi="Arial"/>
                <w:sz w:val="17"/>
                <w:szCs w:val="17"/>
                <w:color w:val="0000FF"/>
                <w:w w:val="94"/>
              </w:rPr>
            </w:pPr>
            <w:hyperlink w:anchor="page54">
              <w:r>
                <w:rPr>
                  <w:rFonts w:ascii="Arial" w:cs="Arial" w:eastAsia="Arial" w:hAnsi="Arial"/>
                  <w:sz w:val="17"/>
                  <w:szCs w:val="17"/>
                  <w:color w:val="0000FF"/>
                  <w:w w:val="94"/>
                </w:rPr>
                <w:t>55</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Arial" w:cs="Arial" w:eastAsia="Arial" w:hAnsi="Arial"/>
                <w:sz w:val="17"/>
                <w:szCs w:val="17"/>
                <w:color w:val="auto"/>
              </w:rPr>
              <w:t>Item 6.</w:t>
            </w:r>
          </w:p>
        </w:tc>
        <w:tc>
          <w:tcPr>
            <w:tcW w:w="58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94"/>
              </w:rPr>
            </w:pPr>
            <w:hyperlink w:anchor="page54">
              <w:r>
                <w:rPr>
                  <w:rFonts w:ascii="Arial" w:cs="Arial" w:eastAsia="Arial" w:hAnsi="Arial"/>
                  <w:sz w:val="17"/>
                  <w:szCs w:val="17"/>
                  <w:color w:val="0000FF"/>
                  <w:w w:val="94"/>
                </w:rPr>
                <w:t>Exhibits</w:t>
              </w:r>
            </w:hyperlink>
          </w:p>
        </w:tc>
        <w:tc>
          <w:tcPr>
            <w:tcW w:w="3580" w:type="dxa"/>
            <w:vAlign w:val="bottom"/>
            <w:tcBorders>
              <w:top w:val="single" w:sz="8" w:color="0000FF"/>
            </w:tcBorders>
            <w:gridSpan w:val="10"/>
          </w:tcPr>
          <w:p>
            <w:pPr>
              <w:spacing w:after="0"/>
              <w:rPr>
                <w:sz w:val="17"/>
                <w:szCs w:val="17"/>
                <w:color w:val="auto"/>
              </w:rPr>
            </w:pPr>
          </w:p>
        </w:tc>
        <w:tc>
          <w:tcPr>
            <w:tcW w:w="50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rFonts w:ascii="Arial" w:cs="Arial" w:eastAsia="Arial" w:hAnsi="Arial"/>
                <w:sz w:val="17"/>
                <w:szCs w:val="17"/>
                <w:color w:val="0000FF"/>
                <w:w w:val="94"/>
              </w:rPr>
            </w:pPr>
            <w:hyperlink w:anchor="page54">
              <w:r>
                <w:rPr>
                  <w:rFonts w:ascii="Arial" w:cs="Arial" w:eastAsia="Arial" w:hAnsi="Arial"/>
                  <w:sz w:val="17"/>
                  <w:szCs w:val="17"/>
                  <w:color w:val="0000FF"/>
                  <w:w w:val="94"/>
                </w:rPr>
                <w:t>56</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rFonts w:ascii="Arial" w:cs="Arial" w:eastAsia="Arial" w:hAnsi="Arial"/>
                <w:sz w:val="17"/>
                <w:szCs w:val="17"/>
                <w:color w:val="0000FF"/>
              </w:rPr>
            </w:pPr>
            <w:hyperlink w:anchor="page55">
              <w:r>
                <w:rPr>
                  <w:rFonts w:ascii="Arial" w:cs="Arial" w:eastAsia="Arial" w:hAnsi="Arial"/>
                  <w:sz w:val="17"/>
                  <w:szCs w:val="17"/>
                  <w:color w:val="0000FF"/>
                </w:rPr>
                <w:t>Signatures</w:t>
              </w:r>
            </w:hyperlink>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gridSpan w:val="5"/>
          </w:tcPr>
          <w:p>
            <w:pPr>
              <w:jc w:val="center"/>
              <w:ind w:left="254"/>
              <w:spacing w:after="0"/>
              <w:rPr>
                <w:rFonts w:ascii="Arial" w:cs="Arial" w:eastAsia="Arial" w:hAnsi="Arial"/>
                <w:sz w:val="17"/>
                <w:szCs w:val="17"/>
                <w:color w:val="0000FF"/>
                <w:w w:val="94"/>
              </w:rPr>
            </w:pPr>
            <w:hyperlink w:anchor="page55">
              <w:r>
                <w:rPr>
                  <w:rFonts w:ascii="Arial" w:cs="Arial" w:eastAsia="Arial" w:hAnsi="Arial"/>
                  <w:sz w:val="17"/>
                  <w:szCs w:val="17"/>
                  <w:color w:val="0000FF"/>
                  <w:w w:val="94"/>
                </w:rPr>
                <w:t>57</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1120" w:type="dxa"/>
            <w:vAlign w:val="bottom"/>
          </w:tcPr>
          <w:p>
            <w:pPr>
              <w:spacing w:after="0"/>
              <w:rPr>
                <w:sz w:val="24"/>
                <w:szCs w:val="24"/>
                <w:color w:val="auto"/>
              </w:rPr>
            </w:pPr>
          </w:p>
        </w:tc>
        <w:tc>
          <w:tcPr>
            <w:tcW w:w="6180" w:type="dxa"/>
            <w:vAlign w:val="bottom"/>
            <w:gridSpan w:val="15"/>
          </w:tcPr>
          <w:p>
            <w:pPr>
              <w:jc w:val="center"/>
              <w:ind w:left="2734"/>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par values)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18" w:lineRule="exact"/>
        <w:rPr>
          <w:sz w:val="20"/>
          <w:szCs w:val="20"/>
          <w:color w:val="auto"/>
        </w:rPr>
      </w:pPr>
    </w:p>
    <w:p>
      <w:pPr>
        <w:jc w:val="right"/>
        <w:ind w:right="280"/>
        <w:spacing w:after="0"/>
        <w:tabs>
          <w:tab w:leader="none" w:pos="110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December 31, 2020</w:t>
      </w:r>
    </w:p>
    <w:p>
      <w:pPr>
        <w:sectPr>
          <w:pgSz w:w="11900" w:h="16838" w:orient="portrait"/>
          <w:cols w:equalWidth="0" w:num="1">
            <w:col w:w="11240"/>
          </w:cols>
          <w:pgMar w:left="320" w:top="127" w:right="33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64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74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5740" w:type="dxa"/>
            <w:vAlign w:val="bottom"/>
          </w:tcPr>
          <w:p>
            <w:pPr>
              <w:ind w:left="200"/>
              <w:spacing w:after="0"/>
              <w:rPr>
                <w:sz w:val="20"/>
                <w:szCs w:val="20"/>
                <w:color w:val="auto"/>
              </w:rPr>
            </w:pPr>
            <w:r>
              <w:rPr>
                <w:rFonts w:ascii="Arial" w:cs="Arial" w:eastAsia="Arial" w:hAnsi="Arial"/>
                <w:sz w:val="17"/>
                <w:szCs w:val="17"/>
                <w:color w:val="auto"/>
              </w:rPr>
              <w:t>Accounts receivable, net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Right-of-use lease asset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Internal use software development costs,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Intangible assets, net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Other assets,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Goodwill</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6"/>
        </w:trPr>
        <w:tc>
          <w:tcPr>
            <w:tcW w:w="574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00" w:type="dxa"/>
            <w:vAlign w:val="bottom"/>
          </w:tcPr>
          <w:p>
            <w:pPr>
              <w:spacing w:after="0"/>
              <w:rPr>
                <w:sz w:val="21"/>
                <w:szCs w:val="21"/>
                <w:color w:val="auto"/>
              </w:rPr>
            </w:pPr>
          </w:p>
        </w:tc>
      </w:tr>
      <w:tr>
        <w:trPr>
          <w:trHeight w:val="220"/>
        </w:trPr>
        <w:tc>
          <w:tcPr>
            <w:tcW w:w="5740" w:type="dxa"/>
            <w:vAlign w:val="bottom"/>
          </w:tcPr>
          <w:p>
            <w:pPr>
              <w:spacing w:after="0"/>
              <w:rPr>
                <w:sz w:val="20"/>
                <w:szCs w:val="20"/>
                <w:color w:val="auto"/>
              </w:rPr>
            </w:pPr>
            <w:r>
              <w:rPr>
                <w:rFonts w:ascii="Arial" w:cs="Arial" w:eastAsia="Arial" w:hAnsi="Arial"/>
                <w:sz w:val="17"/>
                <w:szCs w:val="17"/>
                <w:color w:val="auto"/>
              </w:rPr>
              <w:t>Current liabilities:</w:t>
            </w:r>
          </w:p>
        </w:tc>
        <w:tc>
          <w:tcPr>
            <w:tcW w:w="2100" w:type="dxa"/>
            <w:vAlign w:val="bottom"/>
          </w:tcPr>
          <w:p>
            <w:pPr>
              <w:spacing w:after="0"/>
              <w:rPr>
                <w:sz w:val="19"/>
                <w:szCs w:val="19"/>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Accounts payable and accrued expenses</w:t>
            </w:r>
          </w:p>
        </w:tc>
        <w:tc>
          <w:tcPr>
            <w:tcW w:w="2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5740" w:type="dxa"/>
            <w:vAlign w:val="bottom"/>
          </w:tcPr>
          <w:p>
            <w:pPr>
              <w:ind w:left="200"/>
              <w:spacing w:after="0"/>
              <w:rPr>
                <w:sz w:val="20"/>
                <w:szCs w:val="20"/>
                <w:color w:val="auto"/>
              </w:rPr>
            </w:pPr>
            <w:r>
              <w:rPr>
                <w:rFonts w:ascii="Arial" w:cs="Arial" w:eastAsia="Arial" w:hAnsi="Arial"/>
                <w:sz w:val="17"/>
                <w:szCs w:val="17"/>
                <w:color w:val="auto"/>
              </w:rPr>
              <w:t>Lease liabilities, current</w:t>
            </w:r>
          </w:p>
        </w:tc>
        <w:tc>
          <w:tcPr>
            <w:tcW w:w="2100" w:type="dxa"/>
            <w:vAlign w:val="bottom"/>
          </w:tcPr>
          <w:p>
            <w:pPr>
              <w:spacing w:after="0"/>
              <w:rPr>
                <w:sz w:val="20"/>
                <w:szCs w:val="20"/>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Debt, current</w:t>
            </w:r>
          </w:p>
        </w:tc>
        <w:tc>
          <w:tcPr>
            <w:tcW w:w="2100" w:type="dxa"/>
            <w:vAlign w:val="bottom"/>
          </w:tcPr>
          <w:p>
            <w:pPr>
              <w:spacing w:after="0"/>
              <w:rPr>
                <w:sz w:val="22"/>
                <w:szCs w:val="22"/>
                <w:color w:val="auto"/>
              </w:rPr>
            </w:pPr>
          </w:p>
        </w:tc>
      </w:tr>
      <w:tr>
        <w:trPr>
          <w:trHeight w:val="259"/>
        </w:trPr>
        <w:tc>
          <w:tcPr>
            <w:tcW w:w="5740" w:type="dxa"/>
            <w:vAlign w:val="bottom"/>
          </w:tcPr>
          <w:p>
            <w:pPr>
              <w:ind w:left="200"/>
              <w:spacing w:after="0"/>
              <w:rPr>
                <w:sz w:val="20"/>
                <w:szCs w:val="20"/>
                <w:color w:val="auto"/>
              </w:rPr>
            </w:pPr>
            <w:r>
              <w:rPr>
                <w:rFonts w:ascii="Arial" w:cs="Arial" w:eastAsia="Arial" w:hAnsi="Arial"/>
                <w:sz w:val="17"/>
                <w:szCs w:val="17"/>
                <w:color w:val="auto"/>
              </w:rPr>
              <w:t>Other current liabilities</w:t>
            </w:r>
          </w:p>
        </w:tc>
        <w:tc>
          <w:tcPr>
            <w:tcW w:w="2100" w:type="dxa"/>
            <w:vAlign w:val="bottom"/>
          </w:tcPr>
          <w:p>
            <w:pPr>
              <w:spacing w:after="0"/>
              <w:rPr>
                <w:sz w:val="22"/>
                <w:szCs w:val="22"/>
                <w:color w:val="auto"/>
              </w:rPr>
            </w:pPr>
          </w:p>
        </w:tc>
      </w:tr>
      <w:tr>
        <w:trPr>
          <w:trHeight w:val="259"/>
        </w:trPr>
        <w:tc>
          <w:tcPr>
            <w:tcW w:w="574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2100" w:type="dxa"/>
            <w:vAlign w:val="bottom"/>
          </w:tcPr>
          <w:p>
            <w:pPr>
              <w:spacing w:after="0"/>
              <w:rPr>
                <w:sz w:val="22"/>
                <w:szCs w:val="22"/>
                <w:color w:val="auto"/>
              </w:rPr>
            </w:pPr>
          </w:p>
        </w:tc>
      </w:tr>
      <w:tr>
        <w:trPr>
          <w:trHeight w:val="246"/>
        </w:trPr>
        <w:tc>
          <w:tcPr>
            <w:tcW w:w="5740" w:type="dxa"/>
            <w:vAlign w:val="bottom"/>
          </w:tcPr>
          <w:p>
            <w:pPr>
              <w:spacing w:after="0"/>
              <w:rPr>
                <w:sz w:val="20"/>
                <w:szCs w:val="20"/>
                <w:color w:val="auto"/>
              </w:rPr>
            </w:pPr>
            <w:r>
              <w:rPr>
                <w:rFonts w:ascii="Arial" w:cs="Arial" w:eastAsia="Arial" w:hAnsi="Arial"/>
                <w:sz w:val="17"/>
                <w:szCs w:val="17"/>
                <w:color w:val="auto"/>
              </w:rPr>
              <w:t>Debt, non-current, net of debt issuance costs</w:t>
            </w:r>
          </w:p>
        </w:tc>
        <w:tc>
          <w:tcPr>
            <w:tcW w:w="2100" w:type="dxa"/>
            <w:vAlign w:val="bottom"/>
          </w:tcPr>
          <w:p>
            <w:pPr>
              <w:spacing w:after="0"/>
              <w:rPr>
                <w:sz w:val="21"/>
                <w:szCs w:val="21"/>
                <w:color w:val="auto"/>
              </w:rPr>
            </w:pPr>
          </w:p>
        </w:tc>
      </w:tr>
      <w:tr>
        <w:trPr>
          <w:trHeight w:val="233"/>
        </w:trPr>
        <w:tc>
          <w:tcPr>
            <w:tcW w:w="5740" w:type="dxa"/>
            <w:vAlign w:val="bottom"/>
          </w:tcPr>
          <w:p>
            <w:pPr>
              <w:spacing w:after="0"/>
              <w:rPr>
                <w:sz w:val="20"/>
                <w:szCs w:val="20"/>
                <w:color w:val="auto"/>
              </w:rPr>
            </w:pPr>
            <w:r>
              <w:rPr>
                <w:rFonts w:ascii="Arial" w:cs="Arial" w:eastAsia="Arial" w:hAnsi="Arial"/>
                <w:sz w:val="17"/>
                <w:szCs w:val="17"/>
                <w:color w:val="auto"/>
              </w:rPr>
              <w:t>Deferred tax liability, net</w:t>
            </w:r>
          </w:p>
        </w:tc>
        <w:tc>
          <w:tcPr>
            <w:tcW w:w="2100" w:type="dxa"/>
            <w:vAlign w:val="bottom"/>
          </w:tcPr>
          <w:p>
            <w:pPr>
              <w:spacing w:after="0"/>
              <w:rPr>
                <w:sz w:val="20"/>
                <w:szCs w:val="20"/>
                <w:color w:val="auto"/>
              </w:rPr>
            </w:pPr>
          </w:p>
        </w:tc>
      </w:tr>
      <w:tr>
        <w:trPr>
          <w:trHeight w:val="259"/>
        </w:trPr>
        <w:tc>
          <w:tcPr>
            <w:tcW w:w="5740" w:type="dxa"/>
            <w:vAlign w:val="bottom"/>
          </w:tcPr>
          <w:p>
            <w:pPr>
              <w:spacing w:after="0"/>
              <w:rPr>
                <w:sz w:val="20"/>
                <w:szCs w:val="20"/>
                <w:color w:val="auto"/>
              </w:rPr>
            </w:pPr>
            <w:r>
              <w:rPr>
                <w:rFonts w:ascii="Arial" w:cs="Arial" w:eastAsia="Arial" w:hAnsi="Arial"/>
                <w:sz w:val="17"/>
                <w:szCs w:val="17"/>
                <w:color w:val="auto"/>
              </w:rPr>
              <w:t>Lease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spacing w:after="0"/>
              <w:rPr>
                <w:sz w:val="20"/>
                <w:szCs w:val="20"/>
                <w:color w:val="auto"/>
              </w:rPr>
            </w:pPr>
            <w:r>
              <w:rPr>
                <w:rFonts w:ascii="Arial" w:cs="Arial" w:eastAsia="Arial" w:hAnsi="Arial"/>
                <w:sz w:val="17"/>
                <w:szCs w:val="17"/>
                <w:color w:val="auto"/>
              </w:rPr>
              <w:t>Other liabilities, non-current</w:t>
            </w:r>
          </w:p>
        </w:tc>
        <w:tc>
          <w:tcPr>
            <w:tcW w:w="2100" w:type="dxa"/>
            <w:vAlign w:val="bottom"/>
          </w:tcPr>
          <w:p>
            <w:pPr>
              <w:spacing w:after="0"/>
              <w:rPr>
                <w:sz w:val="22"/>
                <w:szCs w:val="22"/>
                <w:color w:val="auto"/>
              </w:rPr>
            </w:pPr>
          </w:p>
        </w:tc>
      </w:tr>
      <w:tr>
        <w:trPr>
          <w:trHeight w:val="259"/>
        </w:trPr>
        <w:tc>
          <w:tcPr>
            <w:tcW w:w="5740" w:type="dxa"/>
            <w:vAlign w:val="bottom"/>
          </w:tcPr>
          <w:p>
            <w:pPr>
              <w:ind w:left="40"/>
              <w:spacing w:after="0"/>
              <w:rPr>
                <w:sz w:val="20"/>
                <w:szCs w:val="20"/>
                <w:color w:val="auto"/>
              </w:rPr>
            </w:pPr>
            <w:r>
              <w:rPr>
                <w:rFonts w:ascii="Arial" w:cs="Arial" w:eastAsia="Arial" w:hAnsi="Arial"/>
                <w:sz w:val="17"/>
                <w:szCs w:val="17"/>
                <w:color w:val="auto"/>
              </w:rPr>
              <w:t>TOTAL LIABILITIES</w:t>
            </w:r>
          </w:p>
        </w:tc>
        <w:tc>
          <w:tcPr>
            <w:tcW w:w="2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-3359150</wp:posOffset>
            </wp:positionV>
            <wp:extent cx="7138035" cy="16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-3030220</wp:posOffset>
            </wp:positionV>
            <wp:extent cx="7138035" cy="164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-2701925</wp:posOffset>
            </wp:positionV>
            <wp:extent cx="7138035" cy="164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7138035" cy="164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-1741170</wp:posOffset>
            </wp:positionV>
            <wp:extent cx="7138035" cy="139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-1437005</wp:posOffset>
            </wp:positionV>
            <wp:extent cx="7138035" cy="164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-1108710</wp:posOffset>
            </wp:positionV>
            <wp:extent cx="7138035" cy="164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-779780</wp:posOffset>
            </wp:positionV>
            <wp:extent cx="7138035" cy="139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-476250</wp:posOffset>
            </wp:positionV>
            <wp:extent cx="7138035" cy="164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-147320</wp:posOffset>
            </wp:positionV>
            <wp:extent cx="7138035" cy="164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-2044700</wp:posOffset>
            </wp:positionV>
            <wp:extent cx="7138035" cy="164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STOCKHOLDERS' EQUITY</w:t>
      </w:r>
    </w:p>
    <w:p>
      <w:pPr>
        <w:spacing w:after="0" w:line="37" w:lineRule="exact"/>
        <w:rPr>
          <w:sz w:val="20"/>
          <w:szCs w:val="20"/>
          <w:color w:val="auto"/>
        </w:rPr>
      </w:pPr>
    </w:p>
    <w:p>
      <w:pPr>
        <w:ind w:left="220" w:right="240" w:hanging="154"/>
        <w:spacing w:after="0" w:line="303" w:lineRule="auto"/>
        <w:rPr>
          <w:sz w:val="20"/>
          <w:szCs w:val="20"/>
          <w:color w:val="auto"/>
        </w:rPr>
      </w:pPr>
      <w:r>
        <w:rPr>
          <w:rFonts w:ascii="Arial" w:cs="Arial" w:eastAsia="Arial" w:hAnsi="Arial"/>
          <w:sz w:val="16"/>
          <w:szCs w:val="16"/>
          <w:color w:val="auto"/>
        </w:rPr>
        <w:t>Preferred stock, $0.00001 par value, 10,000 shares authorized at September 30, 2021 and December 31, 2020; 0 shares issued and outstanding at September 30,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7138035" cy="427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427355"/>
                    </a:xfrm>
                    <a:prstGeom prst="rect">
                      <a:avLst/>
                    </a:prstGeom>
                    <a:noFill/>
                  </pic:spPr>
                </pic:pic>
              </a:graphicData>
            </a:graphic>
          </wp:anchor>
        </w:drawing>
      </w:r>
    </w:p>
    <w:p>
      <w:pPr>
        <w:ind w:left="220" w:right="380" w:hanging="154"/>
        <w:spacing w:after="0" w:line="268" w:lineRule="auto"/>
        <w:rPr>
          <w:sz w:val="20"/>
          <w:szCs w:val="20"/>
          <w:color w:val="auto"/>
        </w:rPr>
      </w:pPr>
      <w:r>
        <w:rPr>
          <w:rFonts w:ascii="Arial" w:cs="Arial" w:eastAsia="Arial" w:hAnsi="Arial"/>
          <w:sz w:val="17"/>
          <w:szCs w:val="17"/>
          <w:color w:val="auto"/>
        </w:rPr>
        <w:t>Common stock, $0.00001 par value; 500,000 shares authorized at September 30, 2021 and December 31, 2020; 131,789 and 114,029 shares issued and outstanding at September 30, 2021 and December 31, 2020, respectively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138035"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Accumulated other comprehensive loss</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188,182</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117,676</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765,076</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471,666</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20,992</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17,729</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974,250</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607,071</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32,759</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23,681</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64,591</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39,599</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19,130</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16,160</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463,571</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89,884</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6,062</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4,440</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972,747</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158,125</w:t>
            </w:r>
          </w:p>
        </w:tc>
      </w:tr>
      <w:tr>
        <w:trPr>
          <w:trHeight w:val="213"/>
        </w:trPr>
        <w:tc>
          <w:tcPr>
            <w:tcW w:w="920" w:type="dxa"/>
            <w:vAlign w:val="bottom"/>
          </w:tcPr>
          <w:p>
            <w:pPr>
              <w:jc w:val="right"/>
              <w:ind w:right="134"/>
              <w:spacing w:after="0"/>
              <w:rPr>
                <w:sz w:val="20"/>
                <w:szCs w:val="20"/>
                <w:color w:val="auto"/>
              </w:rPr>
            </w:pPr>
            <w:r>
              <w:rPr>
                <w:rFonts w:ascii="Arial" w:cs="Arial" w:eastAsia="Arial" w:hAnsi="Arial"/>
                <w:sz w:val="17"/>
                <w:szCs w:val="17"/>
                <w:color w:val="auto"/>
                <w:w w:val="89"/>
              </w:rPr>
              <w:t>2,533,110</w:t>
            </w: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938,960</w:t>
            </w:r>
          </w:p>
        </w:tc>
      </w:tr>
      <w:tr>
        <w:trPr>
          <w:trHeight w:val="20"/>
        </w:trPr>
        <w:tc>
          <w:tcPr>
            <w:tcW w:w="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5"/>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828,501</w:t>
            </w:r>
          </w:p>
        </w:tc>
        <w:tc>
          <w:tcPr>
            <w:tcW w:w="50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509,315</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15,033</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9,813</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3,600</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11,773</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3,070</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858,907</w:t>
            </w:r>
          </w:p>
        </w:tc>
        <w:tc>
          <w:tcPr>
            <w:tcW w:w="50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522,198</w:t>
            </w:r>
          </w:p>
        </w:tc>
      </w:tr>
      <w:tr>
        <w:trPr>
          <w:trHeight w:val="220"/>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719,333</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19,488</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199</w:t>
            </w:r>
          </w:p>
        </w:tc>
      </w:tr>
      <w:tr>
        <w:trPr>
          <w:trHeight w:val="259"/>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55,999</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32,278</w:t>
            </w:r>
          </w:p>
        </w:tc>
      </w:tr>
      <w:tr>
        <w:trPr>
          <w:trHeight w:val="258"/>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2,618</w:t>
            </w:r>
          </w:p>
        </w:tc>
        <w:tc>
          <w:tcPr>
            <w:tcW w:w="5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2,672</w:t>
            </w:r>
          </w:p>
        </w:tc>
      </w:tr>
      <w:tr>
        <w:trPr>
          <w:trHeight w:val="239"/>
        </w:trPr>
        <w:tc>
          <w:tcPr>
            <w:tcW w:w="920" w:type="dxa"/>
            <w:vAlign w:val="bottom"/>
          </w:tcPr>
          <w:p>
            <w:pPr>
              <w:jc w:val="right"/>
              <w:ind w:right="134"/>
              <w:spacing w:after="0"/>
              <w:rPr>
                <w:sz w:val="20"/>
                <w:szCs w:val="20"/>
                <w:color w:val="auto"/>
              </w:rPr>
            </w:pPr>
            <w:r>
              <w:rPr>
                <w:rFonts w:ascii="Arial" w:cs="Arial" w:eastAsia="Arial" w:hAnsi="Arial"/>
                <w:sz w:val="17"/>
                <w:szCs w:val="17"/>
                <w:color w:val="auto"/>
                <w:w w:val="89"/>
              </w:rPr>
              <w:t>1,656,345</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557,347</w:t>
            </w:r>
          </w:p>
        </w:tc>
      </w:tr>
      <w:tr>
        <w:trPr>
          <w:trHeight w:val="925"/>
        </w:trPr>
        <w:tc>
          <w:tcPr>
            <w:tcW w:w="9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673"/>
        </w:trPr>
        <w:tc>
          <w:tcPr>
            <w:tcW w:w="920" w:type="dxa"/>
            <w:vAlign w:val="bottom"/>
          </w:tcPr>
          <w:p>
            <w:pPr>
              <w:jc w:val="right"/>
              <w:ind w:right="74"/>
              <w:spacing w:after="0"/>
              <w:rPr>
                <w:sz w:val="20"/>
                <w:szCs w:val="20"/>
                <w:color w:val="auto"/>
              </w:rPr>
            </w:pPr>
            <w:r>
              <w:rPr>
                <w:rFonts w:ascii="Arial" w:cs="Arial" w:eastAsia="Arial" w:hAnsi="Arial"/>
                <w:sz w:val="17"/>
                <w:szCs w:val="17"/>
                <w:color w:val="auto"/>
              </w:rPr>
              <w:t>2</w:t>
            </w:r>
          </w:p>
        </w:tc>
        <w:tc>
          <w:tcPr>
            <w:tcW w:w="500" w:type="dxa"/>
            <w:vAlign w:val="bottom"/>
          </w:tcPr>
          <w:p>
            <w:pPr>
              <w:spacing w:after="0"/>
              <w:rPr>
                <w:sz w:val="24"/>
                <w:szCs w:val="24"/>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w:t>
            </w:r>
          </w:p>
        </w:tc>
      </w:tr>
      <w:tr>
        <w:trPr>
          <w:trHeight w:val="259"/>
        </w:trPr>
        <w:tc>
          <w:tcPr>
            <w:tcW w:w="920" w:type="dxa"/>
            <w:vAlign w:val="bottom"/>
          </w:tcPr>
          <w:p>
            <w:pPr>
              <w:jc w:val="right"/>
              <w:ind w:right="74"/>
              <w:spacing w:after="0"/>
              <w:rPr>
                <w:sz w:val="20"/>
                <w:szCs w:val="20"/>
                <w:color w:val="auto"/>
              </w:rPr>
            </w:pPr>
            <w:r>
              <w:rPr>
                <w:rFonts w:ascii="Arial" w:cs="Arial" w:eastAsia="Arial" w:hAnsi="Arial"/>
                <w:sz w:val="17"/>
                <w:szCs w:val="17"/>
                <w:color w:val="auto"/>
                <w:w w:val="97"/>
              </w:rPr>
              <w:t>1,273,093</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777,084</w:t>
            </w:r>
          </w:p>
        </w:tc>
      </w:tr>
      <w:tr>
        <w:trPr>
          <w:trHeight w:val="220"/>
        </w:trPr>
        <w:tc>
          <w:tcPr>
            <w:tcW w:w="920" w:type="dxa"/>
            <w:vAlign w:val="bottom"/>
          </w:tcPr>
          <w:p>
            <w:pPr>
              <w:jc w:val="right"/>
              <w:ind w:right="34"/>
              <w:spacing w:after="0"/>
              <w:rPr>
                <w:sz w:val="20"/>
                <w:szCs w:val="20"/>
                <w:color w:val="auto"/>
              </w:rPr>
            </w:pPr>
            <w:r>
              <w:rPr>
                <w:rFonts w:ascii="Arial" w:cs="Arial" w:eastAsia="Arial" w:hAnsi="Arial"/>
                <w:sz w:val="17"/>
                <w:szCs w:val="17"/>
                <w:color w:val="auto"/>
              </w:rPr>
              <w:t>(1,426)</w:t>
            </w:r>
          </w:p>
        </w:tc>
        <w:tc>
          <w:tcPr>
            <w:tcW w:w="50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(957)</w:t>
            </w:r>
          </w:p>
        </w:tc>
      </w:tr>
      <w:tr>
        <w:trPr>
          <w:trHeight w:val="256"/>
        </w:trPr>
        <w:tc>
          <w:tcPr>
            <w:tcW w:w="920" w:type="dxa"/>
            <w:vAlign w:val="bottom"/>
          </w:tcPr>
          <w:p>
            <w:pPr>
              <w:jc w:val="right"/>
              <w:ind w:right="34"/>
              <w:spacing w:after="0"/>
              <w:rPr>
                <w:sz w:val="20"/>
                <w:szCs w:val="20"/>
                <w:color w:val="auto"/>
              </w:rPr>
            </w:pPr>
            <w:r>
              <w:rPr>
                <w:rFonts w:ascii="Arial" w:cs="Arial" w:eastAsia="Arial" w:hAnsi="Arial"/>
                <w:sz w:val="17"/>
                <w:szCs w:val="17"/>
                <w:color w:val="auto"/>
              </w:rPr>
              <w:t>(394,904)</w:t>
            </w:r>
          </w:p>
        </w:tc>
        <w:tc>
          <w:tcPr>
            <w:tcW w:w="5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(394,516)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-1492885</wp:posOffset>
            </wp:positionV>
            <wp:extent cx="1076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-2454275</wp:posOffset>
            </wp:positionV>
            <wp:extent cx="1076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-3382010</wp:posOffset>
            </wp:positionV>
            <wp:extent cx="1076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-4704715</wp:posOffset>
            </wp:positionV>
            <wp:extent cx="1076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900" w:space="720"/>
            <w:col w:w="26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77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STOCKHOLDERS' EQUITY</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876,765</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381,613</w:t>
            </w:r>
          </w:p>
        </w:tc>
      </w:tr>
      <w:tr>
        <w:trPr>
          <w:trHeight w:val="213"/>
        </w:trPr>
        <w:tc>
          <w:tcPr>
            <w:tcW w:w="7760" w:type="dxa"/>
            <w:vAlign w:val="bottom"/>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2,533,110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938,960</w:t>
            </w:r>
          </w:p>
        </w:tc>
      </w:tr>
      <w:tr>
        <w:trPr>
          <w:trHeight w:val="20"/>
        </w:trPr>
        <w:tc>
          <w:tcPr>
            <w:tcW w:w="7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20" w:type="dxa"/>
            <w:vAlign w:val="bottom"/>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300" w:type="dxa"/>
            <w:vAlign w:val="bottom"/>
            <w:gridSpan w:val="4"/>
          </w:tcPr>
          <w:p>
            <w:pPr>
              <w:jc w:val="right"/>
              <w:ind w:right="10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4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September 30, 2020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September 30, 2020</w:t>
            </w:r>
          </w:p>
        </w:tc>
        <w:tc>
          <w:tcPr>
            <w:tcW w:w="0" w:type="dxa"/>
            <w:vAlign w:val="bottom"/>
          </w:tcPr>
          <w:p>
            <w:pPr>
              <w:spacing w:after="0"/>
              <w:rPr>
                <w:sz w:val="1"/>
                <w:szCs w:val="1"/>
                <w:color w:val="auto"/>
              </w:rPr>
            </w:pPr>
          </w:p>
        </w:tc>
      </w:tr>
      <w:tr>
        <w:trPr>
          <w:trHeight w:val="21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139,625</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Expenses:</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56,579</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52,260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21,761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118,122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53,059</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Technology and development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37,318</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16,535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47,673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38,221</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Merger, acquisition, and restructuring costs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155,819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391,832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201,854</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(62,229)</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 expense, net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0"/>
        </w:trPr>
        <w:tc>
          <w:tcPr>
            <w:tcW w:w="4160" w:type="dxa"/>
            <w:vAlign w:val="bottom"/>
          </w:tcPr>
          <w:p>
            <w:pPr>
              <w:ind w:left="220"/>
              <w:spacing w:after="0"/>
              <w:rPr>
                <w:sz w:val="20"/>
                <w:szCs w:val="20"/>
                <w:color w:val="auto"/>
              </w:rPr>
            </w:pPr>
            <w:r>
              <w:rPr>
                <w:rFonts w:ascii="Arial" w:cs="Arial" w:eastAsia="Arial" w:hAnsi="Arial"/>
                <w:sz w:val="17"/>
                <w:szCs w:val="17"/>
                <w:color w:val="auto"/>
              </w:rPr>
              <w:t>Other income</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(2,487)</w:t>
            </w:r>
          </w:p>
        </w:tc>
        <w:tc>
          <w:tcPr>
            <w:tcW w:w="0" w:type="dxa"/>
            <w:vAlign w:val="bottom"/>
          </w:tcPr>
          <w:p>
            <w:pPr>
              <w:spacing w:after="0"/>
              <w:rPr>
                <w:sz w:val="1"/>
                <w:szCs w:val="1"/>
                <w:color w:val="auto"/>
              </w:rPr>
            </w:pPr>
          </w:p>
        </w:tc>
      </w:tr>
      <w:tr>
        <w:trPr>
          <w:trHeight w:val="220"/>
        </w:trPr>
        <w:tc>
          <w:tcPr>
            <w:tcW w:w="4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Foreign exchange (gain) loss, net</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other (income) expense, net</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(3,444)</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(58,785)</w:t>
            </w:r>
          </w:p>
        </w:tc>
        <w:tc>
          <w:tcPr>
            <w:tcW w:w="0" w:type="dxa"/>
            <w:vAlign w:val="bottom"/>
          </w:tcPr>
          <w:p>
            <w:pPr>
              <w:spacing w:after="0"/>
              <w:rPr>
                <w:sz w:val="1"/>
                <w:szCs w:val="1"/>
                <w:color w:val="auto"/>
              </w:rPr>
            </w:pPr>
          </w:p>
        </w:tc>
      </w:tr>
      <w:tr>
        <w:trPr>
          <w:trHeight w:val="220"/>
        </w:trPr>
        <w:tc>
          <w:tcPr>
            <w:tcW w:w="4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Provision (benefit) for income taxes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3"/>
        </w:trPr>
        <w:tc>
          <w:tcPr>
            <w:tcW w:w="4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(59,318)</w:t>
            </w:r>
          </w:p>
        </w:tc>
        <w:tc>
          <w:tcPr>
            <w:tcW w:w="0" w:type="dxa"/>
            <w:vAlign w:val="bottom"/>
          </w:tcPr>
          <w:p>
            <w:pPr>
              <w:spacing w:after="0"/>
              <w:rPr>
                <w:sz w:val="1"/>
                <w:szCs w:val="1"/>
                <w:color w:val="auto"/>
              </w:rPr>
            </w:pPr>
          </w:p>
        </w:tc>
      </w:tr>
      <w:tr>
        <w:trPr>
          <w:trHeight w:val="220"/>
        </w:trPr>
        <w:tc>
          <w:tcPr>
            <w:tcW w:w="4160" w:type="dxa"/>
            <w:vAlign w:val="bottom"/>
          </w:tcPr>
          <w:p>
            <w:pPr>
              <w:ind w:left="20"/>
              <w:spacing w:after="0"/>
              <w:rPr>
                <w:sz w:val="20"/>
                <w:szCs w:val="20"/>
                <w:color w:val="auto"/>
              </w:rPr>
            </w:pPr>
            <w:r>
              <w:rPr>
                <w:rFonts w:ascii="Arial" w:cs="Arial" w:eastAsia="Arial" w:hAnsi="Arial"/>
                <w:sz w:val="17"/>
                <w:szCs w:val="17"/>
                <w:color w:val="auto"/>
              </w:rPr>
              <w:t>Net loss per 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ind w:left="340"/>
              <w:spacing w:after="0" w:line="194" w:lineRule="exact"/>
              <w:rPr>
                <w:sz w:val="20"/>
                <w:szCs w:val="20"/>
                <w:color w:val="auto"/>
              </w:rPr>
            </w:pPr>
            <w:r>
              <w:rPr>
                <w:rFonts w:ascii="Arial" w:cs="Arial" w:eastAsia="Arial" w:hAnsi="Arial"/>
                <w:sz w:val="17"/>
                <w:szCs w:val="17"/>
                <w:color w:val="auto"/>
              </w:rPr>
              <w:t>Basic and Diluted</w:t>
            </w: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60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color w:val="auto"/>
                <w:w w:val="98"/>
              </w:rPr>
              <w:t>Weighted average shares used to compute net loss per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Arial" w:cs="Arial" w:eastAsia="Arial" w:hAnsi="Arial"/>
                <w:sz w:val="17"/>
                <w:szCs w:val="17"/>
                <w:color w:val="auto"/>
              </w:rPr>
              <w:t>share:</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91,371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260" w:type="dxa"/>
            <w:vAlign w:val="bottom"/>
            <w:gridSpan w:val="4"/>
          </w:tcPr>
          <w:p>
            <w:pPr>
              <w:jc w:val="right"/>
              <w:ind w:right="1037"/>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4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September 30, 2020</w:t>
            </w:r>
          </w:p>
        </w:tc>
      </w:tr>
      <w:tr>
        <w:trPr>
          <w:trHeight w:val="21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(59,318)</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42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(2,540)</w:t>
            </w: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(61,858)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80" w:type="dxa"/>
            <w:vAlign w:val="bottom"/>
            <w:gridSpan w:val="3"/>
            <w:vMerge w:val="restart"/>
          </w:tcPr>
          <w:p>
            <w:pPr>
              <w:jc w:val="right"/>
              <w:ind w:right="30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8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9"/>
                <w:szCs w:val="9"/>
                <w:color w:val="auto"/>
              </w:rPr>
            </w:pPr>
          </w:p>
        </w:tc>
        <w:tc>
          <w:tcPr>
            <w:tcW w:w="1260" w:type="dxa"/>
            <w:vAlign w:val="bottom"/>
            <w:gridSpan w:val="2"/>
          </w:tcPr>
          <w:p>
            <w:pPr>
              <w:jc w:val="center"/>
              <w:ind w:right="300"/>
              <w:spacing w:after="0" w:line="110" w:lineRule="exact"/>
              <w:rPr>
                <w:sz w:val="20"/>
                <w:szCs w:val="20"/>
                <w:color w:val="auto"/>
              </w:rPr>
            </w:pPr>
            <w:r>
              <w:rPr>
                <w:rFonts w:ascii="Arial" w:cs="Arial" w:eastAsia="Arial" w:hAnsi="Arial"/>
                <w:sz w:val="11"/>
                <w:szCs w:val="11"/>
                <w:b w:val="1"/>
                <w:bCs w:val="1"/>
                <w:color w:val="auto"/>
              </w:rPr>
              <w:t>Comprehensive</w:t>
            </w:r>
          </w:p>
        </w:tc>
        <w:tc>
          <w:tcPr>
            <w:tcW w:w="160" w:type="dxa"/>
            <w:vAlign w:val="bottom"/>
          </w:tcPr>
          <w:p>
            <w:pPr>
              <w:spacing w:after="0"/>
              <w:rPr>
                <w:sz w:val="9"/>
                <w:szCs w:val="9"/>
                <w:color w:val="auto"/>
              </w:rPr>
            </w:pPr>
          </w:p>
        </w:tc>
        <w:tc>
          <w:tcPr>
            <w:tcW w:w="1220" w:type="dxa"/>
            <w:vAlign w:val="bottom"/>
            <w:gridSpan w:val="2"/>
          </w:tcPr>
          <w:p>
            <w:pPr>
              <w:ind w:left="40"/>
              <w:spacing w:after="0" w:line="110"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080" w:type="dxa"/>
            <w:vAlign w:val="bottom"/>
          </w:tcPr>
          <w:p>
            <w:pPr>
              <w:jc w:val="center"/>
              <w:ind w:right="104"/>
              <w:spacing w:after="0" w:line="110"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80"/>
        </w:trPr>
        <w:tc>
          <w:tcPr>
            <w:tcW w:w="36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1"/>
        </w:trPr>
        <w:tc>
          <w:tcPr>
            <w:tcW w:w="3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53,888</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453,064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(341,084)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111,936</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(716)</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6"/>
                <w:szCs w:val="16"/>
                <w:color w:val="auto"/>
              </w:rPr>
              <w:t>Balance at March 31, 2020</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55,060</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64"/>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449,820</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(350,759)</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98,228</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160"/>
        </w:trPr>
        <w:tc>
          <w:tcPr>
            <w:tcW w:w="3660" w:type="dxa"/>
            <w:vAlign w:val="bottom"/>
          </w:tcPr>
          <w:p>
            <w:pPr>
              <w:ind w:left="140"/>
              <w:spacing w:after="0" w:line="160" w:lineRule="exact"/>
              <w:rPr>
                <w:sz w:val="20"/>
                <w:szCs w:val="20"/>
                <w:color w:val="auto"/>
              </w:rPr>
            </w:pPr>
            <w:r>
              <w:rPr>
                <w:rFonts w:ascii="Arial" w:cs="Arial" w:eastAsia="Arial" w:hAnsi="Arial"/>
                <w:sz w:val="16"/>
                <w:szCs w:val="16"/>
                <w:color w:val="auto"/>
                <w:w w:val="93"/>
              </w:rPr>
              <w:t>Issuance of common stock related to employee stock</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693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20" w:type="dxa"/>
            <w:vAlign w:val="bottom"/>
            <w:gridSpan w:val="2"/>
            <w:vMerge w:val="restart"/>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080" w:type="dxa"/>
            <w:vAlign w:val="bottom"/>
            <w:vMerge w:val="restart"/>
          </w:tcPr>
          <w:p>
            <w:pPr>
              <w:jc w:val="right"/>
              <w:ind w:right="4"/>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199"/>
        </w:trPr>
        <w:tc>
          <w:tcPr>
            <w:tcW w:w="366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0"/>
              </w:rPr>
              <w:t>Issuance of common stock associated with the Merger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275,773</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w w:val="91"/>
              </w:rPr>
              <w:t>Exchange of stock options and RSU related to Merger</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11,646</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10,101</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(39,128)</w:t>
            </w:r>
          </w:p>
        </w:tc>
        <w:tc>
          <w:tcPr>
            <w:tcW w:w="0" w:type="dxa"/>
            <w:vAlign w:val="bottom"/>
          </w:tcPr>
          <w:p>
            <w:pPr>
              <w:spacing w:after="0"/>
              <w:rPr>
                <w:sz w:val="1"/>
                <w:szCs w:val="1"/>
                <w:color w:val="auto"/>
              </w:rPr>
            </w:pPr>
          </w:p>
        </w:tc>
      </w:tr>
      <w:tr>
        <w:trPr>
          <w:trHeight w:val="226"/>
        </w:trPr>
        <w:tc>
          <w:tcPr>
            <w:tcW w:w="3660" w:type="dxa"/>
            <w:vAlign w:val="bottom"/>
          </w:tcPr>
          <w:p>
            <w:pPr>
              <w:ind w:left="220"/>
              <w:spacing w:after="0"/>
              <w:rPr>
                <w:sz w:val="20"/>
                <w:szCs w:val="20"/>
                <w:color w:val="auto"/>
              </w:rPr>
            </w:pPr>
            <w:r>
              <w:rPr>
                <w:rFonts w:ascii="Arial" w:cs="Arial" w:eastAsia="Arial" w:hAnsi="Arial"/>
                <w:sz w:val="16"/>
                <w:szCs w:val="16"/>
                <w:color w:val="auto"/>
              </w:rPr>
              <w:t>Balance at June 30, 2020</w:t>
            </w:r>
          </w:p>
        </w:tc>
        <w:tc>
          <w:tcPr>
            <w:tcW w:w="9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109,861</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ind w:right="564"/>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749,959</w:t>
            </w: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(2,603)</w:t>
            </w: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(389,887)</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357,471</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w w:val="98"/>
              </w:rPr>
              <w:t>Issuance of common stock related to RSU vesting</w:t>
            </w:r>
          </w:p>
        </w:tc>
        <w:tc>
          <w:tcPr>
            <w:tcW w:w="980" w:type="dxa"/>
            <w:vAlign w:val="bottom"/>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related to net share settlement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7,595</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ind w:left="900"/>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(10,515)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(10,515)</w:t>
            </w: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Balance at September 30, 2020</w:t>
            </w:r>
          </w:p>
        </w:tc>
        <w:tc>
          <w:tcPr>
            <w:tcW w:w="9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110,712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64"/>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759,116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356,131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60" w:type="dxa"/>
            <w:vAlign w:val="bottom"/>
            <w:gridSpan w:val="3"/>
            <w:vMerge w:val="restart"/>
          </w:tcPr>
          <w:p>
            <w:pPr>
              <w:jc w:val="right"/>
              <w:ind w:right="28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8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8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gridSpan w:val="2"/>
            <w:vMerge w:val="restart"/>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4"/>
                <w:szCs w:val="4"/>
                <w:color w:val="auto"/>
              </w:rPr>
            </w:pPr>
          </w:p>
        </w:tc>
        <w:tc>
          <w:tcPr>
            <w:tcW w:w="122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4"/>
                <w:szCs w:val="4"/>
                <w:color w:val="auto"/>
              </w:rPr>
            </w:pPr>
          </w:p>
        </w:tc>
        <w:tc>
          <w:tcPr>
            <w:tcW w:w="1100" w:type="dxa"/>
            <w:vAlign w:val="bottom"/>
            <w:vMerge w:val="restart"/>
          </w:tcPr>
          <w:p>
            <w:pPr>
              <w:jc w:val="center"/>
              <w:ind w:right="103"/>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58"/>
        </w:trPr>
        <w:tc>
          <w:tcPr>
            <w:tcW w:w="3840" w:type="dxa"/>
            <w:vAlign w:val="bottom"/>
          </w:tcPr>
          <w:p>
            <w:pPr>
              <w:spacing w:after="0"/>
              <w:rPr>
                <w:sz w:val="5"/>
                <w:szCs w:val="5"/>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8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160" w:type="dxa"/>
            <w:vAlign w:val="bottom"/>
          </w:tcPr>
          <w:p>
            <w:pPr>
              <w:spacing w:after="0"/>
              <w:rPr>
                <w:sz w:val="15"/>
                <w:szCs w:val="15"/>
                <w:color w:val="auto"/>
              </w:rPr>
            </w:pPr>
          </w:p>
        </w:tc>
        <w:tc>
          <w:tcPr>
            <w:tcW w:w="1100" w:type="dxa"/>
            <w:vAlign w:val="bottom"/>
          </w:tcPr>
          <w:p>
            <w:pPr>
              <w:jc w:val="center"/>
              <w:ind w:right="6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1"/>
        </w:trPr>
        <w:tc>
          <w:tcPr>
            <w:tcW w:w="38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114,029</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777,084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(394,516)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381,613</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7,108</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Capped call options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(12,877)</w:t>
            </w:r>
          </w:p>
        </w:tc>
        <w:tc>
          <w:tcPr>
            <w:tcW w:w="0" w:type="dxa"/>
            <w:vAlign w:val="bottom"/>
          </w:tcPr>
          <w:p>
            <w:pPr>
              <w:spacing w:after="0"/>
              <w:rPr>
                <w:sz w:val="1"/>
                <w:szCs w:val="1"/>
                <w:color w:val="auto"/>
              </w:rPr>
            </w:pPr>
          </w:p>
        </w:tc>
      </w:tr>
      <w:tr>
        <w:trPr>
          <w:trHeight w:val="197"/>
        </w:trPr>
        <w:tc>
          <w:tcPr>
            <w:tcW w:w="3840" w:type="dxa"/>
            <w:vAlign w:val="bottom"/>
          </w:tcPr>
          <w:p>
            <w:pPr>
              <w:ind w:left="220"/>
              <w:spacing w:after="0"/>
              <w:rPr>
                <w:sz w:val="20"/>
                <w:szCs w:val="20"/>
                <w:color w:val="auto"/>
              </w:rPr>
            </w:pPr>
            <w:r>
              <w:rPr>
                <w:rFonts w:ascii="Arial" w:cs="Arial" w:eastAsia="Arial" w:hAnsi="Arial"/>
                <w:sz w:val="16"/>
                <w:szCs w:val="16"/>
                <w:color w:val="auto"/>
              </w:rPr>
              <w:t>Balance at March 31,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116,113</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751,017</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(407,393)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342,356</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160"/>
        </w:trPr>
        <w:tc>
          <w:tcPr>
            <w:tcW w:w="3840" w:type="dxa"/>
            <w:vAlign w:val="bottom"/>
          </w:tcPr>
          <w:p>
            <w:pPr>
              <w:ind w:left="140"/>
              <w:spacing w:after="0" w:line="160" w:lineRule="exact"/>
              <w:rPr>
                <w:sz w:val="20"/>
                <w:szCs w:val="20"/>
                <w:color w:val="auto"/>
              </w:rPr>
            </w:pPr>
            <w:r>
              <w:rPr>
                <w:rFonts w:ascii="Arial" w:cs="Arial" w:eastAsia="Arial" w:hAnsi="Arial"/>
                <w:sz w:val="16"/>
                <w:szCs w:val="16"/>
                <w:color w:val="auto"/>
                <w:w w:val="97"/>
              </w:rPr>
              <w:t>Issuance of common stock related to employee stock</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199"/>
        </w:trPr>
        <w:tc>
          <w:tcPr>
            <w:tcW w:w="3840" w:type="dxa"/>
            <w:vAlign w:val="bottom"/>
          </w:tcPr>
          <w:p>
            <w:pPr>
              <w:ind w:left="140"/>
              <w:spacing w:after="0"/>
              <w:rPr>
                <w:sz w:val="20"/>
                <w:szCs w:val="20"/>
                <w:color w:val="auto"/>
              </w:rPr>
            </w:pPr>
            <w:r>
              <w:rPr>
                <w:rFonts w:ascii="Arial" w:cs="Arial" w:eastAsia="Arial" w:hAnsi="Arial"/>
                <w:sz w:val="16"/>
                <w:szCs w:val="16"/>
                <w:color w:val="auto"/>
              </w:rPr>
              <w:t>purchase plan</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0"/>
        </w:trPr>
        <w:tc>
          <w:tcPr>
            <w:tcW w:w="3840" w:type="dxa"/>
            <w:vAlign w:val="bottom"/>
          </w:tcPr>
          <w:p>
            <w:pPr>
              <w:ind w:left="140"/>
              <w:spacing w:after="0" w:line="160" w:lineRule="exact"/>
              <w:rPr>
                <w:sz w:val="20"/>
                <w:szCs w:val="20"/>
                <w:color w:val="auto"/>
              </w:rPr>
            </w:pPr>
            <w:r>
              <w:rPr>
                <w:rFonts w:ascii="Arial" w:cs="Arial" w:eastAsia="Arial" w:hAnsi="Arial"/>
                <w:sz w:val="16"/>
                <w:szCs w:val="16"/>
                <w:color w:val="auto"/>
                <w:w w:val="97"/>
              </w:rPr>
              <w:t>Issuance of common stock associated with the SpotX</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12,374</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495,591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495,591</w:t>
            </w:r>
          </w:p>
        </w:tc>
        <w:tc>
          <w:tcPr>
            <w:tcW w:w="0" w:type="dxa"/>
            <w:vAlign w:val="bottom"/>
          </w:tcPr>
          <w:p>
            <w:pPr>
              <w:spacing w:after="0"/>
              <w:rPr>
                <w:sz w:val="1"/>
                <w:szCs w:val="1"/>
                <w:color w:val="auto"/>
              </w:rPr>
            </w:pPr>
          </w:p>
        </w:tc>
      </w:tr>
      <w:tr>
        <w:trPr>
          <w:trHeight w:val="199"/>
        </w:trPr>
        <w:tc>
          <w:tcPr>
            <w:tcW w:w="3840" w:type="dxa"/>
            <w:vAlign w:val="bottom"/>
          </w:tcPr>
          <w:p>
            <w:pPr>
              <w:ind w:left="140"/>
              <w:spacing w:after="0"/>
              <w:rPr>
                <w:sz w:val="20"/>
                <w:szCs w:val="20"/>
                <w:color w:val="auto"/>
              </w:rPr>
            </w:pPr>
            <w:r>
              <w:rPr>
                <w:rFonts w:ascii="Arial" w:cs="Arial" w:eastAsia="Arial" w:hAnsi="Arial"/>
                <w:sz w:val="16"/>
                <w:szCs w:val="16"/>
                <w:color w:val="auto"/>
              </w:rPr>
              <w:t>Acquisition</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9,928</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36,808</w:t>
            </w:r>
          </w:p>
        </w:tc>
        <w:tc>
          <w:tcPr>
            <w:tcW w:w="0" w:type="dxa"/>
            <w:vAlign w:val="bottom"/>
          </w:tcPr>
          <w:p>
            <w:pPr>
              <w:spacing w:after="0"/>
              <w:rPr>
                <w:sz w:val="1"/>
                <w:szCs w:val="1"/>
                <w:color w:val="auto"/>
              </w:rPr>
            </w:pPr>
          </w:p>
        </w:tc>
      </w:tr>
      <w:tr>
        <w:trPr>
          <w:trHeight w:val="197"/>
        </w:trPr>
        <w:tc>
          <w:tcPr>
            <w:tcW w:w="3840" w:type="dxa"/>
            <w:vAlign w:val="bottom"/>
          </w:tcPr>
          <w:p>
            <w:pPr>
              <w:ind w:left="220"/>
              <w:spacing w:after="0"/>
              <w:rPr>
                <w:sz w:val="20"/>
                <w:szCs w:val="20"/>
                <w:color w:val="auto"/>
              </w:rPr>
            </w:pPr>
            <w:r>
              <w:rPr>
                <w:rFonts w:ascii="Arial" w:cs="Arial" w:eastAsia="Arial" w:hAnsi="Arial"/>
                <w:sz w:val="16"/>
                <w:szCs w:val="16"/>
                <w:color w:val="auto"/>
              </w:rPr>
              <w:t>Balance at June 30, 2021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131,200</w:t>
            </w: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1,259,170</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(370,585)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887,686</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Issuance of common stock related to RSU vesting</w:t>
            </w:r>
          </w:p>
        </w:tc>
        <w:tc>
          <w:tcPr>
            <w:tcW w:w="94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12,441</w:t>
            </w:r>
          </w:p>
        </w:tc>
        <w:tc>
          <w:tcPr>
            <w:tcW w:w="0" w:type="dxa"/>
            <w:vAlign w:val="bottom"/>
          </w:tcPr>
          <w:p>
            <w:pPr>
              <w:spacing w:after="0"/>
              <w:rPr>
                <w:sz w:val="1"/>
                <w:szCs w:val="1"/>
                <w:color w:val="auto"/>
              </w:rPr>
            </w:pPr>
          </w:p>
        </w:tc>
      </w:tr>
      <w:tr>
        <w:trPr>
          <w:trHeight w:val="204"/>
        </w:trPr>
        <w:tc>
          <w:tcPr>
            <w:tcW w:w="38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rPr>
                <w:sz w:val="20"/>
                <w:szCs w:val="20"/>
                <w:color w:val="auto"/>
              </w:rPr>
            </w:pPr>
            <w:r>
              <w:rPr>
                <w:rFonts w:ascii="Arial" w:cs="Arial" w:eastAsia="Arial" w:hAnsi="Arial"/>
                <w:sz w:val="16"/>
                <w:szCs w:val="16"/>
                <w:color w:val="auto"/>
              </w:rPr>
              <w:t>Balance at September 30,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131,789</w:t>
            </w:r>
          </w:p>
        </w:tc>
        <w:tc>
          <w:tcPr>
            <w:tcW w:w="1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1,273,093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(394,904)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876,765</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43"/>
              <w:spacing w:after="0"/>
              <w:rPr>
                <w:sz w:val="20"/>
                <w:szCs w:val="20"/>
                <w:color w:val="auto"/>
              </w:rPr>
            </w:pPr>
            <w:r>
              <w:rPr>
                <w:rFonts w:ascii="Arial" w:cs="Arial" w:eastAsia="Arial" w:hAnsi="Arial"/>
                <w:sz w:val="14"/>
                <w:szCs w:val="14"/>
                <w:b w:val="1"/>
                <w:bCs w:val="1"/>
                <w:color w:val="auto"/>
              </w:rPr>
              <w:t>Nine Months Ended</w:t>
            </w:r>
          </w:p>
        </w:tc>
      </w:tr>
      <w:tr>
        <w:trPr>
          <w:trHeight w:val="178"/>
        </w:trPr>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w w:val="93"/>
              </w:rPr>
              <w:t>September 30, 2020</w:t>
            </w:r>
          </w:p>
        </w:tc>
      </w:tr>
      <w:tr>
        <w:trPr>
          <w:trHeight w:val="186"/>
        </w:trPr>
        <w:tc>
          <w:tcPr>
            <w:tcW w:w="782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(59,318)</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21,298</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disposal of property and equipment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Provision for doubtful accounts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Non-cash lease expense</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Unrealized foreign currency gain</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(2,108)</w:t>
            </w:r>
          </w:p>
        </w:tc>
      </w:tr>
      <w:tr>
        <w:trPr>
          <w:trHeight w:val="210"/>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(92,131)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(46,145)</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r>
      <w:tr>
        <w:trPr>
          <w:trHeight w:val="204"/>
        </w:trPr>
        <w:tc>
          <w:tcPr>
            <w:tcW w:w="7820" w:type="dxa"/>
            <w:vAlign w:val="bottom"/>
          </w:tcPr>
          <w:p>
            <w:pPr>
              <w:ind w:left="4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113,795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23,464</w:t>
            </w:r>
          </w:p>
        </w:tc>
      </w:tr>
      <w:tr>
        <w:trPr>
          <w:trHeight w:val="210"/>
        </w:trPr>
        <w:tc>
          <w:tcPr>
            <w:tcW w:w="7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197"/>
        </w:trPr>
        <w:tc>
          <w:tcPr>
            <w:tcW w:w="782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(24,038)</w:t>
            </w:r>
          </w:p>
        </w:tc>
      </w:tr>
      <w:tr>
        <w:trPr>
          <w:trHeight w:val="19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(4,211)</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 use software development costs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(6,894)</w:t>
            </w:r>
          </w:p>
        </w:tc>
      </w:tr>
      <w:tr>
        <w:trPr>
          <w:trHeight w:val="204"/>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(used in), net of cash acquired, in merger and acquisition activities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(653,060)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54,595</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provided by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(675,570)</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43,490</w:t>
            </w:r>
          </w:p>
        </w:tc>
      </w:tr>
      <w:tr>
        <w:trPr>
          <w:trHeight w:val="184"/>
        </w:trPr>
        <w:tc>
          <w:tcPr>
            <w:tcW w:w="7820" w:type="dxa"/>
            <w:vAlign w:val="bottom"/>
          </w:tcPr>
          <w:p>
            <w:pPr>
              <w:ind w:left="20"/>
              <w:spacing w:after="0" w:line="181" w:lineRule="exact"/>
              <w:rPr>
                <w:sz w:val="20"/>
                <w:szCs w:val="20"/>
                <w:color w:val="auto"/>
              </w:rPr>
            </w:pPr>
            <w:r>
              <w:rPr>
                <w:rFonts w:ascii="Arial" w:cs="Arial" w:eastAsia="Arial" w:hAnsi="Arial"/>
                <w:sz w:val="16"/>
                <w:szCs w:val="16"/>
                <w:color w:val="auto"/>
              </w:rPr>
              <w:t>FINANCING ACTIVITIES:</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Convertible Senior Notes offering</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issuance of debt, net of debt discount</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349,200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capped call options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Payment for debt issuance costs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(30,378)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r>
      <w:tr>
        <w:trPr>
          <w:trHeight w:val="204"/>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under employee stock purchase plan</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paid related to net share settlement</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(7,841)</w:t>
            </w:r>
          </w:p>
        </w:tc>
      </w:tr>
      <w:tr>
        <w:trPr>
          <w:trHeight w:val="203"/>
        </w:trPr>
        <w:tc>
          <w:tcPr>
            <w:tcW w:w="7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688,863</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70,702</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16,213</w:t>
            </w:r>
          </w:p>
        </w:tc>
      </w:tr>
      <w:tr>
        <w:trPr>
          <w:trHeight w:val="19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117,731</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88,888</w:t>
            </w:r>
          </w:p>
        </w:tc>
      </w:tr>
      <w:tr>
        <w:trPr>
          <w:trHeight w:val="22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188,433</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105,101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60"/>
        </w:trPr>
        <w:tc>
          <w:tcPr>
            <w:tcW w:w="782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w w:val="95"/>
              </w:rPr>
              <w:t>RECONCILIATION OF CASH, CASH EQUIVALENTS AND RESTRICTED CASH TO CONSOLIDATED BALANCE</w:t>
            </w: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SHEETS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4"/>
        </w:trPr>
        <w:tc>
          <w:tcPr>
            <w:tcW w:w="78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188,182</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103,797</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 included in other assets, non-current, and 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r>
      <w:tr>
        <w:trPr>
          <w:trHeight w:val="197"/>
        </w:trPr>
        <w:tc>
          <w:tcPr>
            <w:tcW w:w="7820" w:type="dxa"/>
            <w:vAlign w:val="bottom"/>
          </w:tcPr>
          <w:p>
            <w:pPr>
              <w:ind w:left="20"/>
              <w:spacing w:after="0" w:line="181" w:lineRule="exact"/>
              <w:rPr>
                <w:sz w:val="20"/>
                <w:szCs w:val="20"/>
                <w:color w:val="auto"/>
              </w:rPr>
            </w:pPr>
            <w:r>
              <w:rPr>
                <w:rFonts w:ascii="Arial" w:cs="Arial" w:eastAsia="Arial" w:hAnsi="Arial"/>
                <w:sz w:val="16"/>
                <w:szCs w:val="16"/>
                <w:color w:val="auto"/>
              </w:rPr>
              <w:t>Total cash, cash equivalents and restricted cash</w:t>
            </w: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105,101</w:t>
            </w:r>
          </w:p>
        </w:tc>
      </w:tr>
      <w:tr>
        <w:trPr>
          <w:trHeight w:val="22"/>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6"/>
                <w:szCs w:val="16"/>
                <w:b w:val="1"/>
                <w:bCs w:val="1"/>
                <w:color w:val="auto"/>
              </w:rPr>
              <w:t>Nine Months Ended</w:t>
            </w:r>
          </w:p>
        </w:tc>
      </w:tr>
      <w:tr>
        <w:trPr>
          <w:trHeight w:val="19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OTHER CASH FLOW INFORMATION:</w:t>
            </w:r>
          </w:p>
        </w:tc>
        <w:tc>
          <w:tcPr>
            <w:tcW w:w="1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3"/>
              <w:spacing w:after="0"/>
              <w:rPr>
                <w:sz w:val="20"/>
                <w:szCs w:val="20"/>
                <w:color w:val="auto"/>
              </w:rPr>
            </w:pPr>
            <w:r>
              <w:rPr>
                <w:rFonts w:ascii="Arial" w:cs="Arial" w:eastAsia="Arial" w:hAnsi="Arial"/>
                <w:sz w:val="14"/>
                <w:szCs w:val="14"/>
                <w:b w:val="1"/>
                <w:bCs w:val="1"/>
                <w:color w:val="auto"/>
                <w:w w:val="90"/>
              </w:rPr>
              <w:t>September 30, 2020</w:t>
            </w:r>
          </w:p>
        </w:tc>
      </w:tr>
      <w:tr>
        <w:trPr>
          <w:trHeight w:val="197"/>
        </w:trPr>
        <w:tc>
          <w:tcPr>
            <w:tcW w:w="812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829</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Capitalized assets financed by accounts payable and accrued expenses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2,388</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Operating lease right-of-use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22,651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2,036</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consideration - indemnification claims holdback</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120" w:type="dxa"/>
            <w:vAlign w:val="bottom"/>
          </w:tcPr>
          <w:p>
            <w:pPr>
              <w:ind w:left="20"/>
              <w:spacing w:after="0"/>
              <w:rPr>
                <w:sz w:val="20"/>
                <w:szCs w:val="20"/>
                <w:color w:val="auto"/>
              </w:rPr>
            </w:pPr>
            <w:r>
              <w:rPr>
                <w:rFonts w:ascii="Arial" w:cs="Arial" w:eastAsia="Arial" w:hAnsi="Arial"/>
                <w:sz w:val="16"/>
                <w:szCs w:val="16"/>
                <w:color w:val="auto"/>
              </w:rPr>
              <w:t>Common stock and options issued for mergers and acquisitions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495,591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287,418</w:t>
            </w:r>
          </w:p>
        </w:tc>
      </w:tr>
      <w:tr>
        <w:trPr>
          <w:trHeight w:val="210"/>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discount, non-cash</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MAGNITE,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1—Organization and Summary of Significant Accounting Policies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Company Overview</w:t>
      </w:r>
    </w:p>
    <w:p>
      <w:pPr>
        <w:spacing w:after="0" w:line="89" w:lineRule="exact"/>
        <w:rPr>
          <w:sz w:val="20"/>
          <w:szCs w:val="20"/>
          <w:color w:val="auto"/>
        </w:rPr>
      </w:pPr>
    </w:p>
    <w:p>
      <w:pPr>
        <w:jc w:val="both"/>
        <w:ind w:right="420" w:firstLine="621"/>
        <w:spacing w:after="0" w:line="293" w:lineRule="auto"/>
        <w:rPr>
          <w:sz w:val="20"/>
          <w:szCs w:val="20"/>
          <w:color w:val="auto"/>
        </w:rPr>
      </w:pPr>
      <w:r>
        <w:rPr>
          <w:rFonts w:ascii="Arial" w:cs="Arial" w:eastAsia="Arial" w:hAnsi="Arial"/>
          <w:sz w:val="15"/>
          <w:szCs w:val="15"/>
          <w:color w:val="auto"/>
        </w:rPr>
        <w:t>Magnite, Inc. ("Magnite" or the "Company"), formerly known as The Rubicon Project, Inc., was formed in Delaware and began operations in April 2007. On April 1, 2020, Magnite completed a stock-for-stock merger with Telaria, Inc. ("Telaria" and such merger the "Telaria Merger"), a leading sell side advertising platform and provider of connected television ("CTV") technology. On April 30, 2021, the Company completed its acquisition of SpotX, Inc.</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("SpotX" and such acquisition the "SpotX Acquisition"), a leading CTV and video advertising platform. On July 1, 2021, the Company completed its acquisition of SpringServe, LLC ("SpringServe" and such acquisition the "SpringServe Acquisition"), a leading ad serving platform for CTV. The Company operates a sell side advertising platform that offers buyers and sellers of digital advertising a single partner for transacting globally across all channels, formats, and auction types.</w:t>
      </w:r>
    </w:p>
    <w:p>
      <w:pPr>
        <w:spacing w:after="0" w:line="65"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inventory.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Summary of Significant Accounting Policies</w:t>
      </w:r>
    </w:p>
    <w:p>
      <w:pPr>
        <w:spacing w:after="0" w:line="115" w:lineRule="exact"/>
        <w:rPr>
          <w:sz w:val="20"/>
          <w:szCs w:val="20"/>
          <w:color w:val="auto"/>
        </w:rPr>
      </w:pPr>
    </w:p>
    <w:p>
      <w:pPr>
        <w:ind w:right="100" w:firstLine="621"/>
        <w:spacing w:after="0" w:line="26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United States Generally Accepted Accounting Principles,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and nine months ended September 30, 2021 are not necessarily indicative of the results that may be expected for any future interim period, the year ending December 31, 2021, or for any future year.</w:t>
      </w:r>
    </w:p>
    <w:p>
      <w:pPr>
        <w:spacing w:after="0" w:line="62" w:lineRule="exact"/>
        <w:rPr>
          <w:sz w:val="20"/>
          <w:szCs w:val="20"/>
          <w:color w:val="auto"/>
        </w:rPr>
      </w:pPr>
    </w:p>
    <w:p>
      <w:pPr>
        <w:ind w:right="120" w:firstLine="621"/>
        <w:spacing w:after="0" w:line="320" w:lineRule="auto"/>
        <w:rPr>
          <w:sz w:val="20"/>
          <w:szCs w:val="20"/>
          <w:color w:val="auto"/>
        </w:rPr>
      </w:pPr>
      <w:r>
        <w:rPr>
          <w:rFonts w:ascii="Arial" w:cs="Arial" w:eastAsia="Arial" w:hAnsi="Arial"/>
          <w:sz w:val="15"/>
          <w:szCs w:val="15"/>
          <w:color w:val="auto"/>
        </w:rPr>
        <w:t>The condensed consolidated balance sheet at December 31, 2020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2020 included in its 2020 Annual Report on Form 10-K.</w:t>
      </w:r>
    </w:p>
    <w:p>
      <w:pPr>
        <w:spacing w:after="0" w:line="9" w:lineRule="exact"/>
        <w:rPr>
          <w:sz w:val="20"/>
          <w:szCs w:val="20"/>
          <w:color w:val="auto"/>
        </w:rPr>
      </w:pPr>
    </w:p>
    <w:p>
      <w:pPr>
        <w:ind w:right="180" w:firstLine="621"/>
        <w:spacing w:after="0" w:line="353" w:lineRule="auto"/>
        <w:rPr>
          <w:sz w:val="20"/>
          <w:szCs w:val="20"/>
          <w:color w:val="auto"/>
        </w:rPr>
      </w:pPr>
      <w:r>
        <w:rPr>
          <w:rFonts w:ascii="Arial" w:cs="Arial" w:eastAsia="Arial" w:hAnsi="Arial"/>
          <w:sz w:val="15"/>
          <w:szCs w:val="15"/>
          <w:color w:val="auto"/>
        </w:rPr>
        <w:t>Aside from the adoption of ASU 2020-06, as described below, there have been no significant changes in the Company's accounting policies from those disclosed in its audited consolidated financial statements and notes thereto for the year ended December 31, 2020 included in its Annual Report on Form 10-K.</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5" w:lineRule="exact"/>
        <w:rPr>
          <w:sz w:val="20"/>
          <w:szCs w:val="20"/>
          <w:color w:val="auto"/>
        </w:rPr>
      </w:pPr>
    </w:p>
    <w:p>
      <w:pPr>
        <w:ind w:firstLine="621"/>
        <w:spacing w:after="0" w:line="277" w:lineRule="auto"/>
        <w:rPr>
          <w:sz w:val="20"/>
          <w:szCs w:val="20"/>
          <w:color w:val="auto"/>
        </w:rPr>
      </w:pPr>
      <w:r>
        <w:rPr>
          <w:rFonts w:ascii="Arial" w:cs="Arial" w:eastAsia="Arial" w:hAnsi="Arial"/>
          <w:sz w:val="15"/>
          <w:szCs w:val="15"/>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it has become more difficult to apply certain assumptions and judgments into these estimates. </w:t>
      </w:r>
      <w:r>
        <w:rPr>
          <w:rFonts w:ascii="Arial" w:cs="Arial" w:eastAsia="Arial" w:hAnsi="Arial"/>
          <w:sz w:val="15"/>
          <w:szCs w:val="15"/>
          <w:color w:val="212529"/>
        </w:rPr>
        <w:t>The extent of the impact of</w:t>
      </w:r>
      <w:r>
        <w:rPr>
          <w:rFonts w:ascii="Arial" w:cs="Arial" w:eastAsia="Arial" w:hAnsi="Arial"/>
          <w:sz w:val="15"/>
          <w:szCs w:val="15"/>
          <w:color w:val="auto"/>
        </w:rPr>
        <w:t xml:space="preserve"> COVID-19 </w:t>
      </w:r>
      <w:r>
        <w:rPr>
          <w:rFonts w:ascii="Arial" w:cs="Arial" w:eastAsia="Arial" w:hAnsi="Arial"/>
          <w:sz w:val="15"/>
          <w:szCs w:val="15"/>
          <w:color w:val="212529"/>
        </w:rPr>
        <w:t>pandemic on the Company's</w:t>
      </w:r>
      <w:r>
        <w:rPr>
          <w:rFonts w:ascii="Arial" w:cs="Arial" w:eastAsia="Arial" w:hAnsi="Arial"/>
          <w:sz w:val="15"/>
          <w:szCs w:val="15"/>
          <w:color w:val="auto"/>
        </w:rPr>
        <w:t xml:space="preserve"> </w:t>
      </w:r>
      <w:r>
        <w:rPr>
          <w:rFonts w:ascii="Arial" w:cs="Arial" w:eastAsia="Arial" w:hAnsi="Arial"/>
          <w:sz w:val="15"/>
          <w:szCs w:val="15"/>
          <w:color w:val="212529"/>
        </w:rPr>
        <w:t>operational and financial performance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During the nine months ended September 30, 2021, this uncertainty continued to result in a higher level of judgment related to its estimates and assumptions. As of the date of issuance of the condensed consolidated financial statements for the three and nine months ended September 30, 2021,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4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02" w:lineRule="exact"/>
        <w:rPr>
          <w:sz w:val="20"/>
          <w:szCs w:val="20"/>
          <w:color w:val="auto"/>
        </w:rPr>
      </w:pPr>
    </w:p>
    <w:p>
      <w:pPr>
        <w:ind w:right="260" w:firstLine="621"/>
        <w:spacing w:after="0" w:line="296" w:lineRule="auto"/>
        <w:rPr>
          <w:sz w:val="20"/>
          <w:szCs w:val="20"/>
          <w:color w:val="auto"/>
        </w:rPr>
      </w:pPr>
      <w:r>
        <w:rPr>
          <w:rFonts w:ascii="Arial" w:cs="Arial" w:eastAsia="Arial" w:hAnsi="Arial"/>
          <w:sz w:val="15"/>
          <w:szCs w:val="15"/>
          <w:color w:val="auto"/>
        </w:rPr>
        <w:t xml:space="preserve">On January 1, 2021, the Company adopted ASU 2020-06, </w:t>
      </w:r>
      <w:r>
        <w:rPr>
          <w:rFonts w:ascii="Arial" w:cs="Arial" w:eastAsia="Arial" w:hAnsi="Arial"/>
          <w:sz w:val="15"/>
          <w:szCs w:val="15"/>
          <w:i w:val="1"/>
          <w:iCs w:val="1"/>
          <w:color w:val="auto"/>
        </w:rPr>
        <w:t>Debt—Debt with Conversion and Other Options (Subtopic 470-20) and Derivatives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Hedging—Contracts in Entity's Own Equity (Subtopic 815-40): Accounting for Convertible Instruments and Contracts in an Entity’s Own Equity </w:t>
      </w:r>
      <w:r>
        <w:rPr>
          <w:rFonts w:ascii="Arial" w:cs="Arial" w:eastAsia="Arial" w:hAnsi="Arial"/>
          <w:sz w:val="15"/>
          <w:szCs w:val="15"/>
          <w:color w:val="auto"/>
        </w:rPr>
        <w:t>(ASU "2020-</w:t>
      </w:r>
    </w:p>
    <w:p>
      <w:pPr>
        <w:spacing w:after="0" w:line="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06") on a prospective basis, which simplifies the accounting for convertible instruments by reducing the number of accounting models available for convertible debt instruments that require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separating embedded conversion features from convertible instruments. This guidance also eliminates the treasury stock method to calculate diluted earnings per share for convertible instruments and requires the use of the if-converted method. The adoption of this standard is included in the financial statements as of September 30, 2021 and for the three and nine months ended September 30, 2021 and September 30, 2020, respectively. Refer to Note 14—"Convertible Senior Notes" for additional information related to accounting for convertible debt issued during the nine months ended September 30, 2021.</w:t>
      </w:r>
    </w:p>
    <w:p>
      <w:pPr>
        <w:spacing w:after="0" w:line="17"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On January 1, 2021, the Company adopted ASU 2019-12—</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ASU 2019-12 simplifies the accounting for income taxes by removing certain exceptions to general principles in Topic 740 and clarifies and amends existing guidance for clarity and consistent application. There was no material impact to the quarterly or year to date income tax provision.</w:t>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5" w:lineRule="exact"/>
        <w:rPr>
          <w:sz w:val="20"/>
          <w:szCs w:val="20"/>
          <w:color w:val="auto"/>
        </w:rPr>
      </w:pPr>
    </w:p>
    <w:p>
      <w:pPr>
        <w:ind w:right="180" w:firstLine="621"/>
        <w:spacing w:after="0" w:line="259" w:lineRule="auto"/>
        <w:rPr>
          <w:sz w:val="20"/>
          <w:szCs w:val="20"/>
          <w:color w:val="auto"/>
        </w:rPr>
      </w:pPr>
      <w:r>
        <w:rPr>
          <w:rFonts w:ascii="Arial" w:cs="Arial" w:eastAsia="Arial" w:hAnsi="Arial"/>
          <w:sz w:val="17"/>
          <w:szCs w:val="17"/>
          <w:color w:val="auto"/>
        </w:rPr>
        <w:t>In March 2020, the FASB issued Update No. 2020-04, Reference Rate Reform (Topic 848), which provides temporary optional guidance to companies impacted by the transition away from the LIBOR. The amendment provides certain expedients and exceptions to applying GAAP in order to lessen the potential accounting burden when contracts, hedging relationships, and other transactions that reference LIBOR as a benchmark rate are modified. Further, in January 2021, the FASB issued Update No. 2021-01, Reference Rate Reform (Topic 848), which clarifies the scope of Topic 848 so that derivatives affected by the discounting transition are explicitly eligible for certain optional expedients and exceptions in Topic 848. These amendments are effective upon issuance and expire on December 31, 2022. The Company is currently assessing the impact of the LIBOR transition on the Company's condensed consolidated financial statements.</w:t>
      </w:r>
    </w:p>
    <w:p>
      <w:pPr>
        <w:spacing w:after="0" w:line="63" w:lineRule="exact"/>
        <w:rPr>
          <w:sz w:val="20"/>
          <w:szCs w:val="20"/>
          <w:color w:val="auto"/>
        </w:rPr>
      </w:pPr>
    </w:p>
    <w:p>
      <w:pPr>
        <w:ind w:right="80" w:firstLine="621"/>
        <w:spacing w:after="0" w:line="261" w:lineRule="auto"/>
        <w:rPr>
          <w:sz w:val="20"/>
          <w:szCs w:val="20"/>
          <w:color w:val="auto"/>
        </w:rPr>
      </w:pPr>
      <w:r>
        <w:rPr>
          <w:rFonts w:ascii="Arial" w:cs="Arial" w:eastAsia="Arial" w:hAnsi="Arial"/>
          <w:sz w:val="17"/>
          <w:szCs w:val="17"/>
          <w:color w:val="auto"/>
        </w:rPr>
        <w:t>In July 2021, the FASB issued Update No. 2021-05, Leases (Topic 842)—</w:t>
      </w:r>
      <w:r>
        <w:rPr>
          <w:rFonts w:ascii="Arial" w:cs="Arial" w:eastAsia="Arial" w:hAnsi="Arial"/>
          <w:sz w:val="17"/>
          <w:szCs w:val="17"/>
          <w:i w:val="1"/>
          <w:iCs w:val="1"/>
          <w:color w:val="auto"/>
        </w:rPr>
        <w:t>Lessors – Certain Leases with Variable Lease Payments</w:t>
      </w:r>
      <w:r>
        <w:rPr>
          <w:rFonts w:ascii="Arial" w:cs="Arial" w:eastAsia="Arial" w:hAnsi="Arial"/>
          <w:sz w:val="17"/>
          <w:szCs w:val="17"/>
          <w:color w:val="auto"/>
        </w:rPr>
        <w:t xml:space="preserve"> ("ASU 2021-05"). ASU 2021-05 requires a lessor to classify a lease with variable lease payments that do not depend on an index or rate as an operating lease if specified criteria are met. This guidance will be effective on January 1, 2022, either retrospectively to leases that commenced or were modified on or after our adoption of ASU 2016-02 on January 1, 2019, or on a prospective basis, with early adoption permitted. The Company is currently assessing the impact of the new guidance on the Company's condensed consolidated financial statements.</w:t>
      </w:r>
    </w:p>
    <w:p>
      <w:pPr>
        <w:spacing w:after="0" w:line="63"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2—Net Loss Per Share</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basic and diluted net loss per share: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760" w:type="dxa"/>
            <w:vAlign w:val="bottom"/>
            <w:gridSpan w:val="4"/>
          </w:tcPr>
          <w:p>
            <w:pPr>
              <w:jc w:val="right"/>
              <w:ind w:right="677"/>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7"/>
              </w:rPr>
              <w:t>September 30, 2020</w:t>
            </w:r>
          </w:p>
        </w:tc>
        <w:tc>
          <w:tcPr>
            <w:tcW w:w="1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September 30, 2020</w:t>
            </w: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Income (Loss) Per Share: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(24,319)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(10,515)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(59,318)</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110,416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91,371</w:t>
            </w:r>
          </w:p>
        </w:tc>
        <w:tc>
          <w:tcPr>
            <w:tcW w:w="0" w:type="dxa"/>
            <w:vAlign w:val="bottom"/>
          </w:tcPr>
          <w:p>
            <w:pPr>
              <w:spacing w:after="0"/>
              <w:rPr>
                <w:sz w:val="1"/>
                <w:szCs w:val="1"/>
                <w:color w:val="auto"/>
              </w:rPr>
            </w:pPr>
          </w:p>
        </w:tc>
      </w:tr>
      <w:tr>
        <w:trPr>
          <w:trHeight w:val="149"/>
        </w:trPr>
        <w:tc>
          <w:tcPr>
            <w:tcW w:w="5400" w:type="dxa"/>
            <w:vAlign w:val="bottom"/>
          </w:tcPr>
          <w:p>
            <w:pPr>
              <w:ind w:left="20"/>
              <w:spacing w:after="0" w:line="149" w:lineRule="exact"/>
              <w:rPr>
                <w:sz w:val="20"/>
                <w:szCs w:val="20"/>
                <w:color w:val="auto"/>
              </w:rPr>
            </w:pPr>
            <w:r>
              <w:rPr>
                <w:rFonts w:ascii="Arial" w:cs="Arial" w:eastAsia="Arial" w:hAnsi="Arial"/>
                <w:sz w:val="17"/>
                <w:szCs w:val="17"/>
                <w:color w:val="auto"/>
                <w:w w:val="92"/>
              </w:rPr>
              <w:t>Weighted-average common shares outstanding used to compute net loss per</w:t>
            </w: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131,501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110,416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124,325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91,371</w:t>
            </w:r>
          </w:p>
        </w:tc>
        <w:tc>
          <w:tcPr>
            <w:tcW w:w="0" w:type="dxa"/>
            <w:vAlign w:val="bottom"/>
          </w:tcPr>
          <w:p>
            <w:pPr>
              <w:spacing w:after="0"/>
              <w:rPr>
                <w:sz w:val="1"/>
                <w:szCs w:val="1"/>
                <w:color w:val="auto"/>
              </w:rPr>
            </w:pPr>
          </w:p>
        </w:tc>
      </w:tr>
      <w:tr>
        <w:trPr>
          <w:trHeight w:val="194"/>
        </w:trPr>
        <w:tc>
          <w:tcPr>
            <w:tcW w:w="5400" w:type="dxa"/>
            <w:vAlign w:val="bottom"/>
          </w:tcPr>
          <w:p>
            <w:pPr>
              <w:ind w:left="20"/>
              <w:spacing w:after="0" w:line="194" w:lineRule="exact"/>
              <w:rPr>
                <w:sz w:val="20"/>
                <w:szCs w:val="20"/>
                <w:color w:val="auto"/>
              </w:rPr>
            </w:pPr>
            <w:r>
              <w:rPr>
                <w:rFonts w:ascii="Arial" w:cs="Arial" w:eastAsia="Arial" w:hAnsi="Arial"/>
                <w:sz w:val="17"/>
                <w:szCs w:val="17"/>
                <w:color w:val="auto"/>
              </w:rPr>
              <w:t>share</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00" w:type="dxa"/>
            <w:vAlign w:val="bottom"/>
          </w:tcPr>
          <w:p>
            <w:pPr>
              <w:spacing w:after="0"/>
              <w:rPr>
                <w:sz w:val="17"/>
                <w:szCs w:val="17"/>
                <w:color w:val="auto"/>
              </w:rPr>
            </w:pPr>
          </w:p>
        </w:tc>
        <w:tc>
          <w:tcPr>
            <w:tcW w:w="2980" w:type="dxa"/>
            <w:vAlign w:val="bottom"/>
            <w:gridSpan w:val="4"/>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860" w:type="dxa"/>
            <w:vAlign w:val="bottom"/>
            <w:gridSpan w:val="3"/>
          </w:tcPr>
          <w:p>
            <w:pPr>
              <w:jc w:val="right"/>
              <w:ind w:right="676"/>
              <w:spacing w:after="0"/>
              <w:rPr>
                <w:sz w:val="20"/>
                <w:szCs w:val="20"/>
                <w:color w:val="auto"/>
              </w:rPr>
            </w:pPr>
            <w:r>
              <w:rPr>
                <w:rFonts w:ascii="Arial" w:cs="Arial" w:eastAsia="Arial" w:hAnsi="Arial"/>
                <w:sz w:val="16"/>
                <w:szCs w:val="16"/>
                <w:b w:val="1"/>
                <w:bCs w:val="1"/>
                <w:color w:val="auto"/>
              </w:rPr>
              <w:t>Nine Months Ended</w:t>
            </w:r>
          </w:p>
        </w:tc>
      </w:tr>
      <w:tr>
        <w:trPr>
          <w:trHeight w:val="176"/>
        </w:trPr>
        <w:tc>
          <w:tcPr>
            <w:tcW w:w="540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6"/>
              </w:rPr>
              <w:t>September 30, 2020</w:t>
            </w:r>
          </w:p>
        </w:tc>
        <w:tc>
          <w:tcPr>
            <w:tcW w:w="120" w:type="dxa"/>
            <w:vAlign w:val="bottom"/>
          </w:tcPr>
          <w:p>
            <w:pPr>
              <w:spacing w:after="0"/>
              <w:rPr>
                <w:sz w:val="15"/>
                <w:szCs w:val="15"/>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4"/>
              </w:rPr>
              <w:t>September 30, 2020</w:t>
            </w:r>
          </w:p>
        </w:tc>
      </w:tr>
      <w:tr>
        <w:trPr>
          <w:trHeight w:val="174"/>
        </w:trPr>
        <w:tc>
          <w:tcPr>
            <w:tcW w:w="5400" w:type="dxa"/>
            <w:vAlign w:val="bottom"/>
          </w:tcPr>
          <w:p>
            <w:pPr>
              <w:spacing w:after="0"/>
              <w:rPr>
                <w:sz w:val="15"/>
                <w:szCs w:val="15"/>
                <w:color w:val="auto"/>
              </w:rPr>
            </w:pPr>
          </w:p>
        </w:tc>
        <w:tc>
          <w:tcPr>
            <w:tcW w:w="2860" w:type="dxa"/>
            <w:vAlign w:val="bottom"/>
            <w:gridSpan w:val="3"/>
          </w:tcPr>
          <w:p>
            <w:pPr>
              <w:jc w:val="right"/>
              <w:ind w:right="916"/>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860" w:type="dxa"/>
            <w:vAlign w:val="bottom"/>
            <w:gridSpan w:val="3"/>
          </w:tcPr>
          <w:p>
            <w:pPr>
              <w:jc w:val="right"/>
              <w:ind w:right="936"/>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380" w:type="dxa"/>
            <w:vAlign w:val="bottom"/>
          </w:tcPr>
          <w:p>
            <w:pPr>
              <w:jc w:val="right"/>
              <w:spacing w:after="0"/>
              <w:rPr>
                <w:sz w:val="20"/>
                <w:szCs w:val="20"/>
                <w:color w:val="auto"/>
              </w:rPr>
            </w:pPr>
            <w:r>
              <w:rPr>
                <w:rFonts w:ascii="Arial" w:cs="Arial" w:eastAsia="Arial" w:hAnsi="Arial"/>
                <w:sz w:val="17"/>
                <w:szCs w:val="17"/>
                <w:color w:val="auto"/>
              </w:rPr>
              <w:t>4,253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3,768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5,876</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3,851</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performance stock units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ESPP</w:t>
            </w:r>
          </w:p>
        </w:tc>
        <w:tc>
          <w:tcPr>
            <w:tcW w:w="13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Total shares excluded from net loss per share</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14,837</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5,732</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15,332</w:t>
            </w:r>
          </w:p>
        </w:tc>
        <w:tc>
          <w:tcPr>
            <w:tcW w:w="1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5,617</w:t>
            </w:r>
          </w:p>
        </w:tc>
      </w:tr>
      <w:tr>
        <w:trPr>
          <w:trHeight w:val="20"/>
        </w:trPr>
        <w:tc>
          <w:tcPr>
            <w:tcW w:w="5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40" w:firstLine="621"/>
        <w:spacing w:after="0" w:line="268" w:lineRule="auto"/>
        <w:rPr>
          <w:sz w:val="20"/>
          <w:szCs w:val="20"/>
          <w:color w:val="auto"/>
        </w:rPr>
      </w:pPr>
      <w:r>
        <w:rPr>
          <w:rFonts w:ascii="Arial" w:cs="Arial" w:eastAsia="Arial" w:hAnsi="Arial"/>
          <w:sz w:val="17"/>
          <w:szCs w:val="17"/>
          <w:color w:val="auto"/>
        </w:rPr>
        <w:t>For the three and nine months ended September 30, 2021, diluted shares used to compute diluted earnings per share included outstanding performance stock units granted during April 2020, April 2021, and August 2021 based on a current achievement level of 150%, 0%, and 0%, respectively. Refer to Note 9 —"Stock-Based Compensation" for additional information related to performance stock units.</w:t>
      </w:r>
    </w:p>
    <w:p>
      <w:pPr>
        <w:spacing w:after="0" w:line="70" w:lineRule="exact"/>
        <w:rPr>
          <w:sz w:val="20"/>
          <w:szCs w:val="20"/>
          <w:color w:val="auto"/>
        </w:rPr>
      </w:pPr>
    </w:p>
    <w:p>
      <w:pPr>
        <w:ind w:right="180" w:firstLine="621"/>
        <w:spacing w:after="0" w:line="259" w:lineRule="auto"/>
        <w:rPr>
          <w:sz w:val="20"/>
          <w:szCs w:val="20"/>
          <w:color w:val="auto"/>
        </w:rPr>
      </w:pPr>
      <w:r>
        <w:rPr>
          <w:rFonts w:ascii="Arial" w:cs="Arial" w:eastAsia="Arial" w:hAnsi="Arial"/>
          <w:sz w:val="17"/>
          <w:szCs w:val="17"/>
          <w:color w:val="auto"/>
        </w:rPr>
        <w:t xml:space="preserve">For the three and nine months ended September 30, 2021, diluted shares used to compute diluted earnings per share excluded the shares that would be issuable assuming conversion of all of the Convertible Senior Notes (as defined in Note 14) because they are anti-dilutive. Diluted earnings per share for the Convertible Senior Notes is calculated under the if-converted method in accordance with ASC 260, </w:t>
      </w:r>
      <w:r>
        <w:rPr>
          <w:rFonts w:ascii="Arial" w:cs="Arial" w:eastAsia="Arial" w:hAnsi="Arial"/>
          <w:sz w:val="17"/>
          <w:szCs w:val="17"/>
          <w:i w:val="1"/>
          <w:iCs w:val="1"/>
          <w:color w:val="auto"/>
        </w:rPr>
        <w:t>Earnings Per Share</w:t>
      </w:r>
      <w:r>
        <w:rPr>
          <w:rFonts w:ascii="Arial" w:cs="Arial" w:eastAsia="Arial" w:hAnsi="Arial"/>
          <w:sz w:val="17"/>
          <w:szCs w:val="17"/>
          <w:color w:val="auto"/>
        </w:rPr>
        <w:t>. The Convertible Senior Notes have an initial conversion rate of 15.6539 shares of common stock per $1,000 principal amount of the Convertible Senior Notes, which will be subject to anti-dilution adjustments in certain circumstances. As of September 30, 2021, the number of shares that would be issuable assuming conversion of all of the Convertible Senior Notes is approximately 6,261,560. Refer to Note 14—"Convertible Senior Notes" for additional information related to accounting for Convertible Senior Notes issued and associated Capped Call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3—Revenue</w:t>
      </w:r>
    </w:p>
    <w:p>
      <w:pPr>
        <w:spacing w:after="0" w:line="186"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For the majority of transactions on the Company's platform,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4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For periods prior to the SpotX Acquisition, revenue reported on a gross basis was generally less than 3% of the Company's total revenue. As a result of the SpotX Acquisition, an increased percentage of the Company's revenue is reported on a gross basis. The following table presents our revenue recognized on a net basis and on a gross basis for the three and nine months ended September 30, 2021 and September 30, 2020,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179"/>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September 30, 2020</w:t>
            </w:r>
          </w:p>
        </w:tc>
      </w:tr>
      <w:tr>
        <w:trPr>
          <w:trHeight w:val="174"/>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w w:val="93"/>
              </w:rPr>
              <w:t>(in thousands, except percentages)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3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3280" w:type="dxa"/>
            <w:vAlign w:val="bottom"/>
          </w:tcPr>
          <w:p>
            <w:pPr>
              <w:ind w:left="340"/>
              <w:spacing w:after="0"/>
              <w:rPr>
                <w:sz w:val="20"/>
                <w:szCs w:val="20"/>
                <w:color w:val="auto"/>
              </w:rPr>
            </w:pPr>
            <w:r>
              <w:rPr>
                <w:rFonts w:ascii="Arial" w:cs="Arial" w:eastAsia="Arial" w:hAnsi="Arial"/>
                <w:sz w:val="17"/>
                <w:szCs w:val="17"/>
                <w:color w:val="auto"/>
              </w:rPr>
              <w:t>Net basis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105,866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59,913</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258,236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84 %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138,063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99 %</w:t>
            </w: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basis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r>
      <w:tr>
        <w:trPr>
          <w:trHeight w:val="213"/>
        </w:trPr>
        <w:tc>
          <w:tcPr>
            <w:tcW w:w="3280" w:type="dxa"/>
            <w:vAlign w:val="bottom"/>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131,871</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60,982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307,127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139,625</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our revenue by channel for the three and nine months ended September 30, 2021 and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179"/>
        </w:trPr>
        <w:tc>
          <w:tcPr>
            <w:tcW w:w="3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September 30, 2020</w:t>
            </w:r>
          </w:p>
        </w:tc>
      </w:tr>
      <w:tr>
        <w:trPr>
          <w:trHeight w:val="174"/>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spacing w:after="0"/>
              <w:rPr>
                <w:sz w:val="20"/>
                <w:szCs w:val="20"/>
                <w:color w:val="auto"/>
              </w:rPr>
            </w:pPr>
            <w:r>
              <w:rPr>
                <w:rFonts w:ascii="Arial" w:cs="Arial" w:eastAsia="Arial" w:hAnsi="Arial"/>
                <w:sz w:val="14"/>
                <w:szCs w:val="14"/>
                <w:b w:val="1"/>
                <w:bCs w:val="1"/>
                <w:color w:val="auto"/>
                <w:w w:val="93"/>
              </w:rPr>
              <w:t>(in thousands, except percentages)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3300" w:type="dxa"/>
            <w:vAlign w:val="bottom"/>
          </w:tcPr>
          <w:p>
            <w:pPr>
              <w:ind w:left="340"/>
              <w:spacing w:after="0"/>
              <w:rPr>
                <w:sz w:val="20"/>
                <w:szCs w:val="20"/>
                <w:color w:val="auto"/>
              </w:rPr>
            </w:pPr>
            <w:r>
              <w:rPr>
                <w:rFonts w:ascii="Arial" w:cs="Arial" w:eastAsia="Arial" w:hAnsi="Arial"/>
                <w:sz w:val="17"/>
                <w:szCs w:val="17"/>
                <w:color w:val="auto"/>
              </w:rPr>
              <w:t>CTV</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57,885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11,059</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115,040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18,978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0"/>
        </w:trPr>
        <w:tc>
          <w:tcPr>
            <w:tcW w:w="3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20,901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w:t>
            </w:r>
          </w:p>
        </w:tc>
      </w:tr>
      <w:tr>
        <w:trPr>
          <w:trHeight w:val="220"/>
        </w:trPr>
        <w:tc>
          <w:tcPr>
            <w:tcW w:w="33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43,413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111,921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69,179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49</w:t>
            </w:r>
          </w:p>
        </w:tc>
      </w:tr>
      <w:tr>
        <w:trPr>
          <w:trHeight w:val="238"/>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131,871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60,982</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307,127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139,625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Company's revenue disaggregated by geographic location, based on the location of the Company's sellers:</w:t>
      </w:r>
    </w:p>
    <w:p>
      <w:pPr>
        <w:spacing w:after="0" w:line="131" w:lineRule="exact"/>
        <w:rPr>
          <w:sz w:val="20"/>
          <w:szCs w:val="20"/>
          <w:color w:val="auto"/>
        </w:rPr>
      </w:pPr>
    </w:p>
    <w:p>
      <w:pPr>
        <w:ind w:left="6200"/>
        <w:spacing w:after="0"/>
        <w:tabs>
          <w:tab w:leader="none" w:pos="92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19050</wp:posOffset>
            </wp:positionV>
            <wp:extent cx="3712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1284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3" w:lineRule="exact"/>
        <w:rPr>
          <w:sz w:val="20"/>
          <w:szCs w:val="20"/>
          <w:color w:val="auto"/>
        </w:rPr>
      </w:pPr>
    </w:p>
    <w:p>
      <w:pPr>
        <w:ind w:left="5520"/>
        <w:spacing w:after="0"/>
        <w:tabs>
          <w:tab w:leader="none" w:pos="698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19050</wp:posOffset>
            </wp:positionV>
            <wp:extent cx="18237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19050</wp:posOffset>
            </wp:positionV>
            <wp:extent cx="1823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p>
      <w:pPr>
        <w:sectPr>
          <w:pgSz w:w="11900" w:h="16838" w:orient="portrait"/>
          <w:cols w:equalWidth="0" w:num="2">
            <w:col w:w="8160" w:space="320"/>
            <w:col w:w="27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101,168</w:t>
            </w:r>
          </w:p>
        </w:tc>
      </w:tr>
      <w:tr>
        <w:trPr>
          <w:trHeight w:val="22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International</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38,457</w:t>
            </w:r>
          </w:p>
        </w:tc>
      </w:tr>
      <w:tr>
        <w:trPr>
          <w:trHeight w:val="23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60,982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139,625</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5" w:lineRule="exact"/>
        <w:rPr>
          <w:sz w:val="20"/>
          <w:szCs w:val="20"/>
          <w:color w:val="auto"/>
        </w:rPr>
      </w:pPr>
    </w:p>
    <w:p>
      <w:pPr>
        <w:ind w:right="160" w:firstLine="621"/>
        <w:spacing w:after="0" w:line="301" w:lineRule="auto"/>
        <w:rPr>
          <w:sz w:val="20"/>
          <w:szCs w:val="20"/>
          <w:color w:val="auto"/>
        </w:rPr>
      </w:pPr>
      <w:r>
        <w:rPr>
          <w:rFonts w:ascii="Arial" w:cs="Arial" w:eastAsia="Arial" w:hAnsi="Arial"/>
          <w:sz w:val="15"/>
          <w:szCs w:val="15"/>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 regarding the client, subsequent collection history, and other relevant data, in establishing the allowance for doubtful accounts. Accounts receivable is presented net of an allowance for doubtful accounts of $4.0 million at September 30, 2021, and $2.4 million at December 31, 2020. Accounts receivable are written off against the allowance for doubtful accounts when the Company determines amounts are no longer collectible.</w:t>
      </w:r>
    </w:p>
    <w:p>
      <w:pPr>
        <w:spacing w:after="0" w:line="47"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$2.2 million and $1.5 million as of September 30, 2021 and December 31, 2020, respectively.</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is a summary of activity in the allowance for doubtful accounts for the three and nine months ended September 30, 2021 and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89"/>
              </w:rPr>
              <w:t>Three Months Ended</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3"/>
          </w:tcPr>
          <w:p>
            <w:pPr>
              <w:jc w:val="center"/>
              <w:ind w:left="118"/>
              <w:spacing w:after="0"/>
              <w:rPr>
                <w:sz w:val="20"/>
                <w:szCs w:val="20"/>
                <w:color w:val="auto"/>
              </w:rPr>
            </w:pPr>
            <w:r>
              <w:rPr>
                <w:rFonts w:ascii="Arial" w:cs="Arial" w:eastAsia="Arial" w:hAnsi="Arial"/>
                <w:sz w:val="14"/>
                <w:szCs w:val="14"/>
                <w:b w:val="1"/>
                <w:bCs w:val="1"/>
                <w:color w:val="auto"/>
                <w:w w:val="90"/>
              </w:rPr>
              <w:t>Nine Months Ended</w:t>
            </w:r>
          </w:p>
        </w:tc>
        <w:tc>
          <w:tcPr>
            <w:tcW w:w="580" w:type="dxa"/>
            <w:vAlign w:val="bottom"/>
          </w:tcPr>
          <w:p>
            <w:pPr>
              <w:spacing w:after="0"/>
              <w:rPr>
                <w:sz w:val="15"/>
                <w:szCs w:val="15"/>
                <w:color w:val="auto"/>
              </w:rPr>
            </w:pPr>
          </w:p>
        </w:tc>
      </w:tr>
      <w:tr>
        <w:trPr>
          <w:trHeight w:val="187"/>
        </w:trPr>
        <w:tc>
          <w:tcPr>
            <w:tcW w:w="6260" w:type="dxa"/>
            <w:vAlign w:val="bottom"/>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September 30, 2021</w:t>
            </w:r>
          </w:p>
        </w:tc>
        <w:tc>
          <w:tcPr>
            <w:tcW w:w="25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September 30, 2020 September 30, 2021</w:t>
            </w: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September 30, 2020</w:t>
            </w:r>
          </w:p>
        </w:tc>
      </w:tr>
      <w:tr>
        <w:trPr>
          <w:trHeight w:val="179"/>
        </w:trPr>
        <w:tc>
          <w:tcPr>
            <w:tcW w:w="6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87"/>
              </w:rPr>
              <w:t>(in thousands)</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5"/>
                <w:szCs w:val="15"/>
                <w:color w:val="auto"/>
              </w:rPr>
            </w:pPr>
          </w:p>
        </w:tc>
      </w:tr>
      <w:tr>
        <w:trPr>
          <w:trHeight w:val="221"/>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 Beginning Balance</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3,400</w:t>
            </w:r>
          </w:p>
        </w:tc>
      </w:tr>
      <w:tr>
        <w:trPr>
          <w:trHeight w:val="220"/>
        </w:trPr>
        <w:tc>
          <w:tcPr>
            <w:tcW w:w="6260" w:type="dxa"/>
            <w:vAlign w:val="bottom"/>
          </w:tcPr>
          <w:p>
            <w:pPr>
              <w:ind w:left="20"/>
              <w:spacing w:after="0"/>
              <w:rPr>
                <w:sz w:val="20"/>
                <w:szCs w:val="20"/>
                <w:color w:val="auto"/>
              </w:rPr>
            </w:pPr>
            <w:r>
              <w:rPr>
                <w:rFonts w:ascii="Arial" w:cs="Arial" w:eastAsia="Arial" w:hAnsi="Arial"/>
                <w:sz w:val="17"/>
                <w:szCs w:val="17"/>
                <w:color w:val="auto"/>
              </w:rPr>
              <w:t>Allowance for doubtful accounts, merger and acquisition-assumed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835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1,033</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Write-offs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w:t>
            </w:r>
          </w:p>
        </w:tc>
      </w:tr>
      <w:tr>
        <w:trPr>
          <w:trHeight w:val="220"/>
        </w:trPr>
        <w:tc>
          <w:tcPr>
            <w:tcW w:w="6260" w:type="dxa"/>
            <w:vAlign w:val="bottom"/>
          </w:tcPr>
          <w:p>
            <w:pPr>
              <w:ind w:left="20"/>
              <w:spacing w:after="0"/>
              <w:rPr>
                <w:sz w:val="20"/>
                <w:szCs w:val="20"/>
                <w:color w:val="auto"/>
              </w:rPr>
            </w:pPr>
            <w:r>
              <w:rPr>
                <w:rFonts w:ascii="Arial" w:cs="Arial" w:eastAsia="Arial" w:hAnsi="Arial"/>
                <w:sz w:val="17"/>
                <w:szCs w:val="17"/>
                <w:color w:val="auto"/>
              </w:rPr>
              <w:t>Increase (decrease) in provision for expected credit losses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(274)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852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1,854</w:t>
            </w:r>
          </w:p>
        </w:tc>
      </w:tr>
      <w:tr>
        <w:trPr>
          <w:trHeight w:val="220"/>
        </w:trPr>
        <w:tc>
          <w:tcPr>
            <w:tcW w:w="6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Recoveries of previous write-offs</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13"/>
        </w:trPr>
        <w:tc>
          <w:tcPr>
            <w:tcW w:w="6260" w:type="dxa"/>
            <w:vAlign w:val="bottom"/>
          </w:tcPr>
          <w:p>
            <w:pPr>
              <w:ind w:left="20"/>
              <w:spacing w:after="0"/>
              <w:rPr>
                <w:sz w:val="20"/>
                <w:szCs w:val="20"/>
                <w:color w:val="auto"/>
              </w:rPr>
            </w:pPr>
            <w:r>
              <w:rPr>
                <w:rFonts w:ascii="Arial" w:cs="Arial" w:eastAsia="Arial" w:hAnsi="Arial"/>
                <w:sz w:val="17"/>
                <w:szCs w:val="17"/>
                <w:color w:val="auto"/>
              </w:rPr>
              <w:t>Allowance for doubtful accounts, September 30</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4,480</w:t>
            </w: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w:t>
            </w: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4,480</w:t>
            </w:r>
          </w:p>
        </w:tc>
      </w:tr>
      <w:tr>
        <w:trPr>
          <w:trHeight w:val="20"/>
        </w:trPr>
        <w:tc>
          <w:tcPr>
            <w:tcW w:w="6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During the three and nine months ended September 30, 2021, the provision for expected credit losses associated with accounts receivable increased by $0.3 million and $0.9 million was offset by decreases of contra seller payables related to recoveries of uncollected buyer receivables of an immaterial amount and $0.6 million, which resulted in $0.4 million and $0.2 million, respectively, of bad debt recoveries. During the three and nine months ended September 30, 2020, the provision for expected credit losses associated with accounts receivable of $(0.3) million and $1.9 million was offset by increases of contra seller payables related to recoveries of uncollected buyer receivables of $(0.3) million and $1.8 million, respectively, which resulted in an immaterial amount of bad debt expense during the period.</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4—Fair Value Measurements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40" w:lineRule="exact"/>
        <w:rPr>
          <w:sz w:val="20"/>
          <w:szCs w:val="20"/>
          <w:color w:val="auto"/>
        </w:rPr>
      </w:pPr>
    </w:p>
    <w:p>
      <w:pPr>
        <w:ind w:left="1100" w:right="820" w:hanging="476"/>
        <w:spacing w:after="0" w:line="283" w:lineRule="auto"/>
        <w:tabs>
          <w:tab w:leader="none" w:pos="109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1 – Quoted prices (unadjusted) in active markets for identical assets or liabilities that the Company has the ability to access at the measurement date.</w:t>
      </w:r>
    </w:p>
    <w:p>
      <w:pPr>
        <w:spacing w:after="0" w:line="43" w:lineRule="exact"/>
        <w:rPr>
          <w:rFonts w:ascii="Arial" w:cs="Arial" w:eastAsia="Arial" w:hAnsi="Arial"/>
          <w:sz w:val="17"/>
          <w:szCs w:val="17"/>
          <w:color w:val="auto"/>
        </w:rPr>
      </w:pPr>
    </w:p>
    <w:p>
      <w:pPr>
        <w:ind w:left="1080" w:hanging="456"/>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102" w:lineRule="exact"/>
        <w:rPr>
          <w:rFonts w:ascii="Arial" w:cs="Arial" w:eastAsia="Arial" w:hAnsi="Arial"/>
          <w:sz w:val="17"/>
          <w:szCs w:val="17"/>
          <w:color w:val="auto"/>
        </w:rPr>
      </w:pPr>
    </w:p>
    <w:p>
      <w:pPr>
        <w:ind w:left="1080" w:hanging="456"/>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September 30, 2021:</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Quoted Prices in</w:t>
            </w:r>
          </w:p>
        </w:tc>
        <w:tc>
          <w:tcPr>
            <w:tcW w:w="2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Significant Other</w:t>
            </w:r>
          </w:p>
        </w:tc>
        <w:tc>
          <w:tcPr>
            <w:tcW w:w="5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w:t>
            </w: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5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vMerge w:val="restart"/>
          </w:tcPr>
          <w:p>
            <w:pPr>
              <w:jc w:val="right"/>
              <w:ind w:right="662"/>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540" w:type="dxa"/>
            <w:vAlign w:val="bottom"/>
          </w:tcPr>
          <w:p>
            <w:pPr>
              <w:spacing w:after="0"/>
              <w:rPr>
                <w:sz w:val="11"/>
                <w:szCs w:val="11"/>
                <w:color w:val="auto"/>
              </w:rPr>
            </w:pPr>
          </w:p>
        </w:tc>
        <w:tc>
          <w:tcPr>
            <w:tcW w:w="2160" w:type="dxa"/>
            <w:vAlign w:val="bottom"/>
          </w:tcPr>
          <w:p>
            <w:pPr>
              <w:jc w:val="center"/>
              <w:ind w:left="288"/>
              <w:spacing w:after="0" w:line="129" w:lineRule="exact"/>
              <w:rPr>
                <w:sz w:val="20"/>
                <w:szCs w:val="20"/>
                <w:color w:val="auto"/>
              </w:rPr>
            </w:pPr>
            <w:r>
              <w:rPr>
                <w:rFonts w:ascii="Arial" w:cs="Arial" w:eastAsia="Arial" w:hAnsi="Arial"/>
                <w:sz w:val="14"/>
                <w:szCs w:val="14"/>
                <w:b w:val="1"/>
                <w:bCs w:val="1"/>
                <w:color w:val="auto"/>
                <w:w w:val="88"/>
              </w:rPr>
              <w:t>Observable Inputs</w:t>
            </w:r>
          </w:p>
        </w:tc>
        <w:tc>
          <w:tcPr>
            <w:tcW w:w="540" w:type="dxa"/>
            <w:vAlign w:val="bottom"/>
          </w:tcPr>
          <w:p>
            <w:pPr>
              <w:spacing w:after="0"/>
              <w:rPr>
                <w:sz w:val="11"/>
                <w:szCs w:val="11"/>
                <w:color w:val="auto"/>
              </w:rPr>
            </w:pPr>
          </w:p>
        </w:tc>
        <w:tc>
          <w:tcPr>
            <w:tcW w:w="1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Unobservable Input</w:t>
            </w:r>
          </w:p>
        </w:tc>
        <w:tc>
          <w:tcPr>
            <w:tcW w:w="0" w:type="dxa"/>
            <w:vAlign w:val="bottom"/>
          </w:tcPr>
          <w:p>
            <w:pPr>
              <w:spacing w:after="0"/>
              <w:rPr>
                <w:sz w:val="1"/>
                <w:szCs w:val="1"/>
                <w:color w:val="auto"/>
              </w:rPr>
            </w:pPr>
          </w:p>
        </w:tc>
      </w:tr>
      <w:tr>
        <w:trPr>
          <w:trHeight w:val="180"/>
        </w:trPr>
        <w:tc>
          <w:tcPr>
            <w:tcW w:w="2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1"/>
              </w:rPr>
              <w:t>(Level 1)</w:t>
            </w:r>
          </w:p>
        </w:tc>
        <w:tc>
          <w:tcPr>
            <w:tcW w:w="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(Level 2)</w:t>
            </w:r>
          </w:p>
        </w:tc>
        <w:tc>
          <w:tcPr>
            <w:tcW w:w="5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jc w:val="right"/>
              <w:ind w:right="1128"/>
              <w:spacing w:after="0"/>
              <w:rPr>
                <w:sz w:val="20"/>
                <w:szCs w:val="20"/>
                <w:color w:val="auto"/>
              </w:rPr>
            </w:pPr>
            <w:r>
              <w:rPr>
                <w:rFonts w:ascii="Arial" w:cs="Arial" w:eastAsia="Arial" w:hAnsi="Arial"/>
                <w:sz w:val="14"/>
                <w:szCs w:val="14"/>
                <w:b w:val="1"/>
                <w:bCs w:val="1"/>
                <w:color w:val="auto"/>
                <w:w w:val="97"/>
              </w:rPr>
              <w:t>(in thousands)</w:t>
            </w:r>
          </w:p>
        </w:tc>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7,869</w:t>
            </w:r>
          </w:p>
        </w:tc>
        <w:tc>
          <w:tcPr>
            <w:tcW w:w="1500" w:type="dxa"/>
            <w:vAlign w:val="bottom"/>
            <w:shd w:val="clear" w:color="auto" w:fill="CCEEFF"/>
          </w:tcPr>
          <w:p>
            <w:pPr>
              <w:jc w:val="right"/>
              <w:ind w:right="86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98"/>
              </w:rPr>
              <w:t>7,869</w:t>
            </w:r>
          </w:p>
        </w:tc>
        <w:tc>
          <w:tcPr>
            <w:tcW w:w="2160" w:type="dxa"/>
            <w:vAlign w:val="bottom"/>
            <w:shd w:val="clear" w:color="auto" w:fill="CCEEFF"/>
          </w:tcPr>
          <w:p>
            <w:pPr>
              <w:jc w:val="right"/>
              <w:ind w:right="130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2020:</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40" w:type="dxa"/>
            <w:vAlign w:val="bottom"/>
            <w:gridSpan w:val="2"/>
          </w:tcPr>
          <w:p>
            <w:pPr>
              <w:jc w:val="right"/>
              <w:ind w:right="254"/>
              <w:spacing w:after="0"/>
              <w:rPr>
                <w:sz w:val="20"/>
                <w:szCs w:val="20"/>
                <w:color w:val="auto"/>
              </w:rPr>
            </w:pPr>
            <w:r>
              <w:rPr>
                <w:rFonts w:ascii="Arial" w:cs="Arial" w:eastAsia="Arial" w:hAnsi="Arial"/>
                <w:sz w:val="14"/>
                <w:szCs w:val="14"/>
                <w:b w:val="1"/>
                <w:bCs w:val="1"/>
                <w:color w:val="auto"/>
              </w:rPr>
              <w:t>Quoted Prices in</w:t>
            </w:r>
          </w:p>
        </w:tc>
        <w:tc>
          <w:tcPr>
            <w:tcW w:w="2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Significant Other</w:t>
            </w:r>
          </w:p>
        </w:tc>
        <w:tc>
          <w:tcPr>
            <w:tcW w:w="5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Significan</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54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auto"/>
              </w:rPr>
              <w:t>Total</w:t>
            </w:r>
          </w:p>
        </w:tc>
        <w:tc>
          <w:tcPr>
            <w:tcW w:w="1500" w:type="dxa"/>
            <w:vAlign w:val="bottom"/>
          </w:tcPr>
          <w:p>
            <w:pPr>
              <w:jc w:val="center"/>
              <w:ind w:left="228"/>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540" w:type="dxa"/>
            <w:vAlign w:val="bottom"/>
          </w:tcPr>
          <w:p>
            <w:pPr>
              <w:spacing w:after="0"/>
              <w:rPr>
                <w:sz w:val="11"/>
                <w:szCs w:val="11"/>
                <w:color w:val="auto"/>
              </w:rPr>
            </w:pPr>
          </w:p>
        </w:tc>
        <w:tc>
          <w:tcPr>
            <w:tcW w:w="2160" w:type="dxa"/>
            <w:vAlign w:val="bottom"/>
          </w:tcPr>
          <w:p>
            <w:pPr>
              <w:jc w:val="center"/>
              <w:ind w:left="268"/>
              <w:spacing w:after="0" w:line="129" w:lineRule="exact"/>
              <w:rPr>
                <w:sz w:val="20"/>
                <w:szCs w:val="20"/>
                <w:color w:val="auto"/>
              </w:rPr>
            </w:pPr>
            <w:r>
              <w:rPr>
                <w:rFonts w:ascii="Arial" w:cs="Arial" w:eastAsia="Arial" w:hAnsi="Arial"/>
                <w:sz w:val="14"/>
                <w:szCs w:val="14"/>
                <w:b w:val="1"/>
                <w:bCs w:val="1"/>
                <w:color w:val="auto"/>
                <w:w w:val="90"/>
              </w:rPr>
              <w:t>Observable Inputs</w:t>
            </w:r>
          </w:p>
        </w:tc>
        <w:tc>
          <w:tcPr>
            <w:tcW w:w="54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Unobservable Input</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87"/>
              </w:rPr>
              <w:t>(Level 1)</w:t>
            </w:r>
          </w:p>
        </w:tc>
        <w:tc>
          <w:tcPr>
            <w:tcW w:w="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4"/>
        </w:trPr>
        <w:tc>
          <w:tcPr>
            <w:tcW w:w="2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60" w:type="dxa"/>
            <w:vAlign w:val="bottom"/>
          </w:tcPr>
          <w:p>
            <w:pPr>
              <w:jc w:val="right"/>
              <w:ind w:right="1148"/>
              <w:spacing w:after="0"/>
              <w:rPr>
                <w:sz w:val="20"/>
                <w:szCs w:val="20"/>
                <w:color w:val="auto"/>
              </w:rPr>
            </w:pPr>
            <w:r>
              <w:rPr>
                <w:rFonts w:ascii="Arial" w:cs="Arial" w:eastAsia="Arial" w:hAnsi="Arial"/>
                <w:sz w:val="14"/>
                <w:szCs w:val="14"/>
                <w:b w:val="1"/>
                <w:bCs w:val="1"/>
                <w:color w:val="auto"/>
                <w:w w:val="95"/>
              </w:rPr>
              <w:t>(in thousands)</w:t>
            </w:r>
          </w:p>
        </w:tc>
        <w:tc>
          <w:tcPr>
            <w:tcW w:w="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9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7,868</w:t>
            </w:r>
          </w:p>
        </w:tc>
        <w:tc>
          <w:tcPr>
            <w:tcW w:w="1500" w:type="dxa"/>
            <w:vAlign w:val="bottom"/>
            <w:shd w:val="clear" w:color="auto" w:fill="CCEEFF"/>
          </w:tcPr>
          <w:p>
            <w:pPr>
              <w:jc w:val="right"/>
              <w:ind w:right="88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3"/>
              </w:rPr>
              <w:t>7,868</w:t>
            </w:r>
          </w:p>
        </w:tc>
        <w:tc>
          <w:tcPr>
            <w:tcW w:w="2160" w:type="dxa"/>
            <w:vAlign w:val="bottom"/>
            <w:shd w:val="clear" w:color="auto" w:fill="CCEEFF"/>
          </w:tcPr>
          <w:p>
            <w:pPr>
              <w:jc w:val="right"/>
              <w:ind w:right="1308"/>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80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380" w:firstLine="621"/>
        <w:spacing w:after="0" w:line="293" w:lineRule="auto"/>
        <w:rPr>
          <w:sz w:val="20"/>
          <w:szCs w:val="20"/>
          <w:color w:val="auto"/>
        </w:rPr>
      </w:pPr>
      <w:r>
        <w:rPr>
          <w:rFonts w:ascii="Arial" w:cs="Arial" w:eastAsia="Arial" w:hAnsi="Arial"/>
          <w:sz w:val="16"/>
          <w:szCs w:val="16"/>
          <w:color w:val="auto"/>
        </w:rPr>
        <w:t>At September 30, 2021 and December 31, 2020, cash equivalents of $7.9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38" w:lineRule="exact"/>
        <w:rPr>
          <w:sz w:val="20"/>
          <w:szCs w:val="20"/>
          <w:color w:val="auto"/>
        </w:rPr>
      </w:pPr>
    </w:p>
    <w:p>
      <w:pPr>
        <w:jc w:val="both"/>
        <w:ind w:right="160" w:firstLine="621"/>
        <w:spacing w:after="0" w:line="293" w:lineRule="auto"/>
        <w:rPr>
          <w:sz w:val="20"/>
          <w:szCs w:val="20"/>
          <w:color w:val="auto"/>
        </w:rPr>
      </w:pPr>
      <w:r>
        <w:rPr>
          <w:rFonts w:ascii="Arial" w:cs="Arial" w:eastAsia="Arial" w:hAnsi="Arial"/>
          <w:sz w:val="16"/>
          <w:szCs w:val="16"/>
          <w:color w:val="auto"/>
        </w:rPr>
        <w:t>At September 30, 2021, the Company had Convertible Senior Notes (as defined in Note 14) included in its balance sheet. The estimated fair value of the Company's Convertible Senior Notes was $341.0 million as of September 30, 2021. The estimated fair value of Convertible Senior Notes is based on market rates and the closing trading price of the Convertible Senior Notes as of September 30, 2021 and is classified as Level 2 in the fair value hierarchy.</w:t>
      </w:r>
    </w:p>
    <w:p>
      <w:pPr>
        <w:spacing w:after="0" w:line="38" w:lineRule="exact"/>
        <w:rPr>
          <w:sz w:val="20"/>
          <w:szCs w:val="20"/>
          <w:color w:val="auto"/>
        </w:rPr>
      </w:pPr>
    </w:p>
    <w:p>
      <w:pPr>
        <w:ind w:right="460" w:firstLine="621"/>
        <w:spacing w:after="0" w:line="283" w:lineRule="auto"/>
        <w:rPr>
          <w:sz w:val="20"/>
          <w:szCs w:val="20"/>
          <w:color w:val="auto"/>
        </w:rPr>
      </w:pPr>
      <w:r>
        <w:rPr>
          <w:rFonts w:ascii="Arial" w:cs="Arial" w:eastAsia="Arial" w:hAnsi="Arial"/>
          <w:sz w:val="17"/>
          <w:szCs w:val="17"/>
          <w:color w:val="auto"/>
        </w:rPr>
        <w:t>There were no transfers between Level 1 and Level 2 fair value measurements during the nine months ended September 30, 2021 and the year ended December 31, 2020.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5—Other Balance Sheet Amounts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expenses included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1"/>
              </w:rPr>
              <w:t>December 31, 2020</w:t>
            </w:r>
          </w:p>
        </w:tc>
      </w:tr>
      <w:tr>
        <w:trPr>
          <w:trHeight w:val="179"/>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4"/>
          </w:tcPr>
          <w:p>
            <w:pPr>
              <w:jc w:val="right"/>
              <w:ind w:right="1137"/>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payable—seller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492,605</w:t>
            </w:r>
          </w:p>
        </w:tc>
      </w:tr>
      <w:tr>
        <w:trPr>
          <w:trHeight w:val="220"/>
        </w:trPr>
        <w:tc>
          <w:tcPr>
            <w:tcW w:w="7960" w:type="dxa"/>
            <w:vAlign w:val="bottom"/>
          </w:tcPr>
          <w:p>
            <w:pPr>
              <w:ind w:left="20"/>
              <w:spacing w:after="0"/>
              <w:rPr>
                <w:sz w:val="20"/>
                <w:szCs w:val="20"/>
                <w:color w:val="auto"/>
              </w:rPr>
            </w:pPr>
            <w:r>
              <w:rPr>
                <w:rFonts w:ascii="Arial" w:cs="Arial" w:eastAsia="Arial" w:hAnsi="Arial"/>
                <w:sz w:val="17"/>
                <w:szCs w:val="17"/>
                <w:color w:val="auto"/>
              </w:rPr>
              <w:t>Accounts payable—trade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15,321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4,268</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employee-related payables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12,442</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Accrued holdback - indemnification claims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828,501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509,315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280" w:firstLine="621"/>
        <w:spacing w:after="0" w:line="283" w:lineRule="auto"/>
        <w:rPr>
          <w:sz w:val="20"/>
          <w:szCs w:val="20"/>
          <w:color w:val="auto"/>
        </w:rPr>
      </w:pPr>
      <w:r>
        <w:rPr>
          <w:rFonts w:ascii="Arial" w:cs="Arial" w:eastAsia="Arial" w:hAnsi="Arial"/>
          <w:sz w:val="17"/>
          <w:szCs w:val="17"/>
          <w:color w:val="auto"/>
        </w:rPr>
        <w:t>Restricted cash was $0.3 million and $0.1 million at September 30, 2021 and December 31, 2020, respectively, which was included within other assets, non-current.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6—Goodwill, Intangible Assets, and Capitalized Costs Incurred in Cloud Computing Arrangements</w:t>
      </w:r>
    </w:p>
    <w:p>
      <w:pPr>
        <w:spacing w:after="0" w:line="186"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Company's goodwill balance as of September 30, 2021 and December 31, 2020 was $972.7 million and $158.1 million, respectively. The increase during the nine months ended September 30, 2021 was a result of the SpotX and SpringServe Acquisitions (see Note 7).</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intangible assets as of September 30, 2021 and December 31, 2020 included the following:</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December 31, 2020</w:t>
            </w:r>
          </w:p>
        </w:tc>
      </w:tr>
      <w:tr>
        <w:trPr>
          <w:trHeight w:val="179"/>
        </w:trPr>
        <w:tc>
          <w:tcPr>
            <w:tcW w:w="7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gridSpan w:val="4"/>
          </w:tcPr>
          <w:p>
            <w:pPr>
              <w:jc w:val="right"/>
              <w:ind w:right="1235"/>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Amortizable intangible assets: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373,558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77,658</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37,950</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8,030</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Backlog</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Non-compete agreements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identifiable intangible assets, gross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576,708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123,708</w:t>
            </w:r>
          </w:p>
        </w:tc>
      </w:tr>
      <w:tr>
        <w:trPr>
          <w:trHeight w:val="200"/>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amortization—intangible assets:</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Developed technology</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(57,282)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(21,905)</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Customer relationships</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(11,877)</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In-process research and development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Backlog</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760" w:type="dxa"/>
            <w:vAlign w:val="bottom"/>
          </w:tcPr>
          <w:p>
            <w:pPr>
              <w:ind w:left="340"/>
              <w:spacing w:after="0"/>
              <w:rPr>
                <w:sz w:val="20"/>
                <w:szCs w:val="20"/>
                <w:color w:val="auto"/>
              </w:rPr>
            </w:pPr>
            <w:r>
              <w:rPr>
                <w:rFonts w:ascii="Arial" w:cs="Arial" w:eastAsia="Arial" w:hAnsi="Arial"/>
                <w:sz w:val="17"/>
                <w:szCs w:val="17"/>
                <w:color w:val="auto"/>
              </w:rPr>
              <w:t>Non-compete agreements</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0"/>
        </w:trPr>
        <w:tc>
          <w:tcPr>
            <w:tcW w:w="77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Trademarks</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amortization—intangible assets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(33,824)</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identifiable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463,571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89,884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660" w:firstLine="582"/>
        <w:spacing w:after="0" w:line="283" w:lineRule="auto"/>
        <w:rPr>
          <w:sz w:val="20"/>
          <w:szCs w:val="20"/>
          <w:color w:val="auto"/>
        </w:rPr>
      </w:pPr>
      <w:r>
        <w:rPr>
          <w:rFonts w:ascii="Arial" w:cs="Arial" w:eastAsia="Arial" w:hAnsi="Arial"/>
          <w:sz w:val="17"/>
          <w:szCs w:val="17"/>
          <w:color w:val="auto"/>
        </w:rPr>
        <w:t>Amortization of intangible assets for the three months ended September 30, 2021 and 2020 was $42.2 million and $7.8 million, respectively, and $79.3 million and $16.9 million for the nine months ended September 30, 2021 and 2020, respectively.</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September 30,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r>
      <w:tr>
        <w:trPr>
          <w:trHeight w:val="179"/>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8"/>
              <w:spacing w:after="0"/>
              <w:rPr>
                <w:sz w:val="20"/>
                <w:szCs w:val="20"/>
                <w:color w:val="auto"/>
              </w:rPr>
            </w:pPr>
            <w:r>
              <w:rPr>
                <w:rFonts w:ascii="Arial" w:cs="Arial" w:eastAsia="Arial" w:hAnsi="Arial"/>
                <w:sz w:val="14"/>
                <w:szCs w:val="14"/>
                <w:b w:val="1"/>
                <w:bCs w:val="1"/>
                <w:color w:val="auto"/>
                <w:w w:val="97"/>
              </w:rPr>
              <w:t>(in thousands)</w:t>
            </w:r>
          </w:p>
        </w:tc>
      </w:tr>
      <w:tr>
        <w:trPr>
          <w:trHeight w:val="221"/>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42,527</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147,361</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101,996</w:t>
            </w:r>
          </w:p>
        </w:tc>
      </w:tr>
      <w:tr>
        <w:trPr>
          <w:trHeight w:val="220"/>
        </w:trPr>
        <w:tc>
          <w:tcPr>
            <w:tcW w:w="96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84,218</w:t>
            </w:r>
          </w:p>
        </w:tc>
      </w:tr>
      <w:tr>
        <w:trPr>
          <w:trHeight w:val="220"/>
        </w:trPr>
        <w:tc>
          <w:tcPr>
            <w:tcW w:w="9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66,668</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20,801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463,571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color w:val="auto"/>
        </w:rPr>
        <w:t>During the three and nine months ended September 30, 2021, the Company capitalized $0.1 million and $0.7 million, respectively, related to cloud computing arrangements. These costs are related to arrangements for infrastructure as a service, platform as a service, and software as a service. Capitalized costs associated with these arrangements as of September 30, 2021 and December 31, 2020 are included within prepaid expenses and other current assets and other assets, non-current within the condensed consolidated balance sheet in the amounts of $0.5 million and $0.7 million, and $0.2 million and $0.7 million, respectively. The amortization of these agreements was $0.1 million and $0.3 million for the three and nine months ended September 30, 2021,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7—Business Combinations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2020 Merger—Telaria</w:t>
      </w:r>
    </w:p>
    <w:p>
      <w:pPr>
        <w:spacing w:after="0" w:line="108"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On April 1, 2020, the Company completed the Telaria Merger. Management's purchase price allocation was finalized as of March 31, 2021, resulting in no changes from the purchase price allocation as of December 31, 2020.</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89" w:lineRule="exact"/>
        <w:rPr>
          <w:sz w:val="20"/>
          <w:szCs w:val="20"/>
          <w:color w:val="auto"/>
        </w:rPr>
      </w:pPr>
    </w:p>
    <w:p>
      <w:pPr>
        <w:ind w:right="60" w:firstLine="621"/>
        <w:spacing w:after="0" w:line="283" w:lineRule="auto"/>
        <w:rPr>
          <w:sz w:val="20"/>
          <w:szCs w:val="20"/>
          <w:color w:val="auto"/>
        </w:rPr>
      </w:pPr>
      <w:r>
        <w:rPr>
          <w:rFonts w:ascii="Arial" w:cs="Arial" w:eastAsia="Arial" w:hAnsi="Arial"/>
          <w:sz w:val="17"/>
          <w:szCs w:val="17"/>
          <w:color w:val="auto"/>
        </w:rPr>
        <w:t>The following table provides unaudited pro forma information as if Telaria had been merged with the Company as of January 1, 2019. The unaudited pro forma information reflects adjustments for additional amortization resulting from the fair value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adjustments to assets acquired and liabilities assumed, adjustments for alignment of accounting policies, and transaction expenses as if the Telaria Merger occurred on January 1, 2019. The pro forma results do not include any anticipated cost synergies or other effects of the integration for the merged companies. Accordingly, pro forma amounts are not necessarily indicative of the results that actually would have occurred had the acquisition been completed on the dates indicated, nor is it indicative of the future operating results of the combined company.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w w:val="90"/>
              </w:rPr>
              <w:t>Nine Months Ended</w:t>
            </w:r>
          </w:p>
        </w:tc>
      </w:tr>
      <w:tr>
        <w:trPr>
          <w:trHeight w:val="179"/>
        </w:trPr>
        <w:tc>
          <w:tcPr>
            <w:tcW w:w="92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September 30, 2020</w:t>
            </w:r>
          </w:p>
        </w:tc>
      </w:tr>
      <w:tr>
        <w:trPr>
          <w:trHeight w:val="162"/>
        </w:trPr>
        <w:tc>
          <w:tcPr>
            <w:tcW w:w="9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center"/>
              <w:ind w:right="224"/>
              <w:spacing w:after="0"/>
              <w:rPr>
                <w:sz w:val="20"/>
                <w:szCs w:val="20"/>
                <w:color w:val="auto"/>
              </w:rPr>
            </w:pPr>
            <w:r>
              <w:rPr>
                <w:rFonts w:ascii="Arial" w:cs="Arial" w:eastAsia="Arial" w:hAnsi="Arial"/>
                <w:sz w:val="14"/>
                <w:szCs w:val="14"/>
                <w:b w:val="1"/>
                <w:bCs w:val="1"/>
                <w:color w:val="auto"/>
                <w:w w:val="87"/>
              </w:rPr>
              <w:t>(in thousands)</w:t>
            </w:r>
          </w:p>
        </w:tc>
      </w:tr>
      <w:tr>
        <w:trPr>
          <w:trHeight w:val="220"/>
        </w:trPr>
        <w:tc>
          <w:tcPr>
            <w:tcW w:w="9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740" w:type="dxa"/>
            <w:vAlign w:val="bottom"/>
            <w:shd w:val="clear" w:color="auto" w:fill="CCEEFF"/>
          </w:tcPr>
          <w:p>
            <w:pPr>
              <w:ind w:left="1120"/>
              <w:spacing w:after="0"/>
              <w:rPr>
                <w:sz w:val="20"/>
                <w:szCs w:val="20"/>
                <w:color w:val="auto"/>
              </w:rPr>
            </w:pPr>
            <w:r>
              <w:rPr>
                <w:rFonts w:ascii="Arial" w:cs="Arial" w:eastAsia="Arial" w:hAnsi="Arial"/>
                <w:sz w:val="17"/>
                <w:szCs w:val="17"/>
                <w:color w:val="auto"/>
                <w:w w:val="97"/>
              </w:rPr>
              <w:t>154,663</w:t>
            </w:r>
          </w:p>
        </w:tc>
      </w:tr>
      <w:tr>
        <w:trPr>
          <w:trHeight w:val="220"/>
        </w:trPr>
        <w:tc>
          <w:tcPr>
            <w:tcW w:w="9280" w:type="dxa"/>
            <w:vAlign w:val="bottom"/>
          </w:tcPr>
          <w:p>
            <w:pPr>
              <w:ind w:left="20"/>
              <w:spacing w:after="0"/>
              <w:rPr>
                <w:sz w:val="20"/>
                <w:szCs w:val="20"/>
                <w:color w:val="auto"/>
              </w:rPr>
            </w:pPr>
            <w:r>
              <w:rPr>
                <w:rFonts w:ascii="Arial" w:cs="Arial" w:eastAsia="Arial" w:hAnsi="Arial"/>
                <w:sz w:val="17"/>
                <w:szCs w:val="17"/>
                <w:color w:val="auto"/>
              </w:rPr>
              <w:t>Pro Forma Net Loss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740" w:type="dxa"/>
            <w:vAlign w:val="bottom"/>
          </w:tcPr>
          <w:p>
            <w:pPr>
              <w:ind w:left="1120"/>
              <w:spacing w:after="0"/>
              <w:rPr>
                <w:sz w:val="20"/>
                <w:szCs w:val="20"/>
                <w:color w:val="auto"/>
              </w:rPr>
            </w:pPr>
            <w:r>
              <w:rPr>
                <w:rFonts w:ascii="Arial" w:cs="Arial" w:eastAsia="Arial" w:hAnsi="Arial"/>
                <w:sz w:val="17"/>
                <w:szCs w:val="17"/>
                <w:color w:val="auto"/>
                <w:w w:val="94"/>
              </w:rPr>
              <w:t>(69,706)</w:t>
            </w:r>
          </w:p>
        </w:tc>
      </w:tr>
    </w:tbl>
    <w:p>
      <w:pPr>
        <w:spacing w:after="0" w:line="24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Acquisition—SpotX</w:t>
      </w:r>
    </w:p>
    <w:p>
      <w:pPr>
        <w:spacing w:after="0" w:line="108" w:lineRule="exact"/>
        <w:rPr>
          <w:sz w:val="20"/>
          <w:szCs w:val="20"/>
          <w:color w:val="auto"/>
        </w:rPr>
      </w:pPr>
    </w:p>
    <w:p>
      <w:pPr>
        <w:ind w:firstLine="621"/>
        <w:spacing w:after="0" w:line="256" w:lineRule="auto"/>
        <w:rPr>
          <w:sz w:val="20"/>
          <w:szCs w:val="20"/>
          <w:color w:val="auto"/>
        </w:rPr>
      </w:pPr>
      <w:r>
        <w:rPr>
          <w:rFonts w:ascii="Arial" w:cs="Arial" w:eastAsia="Arial" w:hAnsi="Arial"/>
          <w:sz w:val="17"/>
          <w:szCs w:val="17"/>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 million in cash plus 12,374,315 shares of common stock (based on the fair value of the Company's common stock on April 30, 2021). The Cash Consideration is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(Note 15) and the Convertible Senior Notes (Note 14).</w:t>
      </w:r>
    </w:p>
    <w:p>
      <w:pPr>
        <w:spacing w:after="0" w:line="72" w:lineRule="exact"/>
        <w:rPr>
          <w:sz w:val="20"/>
          <w:szCs w:val="20"/>
          <w:color w:val="auto"/>
        </w:rPr>
      </w:pPr>
    </w:p>
    <w:p>
      <w:pPr>
        <w:ind w:right="20" w:firstLine="621"/>
        <w:spacing w:after="0" w:line="277"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0" w:lineRule="exact"/>
        <w:rPr>
          <w:sz w:val="20"/>
          <w:szCs w:val="20"/>
          <w:color w:val="auto"/>
        </w:rPr>
      </w:pPr>
    </w:p>
    <w:p>
      <w:pPr>
        <w:ind w:right="20" w:firstLine="621"/>
        <w:spacing w:after="0" w:line="260"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62"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For purposes of measuring the estimated fair value, where applicable, of the assets acquired and the liabilities assumed as reflected in the unaudited condensed combined financial information,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total purchase consideration (in thousands):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878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6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847"/>
        </w:trPr>
        <w:tc>
          <w:tcPr>
            <w:tcW w:w="8780" w:type="dxa"/>
            <w:vAlign w:val="bottom"/>
            <w:gridSpan w:val="2"/>
          </w:tcPr>
          <w:p>
            <w:pPr>
              <w:ind w:left="20"/>
              <w:spacing w:after="0"/>
              <w:rPr>
                <w:sz w:val="20"/>
                <w:szCs w:val="20"/>
                <w:color w:val="auto"/>
              </w:rPr>
            </w:pPr>
            <w:r>
              <w:rPr>
                <w:rFonts w:ascii="Arial" w:cs="Arial" w:eastAsia="Arial" w:hAnsi="Arial"/>
                <w:sz w:val="17"/>
                <w:szCs w:val="17"/>
                <w:color w:val="auto"/>
              </w:rPr>
              <w:t>Cash Consideration</w:t>
            </w:r>
          </w:p>
        </w:tc>
        <w:tc>
          <w:tcPr>
            <w:tcW w:w="680" w:type="dxa"/>
            <w:vAlign w:val="bottom"/>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640,000</w:t>
            </w:r>
          </w:p>
        </w:tc>
      </w:tr>
      <w:tr>
        <w:trPr>
          <w:trHeight w:val="22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Consideration (Fair Value of Shares of Magnite common stock)</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495,591</w:t>
            </w:r>
          </w:p>
        </w:tc>
      </w:tr>
      <w:tr>
        <w:trPr>
          <w:trHeight w:val="220"/>
        </w:trPr>
        <w:tc>
          <w:tcPr>
            <w:tcW w:w="87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Working capital adjustment</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65,152</w:t>
            </w:r>
          </w:p>
        </w:tc>
      </w:tr>
      <w:tr>
        <w:trPr>
          <w:trHeight w:val="238"/>
        </w:trPr>
        <w:tc>
          <w:tcPr>
            <w:tcW w:w="8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1,200,743</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240" w:firstLine="621"/>
        <w:spacing w:after="0" w:line="320" w:lineRule="auto"/>
        <w:rPr>
          <w:sz w:val="20"/>
          <w:szCs w:val="20"/>
          <w:color w:val="auto"/>
        </w:rPr>
      </w:pPr>
      <w:r>
        <w:rPr>
          <w:rFonts w:ascii="Arial" w:cs="Arial" w:eastAsia="Arial" w:hAnsi="Arial"/>
          <w:sz w:val="15"/>
          <w:szCs w:val="15"/>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99"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 fair value of the purchase price was allocated to the identifiable assets acquired and liabilities assumed based upon their estimated fair values as of the date of the SpotX Acquisition as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81,967</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199,649</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Prepaid and other assets, current</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12,308</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Fixed assets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5,093</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429,600</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Right-of-use lease asset</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11,785</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790,466</w:t>
            </w:r>
          </w:p>
        </w:tc>
      </w:tr>
      <w:tr>
        <w:trPr>
          <w:trHeight w:val="213"/>
        </w:trPr>
        <w:tc>
          <w:tcPr>
            <w:tcW w:w="8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assets to be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1,531,067</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Accounts payable and accrued expenses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205,913</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7,169</w:t>
            </w:r>
          </w:p>
        </w:tc>
      </w:tr>
      <w:tr>
        <w:trPr>
          <w:trHeight w:val="220"/>
        </w:trPr>
        <w:tc>
          <w:tcPr>
            <w:tcW w:w="8820" w:type="dxa"/>
            <w:vAlign w:val="bottom"/>
          </w:tcPr>
          <w:p>
            <w:pPr>
              <w:ind w:left="20"/>
              <w:spacing w:after="0"/>
              <w:rPr>
                <w:sz w:val="20"/>
                <w:szCs w:val="20"/>
                <w:color w:val="auto"/>
              </w:rPr>
            </w:pPr>
            <w:r>
              <w:rPr>
                <w:rFonts w:ascii="Arial" w:cs="Arial" w:eastAsia="Arial" w:hAnsi="Arial"/>
                <w:sz w:val="17"/>
                <w:szCs w:val="17"/>
                <w:color w:val="auto"/>
              </w:rPr>
              <w:t>Lease liabilities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12,625</w:t>
            </w:r>
          </w:p>
        </w:tc>
      </w:tr>
      <w:tr>
        <w:trPr>
          <w:trHeight w:val="220"/>
        </w:trPr>
        <w:tc>
          <w:tcPr>
            <w:tcW w:w="8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104,617</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liabilities to be assumed</w:t>
            </w: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330,324</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price</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1,200,743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firstLine="621"/>
        <w:spacing w:after="0" w:line="281" w:lineRule="auto"/>
        <w:rPr>
          <w:sz w:val="20"/>
          <w:szCs w:val="20"/>
          <w:color w:val="auto"/>
        </w:rPr>
      </w:pPr>
      <w:r>
        <w:rPr>
          <w:rFonts w:ascii="Arial" w:cs="Arial" w:eastAsia="Arial" w:hAnsi="Arial"/>
          <w:sz w:val="16"/>
          <w:szCs w:val="16"/>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26"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The following table summarizes the components of the intangible assets and estimated useful lives as of the date of the SpotX Acquisition (dollars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58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280,400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130,300</w:t>
            </w:r>
          </w:p>
        </w:tc>
        <w:tc>
          <w:tcPr>
            <w:tcW w:w="1660" w:type="dxa"/>
            <w:vAlign w:val="bottom"/>
          </w:tcPr>
          <w:p>
            <w:pPr>
              <w:jc w:val="center"/>
              <w:spacing w:after="0"/>
              <w:rPr>
                <w:sz w:val="20"/>
                <w:szCs w:val="20"/>
                <w:color w:val="auto"/>
              </w:rPr>
            </w:pPr>
            <w:r>
              <w:rPr>
                <w:rFonts w:ascii="Arial" w:cs="Arial" w:eastAsia="Arial" w:hAnsi="Arial"/>
                <w:sz w:val="17"/>
                <w:szCs w:val="17"/>
                <w:color w:val="auto"/>
                <w:w w:val="90"/>
              </w:rPr>
              <w:t>2 to 4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&lt;1 year</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5,800</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3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 year</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0"/>
              </w:rPr>
              <w:t>&lt;1 year</w:t>
            </w: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acquired</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429,600</w:t>
            </w:r>
          </w:p>
        </w:tc>
        <w:tc>
          <w:tcPr>
            <w:tcW w:w="166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ind w:left="20" w:right="960" w:firstLine="1"/>
        <w:spacing w:after="0" w:line="238" w:lineRule="auto"/>
        <w:tabs>
          <w:tab w:leader="none" w:pos="149" w:val="left"/>
        </w:tabs>
        <w:numPr>
          <w:ilvl w:val="0"/>
          <w:numId w:val="5"/>
        </w:numPr>
        <w:rPr>
          <w:rFonts w:ascii="Arial" w:cs="Arial" w:eastAsia="Arial" w:hAnsi="Arial"/>
          <w:sz w:val="17"/>
          <w:szCs w:val="17"/>
          <w:color w:val="auto"/>
        </w:rPr>
      </w:pPr>
      <w:r>
        <w:rPr>
          <w:rFonts w:ascii="Arial" w:cs="Arial" w:eastAsia="Arial" w:hAnsi="Arial"/>
          <w:sz w:val="17"/>
          <w:szCs w:val="17"/>
          <w:color w:val="auto"/>
        </w:rPr>
        <w:t>In-process research and development consists of six projects with a weighted-average useful life of 3.0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26" w:lineRule="exact"/>
        <w:rPr>
          <w:sz w:val="20"/>
          <w:szCs w:val="20"/>
          <w:color w:val="auto"/>
        </w:rPr>
      </w:pPr>
    </w:p>
    <w:p>
      <w:pPr>
        <w:ind w:right="500" w:firstLine="621"/>
        <w:spacing w:after="0" w:line="320" w:lineRule="auto"/>
        <w:rPr>
          <w:sz w:val="20"/>
          <w:szCs w:val="20"/>
          <w:color w:val="auto"/>
        </w:rPr>
      </w:pPr>
      <w:r>
        <w:rPr>
          <w:rFonts w:ascii="Arial" w:cs="Arial" w:eastAsia="Arial" w:hAnsi="Arial"/>
          <w:sz w:val="15"/>
          <w:szCs w:val="15"/>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20" w:firstLine="621"/>
        <w:spacing w:after="0" w:line="209" w:lineRule="exact"/>
        <w:rPr>
          <w:sz w:val="20"/>
          <w:szCs w:val="20"/>
          <w:color w:val="auto"/>
        </w:rPr>
      </w:pPr>
      <w:r>
        <w:rPr>
          <w:rFonts w:ascii="Arial" w:cs="Arial" w:eastAsia="Arial" w:hAnsi="Arial"/>
          <w:sz w:val="17"/>
          <w:szCs w:val="17"/>
          <w:color w:val="auto"/>
        </w:rPr>
        <w:t>The Company used the Loss</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59" w:lineRule="exact"/>
        <w:rPr>
          <w:sz w:val="20"/>
          <w:szCs w:val="20"/>
          <w:color w:val="auto"/>
        </w:rPr>
      </w:pPr>
    </w:p>
    <w:p>
      <w:pPr>
        <w:jc w:val="both"/>
        <w:ind w:right="220" w:firstLine="621"/>
        <w:spacing w:after="0" w:line="264" w:lineRule="auto"/>
        <w:rPr>
          <w:sz w:val="20"/>
          <w:szCs w:val="20"/>
          <w:color w:val="auto"/>
        </w:rPr>
      </w:pPr>
      <w:r>
        <w:rPr>
          <w:rFonts w:ascii="Arial" w:cs="Arial" w:eastAsia="Arial" w:hAnsi="Arial"/>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 asset. The discount rate was selected based on the intangible asset’s relative risk profile when compared to the other intangible assets as well as the discount rate for the overall business.</w:t>
      </w:r>
    </w:p>
    <w:p>
      <w:pPr>
        <w:spacing w:after="0" w:line="136" w:lineRule="exact"/>
        <w:rPr>
          <w:sz w:val="20"/>
          <w:szCs w:val="20"/>
          <w:color w:val="auto"/>
        </w:rPr>
      </w:pPr>
    </w:p>
    <w:p>
      <w:pPr>
        <w:ind w:right="260" w:firstLine="621"/>
        <w:spacing w:after="0" w:line="211" w:lineRule="exact"/>
        <w:rPr>
          <w:sz w:val="20"/>
          <w:szCs w:val="20"/>
          <w:color w:val="auto"/>
        </w:rPr>
      </w:pPr>
      <w:r>
        <w:rPr>
          <w:rFonts w:ascii="Arial" w:cs="Arial" w:eastAsia="Arial" w:hAnsi="Arial"/>
          <w:sz w:val="16"/>
          <w:szCs w:val="16"/>
          <w:color w:val="auto"/>
        </w:rPr>
        <w:t>The fair value of the trademarks was based on the Income Approach, specifically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70" w:lineRule="exact"/>
        <w:rPr>
          <w:sz w:val="20"/>
          <w:szCs w:val="20"/>
          <w:color w:val="auto"/>
        </w:rPr>
      </w:pPr>
    </w:p>
    <w:p>
      <w:pPr>
        <w:ind w:right="240" w:firstLine="621"/>
        <w:spacing w:after="0" w:line="281" w:lineRule="auto"/>
        <w:rPr>
          <w:sz w:val="20"/>
          <w:szCs w:val="20"/>
          <w:color w:val="auto"/>
        </w:rPr>
      </w:pPr>
      <w:r>
        <w:rPr>
          <w:rFonts w:ascii="Arial" w:cs="Arial" w:eastAsia="Arial" w:hAnsi="Arial"/>
          <w:sz w:val="16"/>
          <w:szCs w:val="16"/>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condensed consolidated statement of operations. Once the projects associated with acquired in-process research and development are completed, amortization will be included in cost of revenues in the condensed consolidated statement of operations. The intangible assets generated in the SpotX Acquisition are not tax deductible.</w:t>
      </w:r>
    </w:p>
    <w:p>
      <w:pPr>
        <w:spacing w:after="0" w:line="126"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In connection with the SpotX Acquisition, the Company recorded deferred tax liabilities related to definite-lived intangible assets that were acquired of $113.0 million. As a result of this deferred tax liability balance, the Company reduced its deferred tax asset valuation allowance by $56.2 million. Such reduction was recognized as an income tax benefit in the condensed consolidated statement of operations for the nine months ended September 30, 2021. The deferred tax liability was calculated based on an estimated combined tax rate of 26.3%.</w:t>
      </w:r>
    </w:p>
    <w:p>
      <w:pPr>
        <w:spacing w:after="0" w:line="136" w:lineRule="exact"/>
        <w:rPr>
          <w:sz w:val="20"/>
          <w:szCs w:val="20"/>
          <w:color w:val="auto"/>
        </w:rPr>
      </w:pPr>
    </w:p>
    <w:p>
      <w:pPr>
        <w:ind w:right="300" w:firstLine="621"/>
        <w:spacing w:after="0" w:line="268" w:lineRule="auto"/>
        <w:rPr>
          <w:sz w:val="20"/>
          <w:szCs w:val="20"/>
          <w:color w:val="auto"/>
        </w:rPr>
      </w:pPr>
      <w:r>
        <w:rPr>
          <w:rFonts w:ascii="Arial" w:cs="Arial" w:eastAsia="Arial" w:hAnsi="Arial"/>
          <w:sz w:val="17"/>
          <w:szCs w:val="17"/>
          <w:color w:val="auto"/>
        </w:rPr>
        <w:t>The Company recognized approximately $0.8 million and $27.9 million of acquisition related costs included in the "Merger, acquisition, and restructuring costs" in the Company's condensed consolidated statement of operations during the three and nine months ended September 30, 2021 related to the SpotX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2021 Acquisition—SpringServe</w:t>
      </w:r>
    </w:p>
    <w:p>
      <w:pPr>
        <w:spacing w:after="0" w:line="95" w:lineRule="exact"/>
        <w:rPr>
          <w:sz w:val="20"/>
          <w:szCs w:val="20"/>
          <w:color w:val="auto"/>
        </w:rPr>
      </w:pPr>
    </w:p>
    <w:p>
      <w:pPr>
        <w:ind w:right="40" w:firstLine="621"/>
        <w:spacing w:after="0" w:line="320" w:lineRule="auto"/>
        <w:rPr>
          <w:sz w:val="20"/>
          <w:szCs w:val="20"/>
          <w:color w:val="auto"/>
        </w:rPr>
      </w:pPr>
      <w:r>
        <w:rPr>
          <w:rFonts w:ascii="Arial" w:cs="Arial" w:eastAsia="Arial" w:hAnsi="Arial"/>
          <w:sz w:val="15"/>
          <w:szCs w:val="15"/>
          <w:color w:val="auto"/>
        </w:rPr>
        <w:t>On July 1, 2021, the Company completed the acquisition of ServeMotion, Inc., a Delaware corporation (including its wholly owned subsidiary, SpringServe, LLC, "SpringServe"), through the Company's wholly-owned subsidiary, SpotX, pursuant to a definitive agreement entered into on July 1, 2021. As a result of the SpringServe Acquisition, SpringServe has become a wholly-owned subsidiary of SpotX, and a wholly-owned indirect subsidiary of the Company.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80" w:type="dxa"/>
            <w:vAlign w:val="bottom"/>
          </w:tcPr>
          <w:p>
            <w:pPr>
              <w:ind w:left="620"/>
              <w:spacing w:after="0"/>
              <w:rPr>
                <w:sz w:val="20"/>
                <w:szCs w:val="20"/>
                <w:color w:val="auto"/>
              </w:rPr>
            </w:pPr>
            <w:r>
              <w:rPr>
                <w:rFonts w:ascii="Arial" w:cs="Arial" w:eastAsia="Arial" w:hAnsi="Arial"/>
                <w:sz w:val="17"/>
                <w:szCs w:val="17"/>
                <w:color w:val="auto"/>
              </w:rPr>
              <w:t>The following table summarizes the total estimated purchase consideration (in thousands):</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6"/>
        </w:trPr>
        <w:tc>
          <w:tcPr>
            <w:tcW w:w="8780" w:type="dxa"/>
            <w:vAlign w:val="bottom"/>
          </w:tcPr>
          <w:p>
            <w:pPr>
              <w:ind w:left="20"/>
              <w:spacing w:after="0"/>
              <w:rPr>
                <w:sz w:val="20"/>
                <w:szCs w:val="20"/>
                <w:color w:val="auto"/>
              </w:rPr>
            </w:pPr>
            <w:r>
              <w:rPr>
                <w:rFonts w:ascii="Arial" w:cs="Arial" w:eastAsia="Arial" w:hAnsi="Arial"/>
                <w:sz w:val="17"/>
                <w:szCs w:val="17"/>
                <w:color w:val="auto"/>
              </w:rPr>
              <w:t>Cash Consideration</w:t>
            </w:r>
          </w:p>
        </w:tc>
        <w:tc>
          <w:tcPr>
            <w:tcW w:w="780" w:type="dxa"/>
            <w:vAlign w:val="bottom"/>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31,136</w:t>
            </w: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SpotX initial cash investment in SpringServe</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w:t>
            </w:r>
          </w:p>
        </w:tc>
      </w:tr>
      <w:tr>
        <w:trPr>
          <w:trHeight w:val="220"/>
        </w:trPr>
        <w:tc>
          <w:tcPr>
            <w:tcW w:w="8780" w:type="dxa"/>
            <w:vAlign w:val="bottom"/>
          </w:tcPr>
          <w:p>
            <w:pPr>
              <w:ind w:left="20"/>
              <w:spacing w:after="0"/>
              <w:rPr>
                <w:sz w:val="20"/>
                <w:szCs w:val="20"/>
                <w:color w:val="auto"/>
              </w:rPr>
            </w:pPr>
            <w:r>
              <w:rPr>
                <w:rFonts w:ascii="Arial" w:cs="Arial" w:eastAsia="Arial" w:hAnsi="Arial"/>
                <w:sz w:val="17"/>
                <w:szCs w:val="17"/>
                <w:color w:val="auto"/>
              </w:rPr>
              <w:t>Fair value appreciation of SpotX purchase right</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7,450</w:t>
            </w:r>
          </w:p>
        </w:tc>
      </w:tr>
      <w:tr>
        <w:trPr>
          <w:trHeight w:val="220"/>
        </w:trPr>
        <w:tc>
          <w:tcPr>
            <w:tcW w:w="8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Indemnification claims - holdback</w:t>
            </w:r>
          </w:p>
        </w:tc>
        <w:tc>
          <w:tcPr>
            <w:tcW w:w="7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1,409</w:t>
            </w:r>
          </w:p>
        </w:tc>
      </w:tr>
      <w:tr>
        <w:trPr>
          <w:trHeight w:val="213"/>
        </w:trPr>
        <w:tc>
          <w:tcPr>
            <w:tcW w:w="8780" w:type="dxa"/>
            <w:vAlign w:val="bottom"/>
          </w:tcPr>
          <w:p>
            <w:pPr>
              <w:ind w:left="220"/>
              <w:spacing w:after="0"/>
              <w:rPr>
                <w:sz w:val="20"/>
                <w:szCs w:val="20"/>
                <w:color w:val="auto"/>
              </w:rPr>
            </w:pPr>
            <w:r>
              <w:rPr>
                <w:rFonts w:ascii="Arial" w:cs="Arial" w:eastAsia="Arial" w:hAnsi="Arial"/>
                <w:sz w:val="17"/>
                <w:szCs w:val="17"/>
                <w:color w:val="auto"/>
              </w:rPr>
              <w:t>Total purchase consideration</w:t>
            </w: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42,070</w:t>
            </w:r>
          </w:p>
        </w:tc>
      </w:tr>
      <w:tr>
        <w:trPr>
          <w:trHeight w:val="20"/>
        </w:trPr>
        <w:tc>
          <w:tcPr>
            <w:tcW w:w="8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 In connection with the SpringServe Acquisition, approximately $1.4 million of the purchase price was held back to cover possible indemnification claims, which is expected to be paid in cash one year after the acquisition.</w:t>
      </w:r>
    </w:p>
    <w:p>
      <w:pPr>
        <w:spacing w:after="0" w:line="63" w:lineRule="exact"/>
        <w:rPr>
          <w:sz w:val="20"/>
          <w:szCs w:val="20"/>
          <w:color w:val="auto"/>
        </w:rPr>
      </w:pPr>
    </w:p>
    <w:p>
      <w:pPr>
        <w:ind w:right="20" w:firstLine="621"/>
        <w:spacing w:after="0" w:line="277" w:lineRule="auto"/>
        <w:rPr>
          <w:sz w:val="20"/>
          <w:szCs w:val="20"/>
          <w:color w:val="auto"/>
        </w:rPr>
      </w:pPr>
      <w:r>
        <w:rPr>
          <w:rFonts w:ascii="Arial" w:cs="Arial" w:eastAsia="Arial" w:hAnsi="Arial"/>
          <w:sz w:val="16"/>
          <w:szCs w:val="16"/>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40" w:lineRule="exact"/>
        <w:rPr>
          <w:sz w:val="20"/>
          <w:szCs w:val="20"/>
          <w:color w:val="auto"/>
        </w:rPr>
      </w:pPr>
    </w:p>
    <w:p>
      <w:pPr>
        <w:ind w:right="80" w:firstLine="621"/>
        <w:spacing w:after="0" w:line="260" w:lineRule="auto"/>
        <w:rPr>
          <w:sz w:val="20"/>
          <w:szCs w:val="20"/>
          <w:color w:val="auto"/>
        </w:rPr>
      </w:pPr>
      <w:r>
        <w:rPr>
          <w:rFonts w:ascii="Arial" w:cs="Arial" w:eastAsia="Arial" w:hAnsi="Arial"/>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62"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For purposes of measuring the estimated fair value, where applicable, of the assets acquired and the liabilities assumed as reflected in the unaudited condensed combined financial information,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139"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The fair value of the purchase price was allocated to the identifiable assets acquired and liabilities assumed based upon their estimated fair values as of the date of the SpringServe Acquisition as set forth below:</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88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627"/>
        </w:trPr>
        <w:tc>
          <w:tcPr>
            <w:tcW w:w="1220" w:type="dxa"/>
            <w:vAlign w:val="bottom"/>
            <w:tcBorders>
              <w:top w:val="single" w:sz="8" w:color="0000FF"/>
            </w:tcBorders>
          </w:tcPr>
          <w:p>
            <w:pPr>
              <w:spacing w:after="0"/>
              <w:rPr>
                <w:sz w:val="24"/>
                <w:szCs w:val="24"/>
                <w:color w:val="auto"/>
              </w:rPr>
            </w:pPr>
          </w:p>
        </w:tc>
        <w:tc>
          <w:tcPr>
            <w:tcW w:w="7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80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3,234</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and other assets, current</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Fixed assets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23,400</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Right-of-use lease asset</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1,879</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24,156</w:t>
            </w:r>
          </w:p>
        </w:tc>
      </w:tr>
      <w:tr>
        <w:trPr>
          <w:trHeight w:val="213"/>
        </w:trPr>
        <w:tc>
          <w:tcPr>
            <w:tcW w:w="8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assets to be acquired</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53,913</w:t>
            </w:r>
          </w:p>
        </w:tc>
      </w:tr>
      <w:tr>
        <w:trPr>
          <w:trHeight w:val="21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 and accrued expenses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2,475</w:t>
            </w:r>
          </w:p>
        </w:tc>
      </w:tr>
      <w:tr>
        <w:trPr>
          <w:trHeight w:val="220"/>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Other current liabilities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 liabilities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r>
      <w:tr>
        <w:trPr>
          <w:trHeight w:val="220"/>
        </w:trPr>
        <w:tc>
          <w:tcPr>
            <w:tcW w:w="8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6,154</w:t>
            </w:r>
          </w:p>
        </w:tc>
      </w:tr>
      <w:tr>
        <w:trPr>
          <w:trHeight w:val="213"/>
        </w:trPr>
        <w:tc>
          <w:tcPr>
            <w:tcW w:w="88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liabilities to be assumed</w:t>
            </w:r>
          </w:p>
        </w:tc>
        <w:tc>
          <w:tcPr>
            <w:tcW w:w="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11,843</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7"/>
                <w:szCs w:val="17"/>
                <w:color w:val="auto"/>
              </w:rPr>
              <w:t>Total preliminary purchase price</w:t>
            </w:r>
          </w:p>
        </w:tc>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42,070</w:t>
            </w:r>
          </w:p>
        </w:tc>
      </w:tr>
      <w:tr>
        <w:trPr>
          <w:trHeight w:val="20"/>
        </w:trPr>
        <w:tc>
          <w:tcPr>
            <w:tcW w:w="12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firstLine="621"/>
        <w:spacing w:after="0" w:line="309" w:lineRule="auto"/>
        <w:rPr>
          <w:sz w:val="20"/>
          <w:szCs w:val="20"/>
          <w:color w:val="auto"/>
        </w:rPr>
      </w:pPr>
      <w:r>
        <w:rPr>
          <w:rFonts w:ascii="Arial" w:cs="Arial" w:eastAsia="Arial" w:hAnsi="Arial"/>
          <w:sz w:val="15"/>
          <w:szCs w:val="15"/>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108" w:lineRule="exact"/>
        <w:rPr>
          <w:sz w:val="20"/>
          <w:szCs w:val="20"/>
          <w:color w:val="auto"/>
        </w:rPr>
      </w:pPr>
    </w:p>
    <w:p>
      <w:pPr>
        <w:ind w:right="80" w:firstLine="621"/>
        <w:spacing w:after="0" w:line="283" w:lineRule="auto"/>
        <w:rPr>
          <w:sz w:val="20"/>
          <w:szCs w:val="20"/>
          <w:color w:val="auto"/>
        </w:rPr>
      </w:pPr>
      <w:r>
        <w:rPr>
          <w:rFonts w:ascii="Arial" w:cs="Arial" w:eastAsia="Arial" w:hAnsi="Arial"/>
          <w:sz w:val="17"/>
          <w:szCs w:val="17"/>
          <w:color w:val="auto"/>
        </w:rPr>
        <w:t>The following table summarizes the components of the intangible assets and estimated useful lives as of the date of the SpringServe Acquisition (dollars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5,700</w:t>
            </w: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2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Trademarks and Trade Names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 years</w:t>
            </w:r>
          </w:p>
        </w:tc>
      </w:tr>
      <w:tr>
        <w:trPr>
          <w:trHeight w:val="220"/>
        </w:trPr>
        <w:tc>
          <w:tcPr>
            <w:tcW w:w="7200" w:type="dxa"/>
            <w:vAlign w:val="bottom"/>
          </w:tcPr>
          <w:p>
            <w:pPr>
              <w:ind w:left="20"/>
              <w:spacing w:after="0"/>
              <w:rPr>
                <w:sz w:val="20"/>
                <w:szCs w:val="20"/>
                <w:color w:val="auto"/>
              </w:rPr>
            </w:pPr>
            <w:r>
              <w:rPr>
                <w:rFonts w:ascii="Arial" w:cs="Arial" w:eastAsia="Arial" w:hAnsi="Arial"/>
                <w:sz w:val="17"/>
                <w:szCs w:val="17"/>
                <w:color w:val="auto"/>
              </w:rPr>
              <w:t>In-process research and development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800</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3 years*</w:t>
            </w:r>
          </w:p>
        </w:tc>
      </w:tr>
      <w:tr>
        <w:trPr>
          <w:trHeight w:val="220"/>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Non-compete agreements</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 years</w:t>
            </w:r>
          </w:p>
        </w:tc>
      </w:tr>
      <w:tr>
        <w:trPr>
          <w:trHeight w:val="213"/>
        </w:trPr>
        <w:tc>
          <w:tcPr>
            <w:tcW w:w="7200" w:type="dxa"/>
            <w:vAlign w:val="bottom"/>
          </w:tcPr>
          <w:p>
            <w:pPr>
              <w:ind w:left="20"/>
              <w:spacing w:after="0"/>
              <w:rPr>
                <w:sz w:val="20"/>
                <w:szCs w:val="20"/>
                <w:color w:val="auto"/>
              </w:rPr>
            </w:pPr>
            <w:r>
              <w:rPr>
                <w:rFonts w:ascii="Arial" w:cs="Arial" w:eastAsia="Arial" w:hAnsi="Arial"/>
                <w:sz w:val="17"/>
                <w:szCs w:val="17"/>
                <w:color w:val="auto"/>
              </w:rPr>
              <w:t>Total intangible assets acquired</w:t>
            </w:r>
          </w:p>
        </w:tc>
        <w:tc>
          <w:tcPr>
            <w:tcW w:w="620" w:type="dxa"/>
            <w:vAlign w:val="bottom"/>
          </w:tcPr>
          <w:p>
            <w:pPr>
              <w:jc w:val="right"/>
              <w:ind w:right="4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23,400</w:t>
            </w:r>
          </w:p>
        </w:tc>
        <w:tc>
          <w:tcPr>
            <w:tcW w:w="1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0</wp:posOffset>
            </wp:positionV>
            <wp:extent cx="1059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6" w:lineRule="exact"/>
        <w:rPr>
          <w:sz w:val="20"/>
          <w:szCs w:val="20"/>
          <w:color w:val="auto"/>
        </w:rPr>
      </w:pPr>
    </w:p>
    <w:p>
      <w:pPr>
        <w:ind w:left="20" w:right="1020" w:firstLine="1"/>
        <w:spacing w:after="0" w:line="238" w:lineRule="auto"/>
        <w:tabs>
          <w:tab w:leader="none" w:pos="149" w:val="left"/>
        </w:tabs>
        <w:numPr>
          <w:ilvl w:val="0"/>
          <w:numId w:val="6"/>
        </w:numPr>
        <w:rPr>
          <w:rFonts w:ascii="Arial" w:cs="Arial" w:eastAsia="Arial" w:hAnsi="Arial"/>
          <w:sz w:val="17"/>
          <w:szCs w:val="17"/>
          <w:color w:val="auto"/>
        </w:rPr>
      </w:pPr>
      <w:r>
        <w:rPr>
          <w:rFonts w:ascii="Arial" w:cs="Arial" w:eastAsia="Arial" w:hAnsi="Arial"/>
          <w:sz w:val="17"/>
          <w:szCs w:val="17"/>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36" w:lineRule="exact"/>
        <w:rPr>
          <w:sz w:val="20"/>
          <w:szCs w:val="20"/>
          <w:color w:val="auto"/>
        </w:rPr>
      </w:pPr>
    </w:p>
    <w:p>
      <w:pPr>
        <w:ind w:right="340" w:firstLine="621"/>
        <w:spacing w:after="0" w:line="281" w:lineRule="auto"/>
        <w:rPr>
          <w:sz w:val="20"/>
          <w:szCs w:val="20"/>
          <w:color w:val="auto"/>
        </w:rPr>
      </w:pPr>
      <w:r>
        <w:rPr>
          <w:rFonts w:ascii="Arial" w:cs="Arial" w:eastAsia="Arial" w:hAnsi="Arial"/>
          <w:sz w:val="16"/>
          <w:szCs w:val="16"/>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non-compete agreements, and trademarks is included in sales and marketing expenses in the condensed consolidated statement of operations. Once the projects associated with acquired in-process research and development are completed, amortization will be included in cost of revenues in the condensed consolidated statement of operations. The acquired intangibles and goodwill resulting from the SpringServe Acquisition are not tax deductible.</w:t>
      </w:r>
    </w:p>
    <w:p>
      <w:pPr>
        <w:spacing w:after="0" w:line="48" w:lineRule="exact"/>
        <w:rPr>
          <w:sz w:val="20"/>
          <w:szCs w:val="20"/>
          <w:color w:val="auto"/>
        </w:rPr>
      </w:pPr>
    </w:p>
    <w:p>
      <w:pPr>
        <w:ind w:right="580" w:firstLine="621"/>
        <w:spacing w:after="0" w:line="264" w:lineRule="auto"/>
        <w:rPr>
          <w:sz w:val="20"/>
          <w:szCs w:val="20"/>
          <w:color w:val="auto"/>
        </w:rPr>
      </w:pPr>
      <w:r>
        <w:rPr>
          <w:rFonts w:ascii="Arial" w:cs="Arial" w:eastAsia="Arial" w:hAnsi="Arial"/>
          <w:sz w:val="17"/>
          <w:szCs w:val="17"/>
          <w:color w:val="auto"/>
        </w:rPr>
        <w:t>In connection with the SpringServe Acquisition, the Company recorded deferred tax liabilities related to definite-lived intangible assets that were acquired of $6.2 million. As a result of this and the SpotX deferred tax liability balance, the Company recognized an income tax benefit in the condensed consolidated statement of operations for the nine months ended September 30, 2021. The deferred tax liability was calculated based on an estimated combined tax rate of 26.3%.</w:t>
      </w:r>
    </w:p>
    <w:p>
      <w:pPr>
        <w:spacing w:after="0" w:line="45" w:lineRule="exact"/>
        <w:rPr>
          <w:sz w:val="20"/>
          <w:szCs w:val="20"/>
          <w:color w:val="auto"/>
        </w:rPr>
      </w:pPr>
    </w:p>
    <w:p>
      <w:pPr>
        <w:ind w:right="820" w:firstLine="621"/>
        <w:spacing w:after="0" w:line="283" w:lineRule="auto"/>
        <w:rPr>
          <w:sz w:val="20"/>
          <w:szCs w:val="20"/>
          <w:color w:val="auto"/>
        </w:rPr>
      </w:pPr>
      <w:r>
        <w:rPr>
          <w:rFonts w:ascii="Arial" w:cs="Arial" w:eastAsia="Arial" w:hAnsi="Arial"/>
          <w:sz w:val="17"/>
          <w:szCs w:val="17"/>
          <w:color w:val="auto"/>
        </w:rPr>
        <w:t>SpringServe Acquisition related costs included in the "Merger, acquisition, and restructuring costs" in the Company's condensed consolidated statement of operations during the three and nine months ended September 30, 2021 were immaterial.</w:t>
      </w:r>
    </w:p>
    <w:p>
      <w:pPr>
        <w:spacing w:after="0" w:line="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Unaudited Pro Forma Information</w:t>
      </w:r>
    </w:p>
    <w:p>
      <w:pPr>
        <w:spacing w:after="0" w:line="108" w:lineRule="exact"/>
        <w:rPr>
          <w:sz w:val="20"/>
          <w:szCs w:val="20"/>
          <w:color w:val="auto"/>
        </w:rPr>
      </w:pPr>
    </w:p>
    <w:p>
      <w:pPr>
        <w:ind w:right="40" w:firstLine="621"/>
        <w:spacing w:after="0" w:line="309" w:lineRule="auto"/>
        <w:rPr>
          <w:sz w:val="20"/>
          <w:szCs w:val="20"/>
          <w:color w:val="auto"/>
        </w:rPr>
      </w:pPr>
      <w:r>
        <w:rPr>
          <w:rFonts w:ascii="Arial" w:cs="Arial" w:eastAsia="Arial" w:hAnsi="Arial"/>
          <w:sz w:val="15"/>
          <w:szCs w:val="15"/>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amounts are not necessarily indicative of the results that actually would have occurred had the SpotX and SpringServe Acquisitions been completed on the dates indicated, nor is it indicative of the future operating results of the combined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6"/>
                <w:szCs w:val="16"/>
                <w:color w:val="auto"/>
              </w:rPr>
            </w:pPr>
          </w:p>
        </w:tc>
        <w:tc>
          <w:tcPr>
            <w:tcW w:w="3560" w:type="dxa"/>
            <w:vAlign w:val="bottom"/>
            <w:gridSpan w:val="3"/>
          </w:tcPr>
          <w:p>
            <w:pPr>
              <w:ind w:left="1100"/>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5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4"/>
                <w:szCs w:val="14"/>
                <w:b w:val="1"/>
                <w:bCs w:val="1"/>
                <w:color w:val="auto"/>
                <w:w w:val="96"/>
              </w:rPr>
              <w:t>September 30, 2020</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September 30, 2020</w:t>
            </w:r>
          </w:p>
        </w:tc>
      </w:tr>
      <w:tr>
        <w:trPr>
          <w:trHeight w:val="174"/>
        </w:trPr>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ind w:left="3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21"/>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 Forma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104,249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ind w:left="880"/>
              <w:spacing w:after="0"/>
              <w:rPr>
                <w:sz w:val="20"/>
                <w:szCs w:val="20"/>
                <w:color w:val="auto"/>
              </w:rPr>
            </w:pPr>
            <w:r>
              <w:rPr>
                <w:rFonts w:ascii="Arial" w:cs="Arial" w:eastAsia="Arial" w:hAnsi="Arial"/>
                <w:sz w:val="17"/>
                <w:szCs w:val="17"/>
                <w:color w:val="auto"/>
              </w:rPr>
              <w:t>379,180</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243,781</w:t>
            </w:r>
          </w:p>
        </w:tc>
      </w:tr>
      <w:tr>
        <w:trPr>
          <w:trHeight w:val="220"/>
        </w:trPr>
        <w:tc>
          <w:tcPr>
            <w:tcW w:w="5680" w:type="dxa"/>
            <w:vAlign w:val="bottom"/>
            <w:gridSpan w:val="2"/>
          </w:tcPr>
          <w:p>
            <w:pPr>
              <w:ind w:left="20"/>
              <w:spacing w:after="0"/>
              <w:rPr>
                <w:sz w:val="20"/>
                <w:szCs w:val="20"/>
                <w:color w:val="auto"/>
              </w:rPr>
            </w:pPr>
            <w:r>
              <w:rPr>
                <w:rFonts w:ascii="Arial" w:cs="Arial" w:eastAsia="Arial" w:hAnsi="Arial"/>
                <w:sz w:val="17"/>
                <w:szCs w:val="17"/>
                <w:color w:val="auto"/>
              </w:rPr>
              <w:t>Pro Forma 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(29,651)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Pr>
          <w:p>
            <w:pPr>
              <w:ind w:left="900"/>
              <w:spacing w:after="0"/>
              <w:rPr>
                <w:sz w:val="20"/>
                <w:szCs w:val="20"/>
                <w:color w:val="auto"/>
              </w:rPr>
            </w:pPr>
            <w:r>
              <w:rPr>
                <w:rFonts w:ascii="Arial" w:cs="Arial" w:eastAsia="Arial" w:hAnsi="Arial"/>
                <w:sz w:val="17"/>
                <w:szCs w:val="17"/>
                <w:color w:val="auto"/>
                <w:w w:val="97"/>
              </w:rPr>
              <w:t>(88,187)</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(157,803)</w:t>
            </w:r>
          </w:p>
        </w:tc>
      </w:tr>
    </w:tbl>
    <w:p>
      <w:pPr>
        <w:spacing w:after="0" w:line="143" w:lineRule="exact"/>
        <w:rPr>
          <w:sz w:val="20"/>
          <w:szCs w:val="20"/>
          <w:color w:val="auto"/>
        </w:rPr>
      </w:pPr>
    </w:p>
    <w:p>
      <w:pPr>
        <w:ind w:right="100" w:firstLine="621"/>
        <w:spacing w:after="0" w:line="238" w:lineRule="auto"/>
        <w:rPr>
          <w:sz w:val="20"/>
          <w:szCs w:val="20"/>
          <w:color w:val="auto"/>
        </w:rPr>
      </w:pPr>
      <w:r>
        <w:rPr>
          <w:rFonts w:ascii="Arial" w:cs="Arial" w:eastAsia="Arial" w:hAnsi="Arial"/>
          <w:sz w:val="17"/>
          <w:szCs w:val="17"/>
          <w:color w:val="auto"/>
        </w:rPr>
        <w:t>During the three and nine months ended September 30, 2021, due to the process of integrating the operations of SpotX into the operations of the Company, the determination of SpotX's post-acquisition revenue and operating results on a standalone basis was impracticable. The SpringServe post-acquisition revenue and operating results on a standalone basis were immaterial.</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8—Merger, Acquisition, and Restructuring Costs</w:t>
      </w:r>
    </w:p>
    <w:p>
      <w:pPr>
        <w:spacing w:after="0" w:line="108" w:lineRule="exact"/>
        <w:rPr>
          <w:sz w:val="20"/>
          <w:szCs w:val="20"/>
          <w:color w:val="auto"/>
        </w:rPr>
      </w:pPr>
    </w:p>
    <w:p>
      <w:pPr>
        <w:ind w:right="600" w:firstLine="621"/>
        <w:spacing w:after="0" w:line="283" w:lineRule="auto"/>
        <w:rPr>
          <w:sz w:val="20"/>
          <w:szCs w:val="20"/>
          <w:color w:val="auto"/>
        </w:rPr>
      </w:pPr>
      <w:r>
        <w:rPr>
          <w:rFonts w:ascii="Arial" w:cs="Arial" w:eastAsia="Arial" w:hAnsi="Arial"/>
          <w:sz w:val="17"/>
          <w:szCs w:val="17"/>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3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merger, acquisition, and restructuring cost activity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September 30, 2021</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 2020</w:t>
            </w: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5"/>
              </w:rPr>
              <w:t>September 30, 2021</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September 30, 2020</w:t>
            </w:r>
          </w:p>
        </w:tc>
        <w:tc>
          <w:tcPr>
            <w:tcW w:w="0" w:type="dxa"/>
            <w:vAlign w:val="bottom"/>
          </w:tcPr>
          <w:p>
            <w:pPr>
              <w:spacing w:after="0"/>
              <w:rPr>
                <w:sz w:val="1"/>
                <w:szCs w:val="1"/>
                <w:color w:val="auto"/>
              </w:rPr>
            </w:pPr>
          </w:p>
        </w:tc>
      </w:tr>
      <w:tr>
        <w:trPr>
          <w:trHeight w:val="174"/>
        </w:trPr>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jc w:val="right"/>
              <w:ind w:right="217"/>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line="171" w:lineRule="exact"/>
              <w:rPr>
                <w:sz w:val="20"/>
                <w:szCs w:val="20"/>
                <w:color w:val="auto"/>
              </w:rPr>
            </w:pPr>
            <w:r>
              <w:rPr>
                <w:rFonts w:ascii="Arial" w:cs="Arial" w:eastAsia="Arial" w:hAnsi="Arial"/>
                <w:sz w:val="17"/>
                <w:szCs w:val="17"/>
                <w:color w:val="auto"/>
                <w:w w:val="98"/>
              </w:rPr>
              <w:t>Professional services (investment banking advisory, legal and other</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1,064</w:t>
            </w:r>
          </w:p>
        </w:tc>
        <w:tc>
          <w:tcPr>
            <w:tcW w:w="100" w:type="dxa"/>
            <w:vAlign w:val="bottom"/>
          </w:tcPr>
          <w:p>
            <w:pPr>
              <w:spacing w:after="0"/>
              <w:rPr>
                <w:sz w:val="14"/>
                <w:szCs w:val="14"/>
                <w:color w:val="auto"/>
              </w:rPr>
            </w:pPr>
          </w:p>
        </w:tc>
        <w:tc>
          <w:tcPr>
            <w:tcW w:w="700" w:type="dxa"/>
            <w:vAlign w:val="bottom"/>
            <w:vMerge w:val="restart"/>
          </w:tcPr>
          <w:p>
            <w:pPr>
              <w:jc w:val="right"/>
              <w:ind w:right="517"/>
              <w:spacing w:after="0"/>
              <w:rPr>
                <w:sz w:val="20"/>
                <w:szCs w:val="20"/>
                <w:color w:val="auto"/>
              </w:rPr>
            </w:pPr>
            <w:r>
              <w:rPr>
                <w:rFonts w:ascii="Arial" w:cs="Arial" w:eastAsia="Arial" w:hAnsi="Arial"/>
                <w:sz w:val="17"/>
                <w:szCs w:val="17"/>
                <w:color w:val="auto"/>
                <w:w w:val="84"/>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952</w:t>
            </w:r>
          </w:p>
        </w:tc>
        <w:tc>
          <w:tcPr>
            <w:tcW w:w="80" w:type="dxa"/>
            <w:vAlign w:val="bottom"/>
          </w:tcPr>
          <w:p>
            <w:pPr>
              <w:spacing w:after="0"/>
              <w:rPr>
                <w:sz w:val="14"/>
                <w:szCs w:val="14"/>
                <w:color w:val="auto"/>
              </w:rPr>
            </w:pPr>
          </w:p>
        </w:tc>
        <w:tc>
          <w:tcPr>
            <w:tcW w:w="580" w:type="dxa"/>
            <w:vAlign w:val="bottom"/>
            <w:vMerge w:val="restart"/>
          </w:tcPr>
          <w:p>
            <w:pPr>
              <w:jc w:val="right"/>
              <w:ind w:right="377"/>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28,032</w:t>
            </w:r>
          </w:p>
        </w:tc>
        <w:tc>
          <w:tcPr>
            <w:tcW w:w="80" w:type="dxa"/>
            <w:vAlign w:val="bottom"/>
          </w:tcPr>
          <w:p>
            <w:pPr>
              <w:spacing w:after="0"/>
              <w:rPr>
                <w:sz w:val="14"/>
                <w:szCs w:val="14"/>
                <w:color w:val="auto"/>
              </w:rPr>
            </w:pPr>
          </w:p>
        </w:tc>
        <w:tc>
          <w:tcPr>
            <w:tcW w:w="720" w:type="dxa"/>
            <w:vAlign w:val="bottom"/>
            <w:vMerge w:val="restart"/>
          </w:tcPr>
          <w:p>
            <w:pPr>
              <w:jc w:val="right"/>
              <w:ind w:right="537"/>
              <w:spacing w:after="0"/>
              <w:rPr>
                <w:sz w:val="20"/>
                <w:szCs w:val="20"/>
                <w:color w:val="auto"/>
              </w:rPr>
            </w:pPr>
            <w:r>
              <w:rPr>
                <w:rFonts w:ascii="Arial" w:cs="Arial" w:eastAsia="Arial" w:hAnsi="Arial"/>
                <w:sz w:val="17"/>
                <w:szCs w:val="17"/>
                <w:color w:val="auto"/>
                <w:w w:val="84"/>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9,533</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professional services)</w:t>
            </w:r>
          </w:p>
        </w:tc>
        <w:tc>
          <w:tcPr>
            <w:tcW w:w="14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Personnel related (severance and one-time termination benefit costs)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6,176</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169"/>
        </w:trPr>
        <w:tc>
          <w:tcPr>
            <w:tcW w:w="5060" w:type="dxa"/>
            <w:vAlign w:val="bottom"/>
          </w:tcPr>
          <w:p>
            <w:pPr>
              <w:ind w:left="20"/>
              <w:spacing w:after="0" w:line="169" w:lineRule="exact"/>
              <w:rPr>
                <w:sz w:val="20"/>
                <w:szCs w:val="20"/>
                <w:color w:val="auto"/>
              </w:rPr>
            </w:pPr>
            <w:r>
              <w:rPr>
                <w:rFonts w:ascii="Arial" w:cs="Arial" w:eastAsia="Arial" w:hAnsi="Arial"/>
                <w:sz w:val="17"/>
                <w:szCs w:val="17"/>
                <w:color w:val="auto"/>
                <w:w w:val="95"/>
              </w:rPr>
              <w:t>Non-cash stock-based compensation (double-trigger acceleration and</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1,070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1,554</w:t>
            </w:r>
          </w:p>
        </w:tc>
        <w:tc>
          <w:tcPr>
            <w:tcW w:w="0" w:type="dxa"/>
            <w:vAlign w:val="bottom"/>
          </w:tcPr>
          <w:p>
            <w:pPr>
              <w:spacing w:after="0"/>
              <w:rPr>
                <w:sz w:val="1"/>
                <w:szCs w:val="1"/>
                <w:color w:val="auto"/>
              </w:rPr>
            </w:pPr>
          </w:p>
        </w:tc>
      </w:tr>
      <w:tr>
        <w:trPr>
          <w:trHeight w:val="219"/>
        </w:trPr>
        <w:tc>
          <w:tcPr>
            <w:tcW w:w="5060" w:type="dxa"/>
            <w:vAlign w:val="bottom"/>
          </w:tcPr>
          <w:p>
            <w:pPr>
              <w:ind w:left="20"/>
              <w:spacing w:after="0"/>
              <w:rPr>
                <w:sz w:val="20"/>
                <w:szCs w:val="20"/>
                <w:color w:val="auto"/>
              </w:rPr>
            </w:pPr>
            <w:r>
              <w:rPr>
                <w:rFonts w:ascii="Arial" w:cs="Arial" w:eastAsia="Arial" w:hAnsi="Arial"/>
                <w:sz w:val="17"/>
                <w:szCs w:val="17"/>
                <w:color w:val="auto"/>
              </w:rPr>
              <w:t>severance)</w:t>
            </w:r>
          </w:p>
        </w:tc>
        <w:tc>
          <w:tcPr>
            <w:tcW w:w="1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contracts (lease related)</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060" w:type="dxa"/>
            <w:vAlign w:val="bottom"/>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2,424</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2,254</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37,778</w:t>
            </w: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16,677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jc w:val="both"/>
        <w:ind w:right="20" w:firstLine="621"/>
        <w:spacing w:after="0" w:line="264" w:lineRule="auto"/>
        <w:rPr>
          <w:sz w:val="20"/>
          <w:szCs w:val="20"/>
          <w:color w:val="auto"/>
        </w:rPr>
      </w:pPr>
      <w:r>
        <w:rPr>
          <w:rFonts w:ascii="Arial" w:cs="Arial" w:eastAsia="Arial" w:hAnsi="Arial"/>
          <w:sz w:val="17"/>
          <w:szCs w:val="17"/>
          <w:color w:val="auto"/>
        </w:rPr>
        <w:t>Accrued merger, acquisition, and restructuring costs were $4.1 million and $2.9 million at September 30, 2021 and December 31, 2020, respectively, and were primarily related to the SpotX Acquisition, the SpringServe Acquisition, and the Telaria Merger. Accrued restructuring costs associated with personnel costs are included within accounts payable and accrued expenses and accruals related to the assumed loss contracts are included within other current liabilities and other liabilities, non-current on the Company's condensed consolidated balance sheet.</w:t>
      </w:r>
    </w:p>
    <w:p>
      <w:pPr>
        <w:sectPr>
          <w:pgSz w:w="11900" w:h="16838" w:orient="portrait"/>
          <w:cols w:equalWidth="0" w:num="1">
            <w:col w:w="11240"/>
          </w:cols>
          <w:pgMar w:left="320" w:top="127" w:right="339" w:bottom="1440" w:gutter="0" w:footer="0" w:header="0"/>
        </w:sect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merger, acquisition, and restructuring costs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7138035" cy="114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wp:posOffset>
            </wp:positionV>
            <wp:extent cx="7138035" cy="139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Restructuring costs, personnel related and non-cash stock-based compensation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Restructuring activity, merger and acquisition loss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paid for restructuring costs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Non-cash loss contracts (lease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Non-cash 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merger, acquisition, and restructuring costs at September 30,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9—Stock-Based Compensation</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20" w:type="dxa"/>
            <w:vAlign w:val="bottom"/>
          </w:tcPr>
          <w:p>
            <w:pPr>
              <w:spacing w:after="0"/>
              <w:rPr>
                <w:sz w:val="15"/>
                <w:szCs w:val="15"/>
                <w:color w:val="auto"/>
              </w:rPr>
            </w:pP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center"/>
              <w:ind w:left="956"/>
              <w:spacing w:after="0"/>
              <w:rPr>
                <w:sz w:val="20"/>
                <w:szCs w:val="20"/>
                <w:color w:val="auto"/>
              </w:rPr>
            </w:pPr>
            <w:r>
              <w:rPr>
                <w:rFonts w:ascii="Arial" w:cs="Arial" w:eastAsia="Arial" w:hAnsi="Arial"/>
                <w:sz w:val="17"/>
                <w:szCs w:val="17"/>
                <w:color w:val="auto"/>
                <w:w w:val="93"/>
              </w:rPr>
              <w:t>2,935</w:t>
            </w:r>
          </w:p>
        </w:tc>
      </w:tr>
      <w:tr>
        <w:trPr>
          <w:trHeight w:val="220"/>
        </w:trPr>
        <w:tc>
          <w:tcPr>
            <w:tcW w:w="320" w:type="dxa"/>
            <w:vAlign w:val="bottom"/>
          </w:tcPr>
          <w:p>
            <w:pPr>
              <w:spacing w:after="0"/>
              <w:rPr>
                <w:sz w:val="19"/>
                <w:szCs w:val="19"/>
                <w:color w:val="auto"/>
              </w:rPr>
            </w:pPr>
          </w:p>
        </w:tc>
        <w:tc>
          <w:tcPr>
            <w:tcW w:w="1560" w:type="dxa"/>
            <w:vAlign w:val="bottom"/>
          </w:tcPr>
          <w:p>
            <w:pPr>
              <w:jc w:val="center"/>
              <w:ind w:left="956"/>
              <w:spacing w:after="0"/>
              <w:rPr>
                <w:sz w:val="20"/>
                <w:szCs w:val="20"/>
                <w:color w:val="auto"/>
              </w:rPr>
            </w:pPr>
            <w:r>
              <w:rPr>
                <w:rFonts w:ascii="Arial" w:cs="Arial" w:eastAsia="Arial" w:hAnsi="Arial"/>
                <w:sz w:val="17"/>
                <w:szCs w:val="17"/>
                <w:color w:val="auto"/>
                <w:w w:val="93"/>
              </w:rPr>
              <w:t>7,246</w:t>
            </w:r>
          </w:p>
        </w:tc>
      </w:tr>
      <w:tr>
        <w:trPr>
          <w:trHeight w:val="220"/>
        </w:trPr>
        <w:tc>
          <w:tcPr>
            <w:tcW w:w="320" w:type="dxa"/>
            <w:vAlign w:val="bottom"/>
          </w:tcPr>
          <w:p>
            <w:pPr>
              <w:spacing w:after="0"/>
              <w:rPr>
                <w:sz w:val="19"/>
                <w:szCs w:val="19"/>
                <w:color w:val="auto"/>
              </w:rPr>
            </w:pPr>
          </w:p>
        </w:tc>
        <w:tc>
          <w:tcPr>
            <w:tcW w:w="1560" w:type="dxa"/>
            <w:vAlign w:val="bottom"/>
          </w:tcPr>
          <w:p>
            <w:pPr>
              <w:jc w:val="center"/>
              <w:ind w:left="956"/>
              <w:spacing w:after="0"/>
              <w:rPr>
                <w:sz w:val="20"/>
                <w:szCs w:val="20"/>
                <w:color w:val="auto"/>
              </w:rPr>
            </w:pPr>
            <w:r>
              <w:rPr>
                <w:rFonts w:ascii="Arial" w:cs="Arial" w:eastAsia="Arial" w:hAnsi="Arial"/>
                <w:sz w:val="17"/>
                <w:szCs w:val="17"/>
                <w:color w:val="auto"/>
                <w:w w:val="93"/>
              </w:rPr>
              <w:t>2,500</w:t>
            </w:r>
          </w:p>
        </w:tc>
      </w:tr>
      <w:tr>
        <w:trPr>
          <w:trHeight w:val="220"/>
        </w:trPr>
        <w:tc>
          <w:tcPr>
            <w:tcW w:w="320" w:type="dxa"/>
            <w:vAlign w:val="bottom"/>
          </w:tcPr>
          <w:p>
            <w:pPr>
              <w:spacing w:after="0"/>
              <w:rPr>
                <w:sz w:val="19"/>
                <w:szCs w:val="19"/>
                <w:color w:val="auto"/>
              </w:rPr>
            </w:pPr>
          </w:p>
        </w:tc>
        <w:tc>
          <w:tcPr>
            <w:tcW w:w="1560" w:type="dxa"/>
            <w:vAlign w:val="bottom"/>
          </w:tcPr>
          <w:p>
            <w:pPr>
              <w:jc w:val="center"/>
              <w:ind w:left="936"/>
              <w:spacing w:after="0"/>
              <w:rPr>
                <w:sz w:val="20"/>
                <w:szCs w:val="20"/>
                <w:color w:val="auto"/>
              </w:rPr>
            </w:pPr>
            <w:r>
              <w:rPr>
                <w:rFonts w:ascii="Arial" w:cs="Arial" w:eastAsia="Arial" w:hAnsi="Arial"/>
                <w:sz w:val="17"/>
                <w:szCs w:val="17"/>
                <w:color w:val="auto"/>
                <w:w w:val="92"/>
              </w:rPr>
              <w:t>(5,035)</w:t>
            </w:r>
          </w:p>
        </w:tc>
      </w:tr>
      <w:tr>
        <w:trPr>
          <w:trHeight w:val="220"/>
        </w:trPr>
        <w:tc>
          <w:tcPr>
            <w:tcW w:w="320" w:type="dxa"/>
            <w:vAlign w:val="bottom"/>
          </w:tcPr>
          <w:p>
            <w:pPr>
              <w:spacing w:after="0"/>
              <w:rPr>
                <w:sz w:val="19"/>
                <w:szCs w:val="19"/>
                <w:color w:val="auto"/>
              </w:rPr>
            </w:pPr>
          </w:p>
        </w:tc>
        <w:tc>
          <w:tcPr>
            <w:tcW w:w="1560" w:type="dxa"/>
            <w:vAlign w:val="bottom"/>
          </w:tcPr>
          <w:p>
            <w:pPr>
              <w:jc w:val="center"/>
              <w:ind w:left="936"/>
              <w:spacing w:after="0"/>
              <w:rPr>
                <w:sz w:val="20"/>
                <w:szCs w:val="20"/>
                <w:color w:val="auto"/>
              </w:rPr>
            </w:pPr>
            <w:r>
              <w:rPr>
                <w:rFonts w:ascii="Arial" w:cs="Arial" w:eastAsia="Arial" w:hAnsi="Arial"/>
                <w:sz w:val="17"/>
                <w:szCs w:val="17"/>
                <w:color w:val="auto"/>
                <w:w w:val="92"/>
              </w:rPr>
              <w:t>(2,500)</w:t>
            </w:r>
          </w:p>
        </w:tc>
      </w:tr>
      <w:tr>
        <w:trPr>
          <w:trHeight w:val="220"/>
        </w:trPr>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936"/>
              <w:spacing w:after="0"/>
              <w:rPr>
                <w:sz w:val="20"/>
                <w:szCs w:val="20"/>
                <w:color w:val="auto"/>
              </w:rPr>
            </w:pPr>
            <w:r>
              <w:rPr>
                <w:rFonts w:ascii="Arial" w:cs="Arial" w:eastAsia="Arial" w:hAnsi="Arial"/>
                <w:sz w:val="17"/>
                <w:szCs w:val="17"/>
                <w:color w:val="auto"/>
                <w:w w:val="92"/>
              </w:rPr>
              <w:t>(1,070)</w:t>
            </w:r>
          </w:p>
        </w:tc>
      </w:tr>
      <w:tr>
        <w:trPr>
          <w:trHeight w:val="213"/>
        </w:trPr>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center"/>
              <w:ind w:left="956"/>
              <w:spacing w:after="0"/>
              <w:rPr>
                <w:sz w:val="20"/>
                <w:szCs w:val="20"/>
                <w:color w:val="auto"/>
              </w:rPr>
            </w:pPr>
            <w:r>
              <w:rPr>
                <w:rFonts w:ascii="Arial" w:cs="Arial" w:eastAsia="Arial" w:hAnsi="Arial"/>
                <w:sz w:val="17"/>
                <w:szCs w:val="17"/>
                <w:color w:val="auto"/>
                <w:w w:val="93"/>
              </w:rPr>
              <w:t>4,076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76" w:lineRule="exact"/>
        <w:rPr>
          <w:sz w:val="20"/>
          <w:szCs w:val="20"/>
          <w:color w:val="auto"/>
        </w:rPr>
      </w:pPr>
    </w:p>
    <w:p>
      <w:pPr>
        <w:sectPr>
          <w:pgSz w:w="11900" w:h="16838" w:orient="portrait"/>
          <w:cols w:equalWidth="0" w:num="2">
            <w:col w:w="8640" w:space="720"/>
            <w:col w:w="1880"/>
          </w:cols>
          <w:pgMar w:left="320" w:top="127" w:right="339" w:bottom="1440" w:gutter="0" w:footer="0" w:header="0"/>
          <w:type w:val="continuous"/>
        </w:sectPr>
      </w:pPr>
    </w:p>
    <w:p>
      <w:pPr>
        <w:ind w:right="20" w:firstLine="582"/>
        <w:spacing w:after="0" w:line="268" w:lineRule="auto"/>
        <w:rPr>
          <w:sz w:val="20"/>
          <w:szCs w:val="20"/>
          <w:color w:val="auto"/>
        </w:rPr>
      </w:pPr>
      <w:r>
        <w:rPr>
          <w:rFonts w:ascii="Arial" w:cs="Arial" w:eastAsia="Arial" w:hAnsi="Arial"/>
          <w:sz w:val="17"/>
          <w:szCs w:val="17"/>
          <w:color w:val="auto"/>
        </w:rPr>
        <w:t>The Company’s equity incentive plans provide for the grant of equity awards, including non-statutory or incentive stock options, restricted stock awards ("RSAs"), and restricted stock units ("RSUs"), to the Company's employees, officers, directors, and consultants. The Company's board of directors administers the plans. Options outstanding vest based upon continued service at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340"/>
        <w:spacing w:after="0" w:line="260" w:lineRule="auto"/>
        <w:rPr>
          <w:sz w:val="20"/>
          <w:szCs w:val="20"/>
          <w:color w:val="auto"/>
        </w:rPr>
      </w:pPr>
      <w:r>
        <w:rPr>
          <w:rFonts w:ascii="Arial" w:cs="Arial" w:eastAsia="Arial" w:hAnsi="Arial"/>
          <w:sz w:val="17"/>
          <w:szCs w:val="17"/>
          <w:color w:val="auto"/>
        </w:rPr>
        <w:t>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2021 included 0.3 million that vest 50% on each of the first and second anniversaries of the grant date. Options, RSAs, and RSUs granted under the plans accelerate under certain circumstances for certain participants upon a change in control, as defined in the governing plan or award agreement, and termination of employment. An aggregate of 12,968,404 shares remained available for future grants at September 30, 2021 under the plans.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stock option activity for the nine months ended September 30, 2021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8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5"/>
              </w:rPr>
              <w:t>Shares Under Option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4"/>
                <w:szCs w:val="14"/>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Average 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Contractual Life</w:t>
            </w:r>
          </w:p>
        </w:tc>
        <w:tc>
          <w:tcPr>
            <w:tcW w:w="200" w:type="dxa"/>
            <w:vAlign w:val="bottom"/>
          </w:tcPr>
          <w:p>
            <w:pPr>
              <w:spacing w:after="0"/>
              <w:rPr>
                <w:sz w:val="15"/>
                <w:szCs w:val="15"/>
                <w:color w:val="auto"/>
              </w:rPr>
            </w:pPr>
          </w:p>
        </w:tc>
        <w:tc>
          <w:tcPr>
            <w:tcW w:w="13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208"/>
        </w:trPr>
        <w:tc>
          <w:tcPr>
            <w:tcW w:w="4960" w:type="dxa"/>
            <w:vAlign w:val="bottom"/>
          </w:tcPr>
          <w:p>
            <w:pPr>
              <w:spacing w:after="0"/>
              <w:rPr>
                <w:sz w:val="18"/>
                <w:szCs w:val="18"/>
                <w:color w:val="auto"/>
              </w:rPr>
            </w:pPr>
          </w:p>
        </w:tc>
        <w:tc>
          <w:tcPr>
            <w:tcW w:w="1480" w:type="dxa"/>
            <w:vAlign w:val="bottom"/>
            <w:tcBorders>
              <w:top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26"/>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6,695</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302</w:t>
            </w:r>
          </w:p>
        </w:tc>
        <w:tc>
          <w:tcPr>
            <w:tcW w:w="360" w:type="dxa"/>
            <w:vAlign w:val="bottom"/>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38.99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36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September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5,298</w:t>
            </w:r>
          </w:p>
        </w:tc>
        <w:tc>
          <w:tcPr>
            <w:tcW w:w="3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8"/>
              </w:rPr>
              <w:t>5.79 years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113,430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Exercisable at September 30, 2021</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91"/>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5.51</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7"/>
                <w:szCs w:val="17"/>
                <w:color w:val="auto"/>
                <w:w w:val="88"/>
              </w:rPr>
              <w:t>4.82 years</w:t>
            </w: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84,758</w:t>
            </w: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480" w:type="dxa"/>
            <w:vAlign w:val="bottom"/>
          </w:tcPr>
          <w:p>
            <w:pPr>
              <w:jc w:val="right"/>
              <w:spacing w:after="0" w:line="192" w:lineRule="exact"/>
              <w:rPr>
                <w:sz w:val="20"/>
                <w:szCs w:val="20"/>
                <w:color w:val="auto"/>
              </w:rPr>
            </w:pPr>
            <w:r>
              <w:rPr>
                <w:rFonts w:ascii="Arial" w:cs="Arial" w:eastAsia="Arial" w:hAnsi="Arial"/>
                <w:sz w:val="17"/>
                <w:szCs w:val="17"/>
                <w:color w:val="auto"/>
              </w:rPr>
              <w:t>3,768</w:t>
            </w:r>
          </w:p>
        </w:tc>
        <w:tc>
          <w:tcPr>
            <w:tcW w:w="3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40" w:firstLine="621"/>
        <w:spacing w:after="0" w:line="320" w:lineRule="auto"/>
        <w:rPr>
          <w:sz w:val="20"/>
          <w:szCs w:val="20"/>
          <w:color w:val="auto"/>
        </w:rPr>
      </w:pPr>
      <w:r>
        <w:rPr>
          <w:rFonts w:ascii="Arial" w:cs="Arial" w:eastAsia="Arial" w:hAnsi="Arial"/>
          <w:sz w:val="15"/>
          <w:szCs w:val="15"/>
          <w:color w:val="auto"/>
        </w:rPr>
        <w:t>The total intrinsic value of options exercised during the nine months ended September 30, 2021 was $43.4 million. At September 30, 2021, the Company had unrecognized employee stock-based compensation expense relating to nonvested stock options of approximately $9.6 million, which is expected to be recognized over a weighted-average period of 2.2 years. Total fair value of options vested during the nine months ended September 30, 2021 was $3.3 million.</w:t>
      </w:r>
    </w:p>
    <w:p>
      <w:pPr>
        <w:spacing w:after="0" w:line="22"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color w:val="auto"/>
        </w:rPr>
        <w:t>The Company estimates the fair value of stock options that contain service and/or performance conditions using the Black-Scholes option pricing model. The grant date fair value of options granted during the nine months ended September 30, 2021 was $24.57 per share. The weighted-average input assumptions used by the Company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shd w:val="clear" w:color="auto" w:fill="CCEEFF"/>
          </w:tcPr>
          <w:p>
            <w:pPr>
              <w:spacing w:after="0"/>
              <w:rPr>
                <w:sz w:val="15"/>
                <w:szCs w:val="15"/>
                <w:color w:val="auto"/>
              </w:rPr>
            </w:pPr>
          </w:p>
        </w:tc>
        <w:tc>
          <w:tcPr>
            <w:tcW w:w="3280" w:type="dxa"/>
            <w:vAlign w:val="bottom"/>
            <w:gridSpan w:val="4"/>
            <w:shd w:val="clear" w:color="auto" w:fill="CCEEFF"/>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3200" w:type="dxa"/>
            <w:vAlign w:val="bottom"/>
            <w:gridSpan w:val="3"/>
            <w:shd w:val="clear" w:color="auto" w:fill="CCEEFF"/>
          </w:tcPr>
          <w:p>
            <w:pPr>
              <w:jc w:val="right"/>
              <w:ind w:right="917"/>
              <w:spacing w:after="0"/>
              <w:rPr>
                <w:sz w:val="20"/>
                <w:szCs w:val="20"/>
                <w:color w:val="auto"/>
              </w:rPr>
            </w:pPr>
            <w:r>
              <w:rPr>
                <w:rFonts w:ascii="Arial" w:cs="Arial" w:eastAsia="Arial" w:hAnsi="Arial"/>
                <w:sz w:val="14"/>
                <w:szCs w:val="14"/>
                <w:b w:val="1"/>
                <w:bCs w:val="1"/>
                <w:color w:val="auto"/>
              </w:rPr>
              <w:t>Nine Months Ended</w:t>
            </w:r>
          </w:p>
        </w:tc>
      </w:tr>
      <w:tr>
        <w:trPr>
          <w:trHeight w:val="173"/>
        </w:trPr>
        <w:tc>
          <w:tcPr>
            <w:tcW w:w="4760" w:type="dxa"/>
            <w:vAlign w:val="bottom"/>
          </w:tcPr>
          <w:p>
            <w:pPr>
              <w:spacing w:after="0"/>
              <w:rPr>
                <w:sz w:val="15"/>
                <w:szCs w:val="15"/>
                <w:color w:val="auto"/>
              </w:rPr>
            </w:pPr>
          </w:p>
        </w:tc>
        <w:tc>
          <w:tcPr>
            <w:tcW w:w="16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5"/>
                <w:szCs w:val="15"/>
                <w:color w:val="auto"/>
              </w:rPr>
            </w:pPr>
          </w:p>
        </w:tc>
        <w:tc>
          <w:tcPr>
            <w:tcW w:w="16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September 30, 2020</w:t>
            </w:r>
          </w:p>
        </w:tc>
      </w:tr>
      <w:tr>
        <w:trPr>
          <w:trHeight w:val="21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0"/>
        </w:trPr>
        <w:tc>
          <w:tcPr>
            <w:tcW w:w="47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7"/>
                <w:szCs w:val="17"/>
                <w:color w:val="auto"/>
              </w:rPr>
              <w:t>0.90 %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0.33 %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0.88 %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0.45 %</w:t>
            </w:r>
          </w:p>
        </w:tc>
      </w:tr>
      <w:tr>
        <w:trPr>
          <w:trHeight w:val="220"/>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r>
      <w:tr>
        <w:trPr>
          <w:trHeight w:val="220"/>
        </w:trPr>
        <w:tc>
          <w:tcPr>
            <w:tcW w:w="47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4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200" w:lineRule="exact"/>
        <w:rPr>
          <w:sz w:val="20"/>
          <w:szCs w:val="20"/>
          <w:color w:val="auto"/>
        </w:rPr>
      </w:pP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restricted stock unit activity for the nine months ended September 30, 2021 is as follows:</w:t>
      </w:r>
    </w:p>
    <w:p>
      <w:pPr>
        <w:spacing w:after="0" w:line="10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8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4"/>
                <w:szCs w:val="14"/>
                <w:color w:val="auto"/>
              </w:rPr>
            </w:pPr>
          </w:p>
        </w:tc>
        <w:tc>
          <w:tcPr>
            <w:tcW w:w="1720" w:type="dxa"/>
            <w:vAlign w:val="bottom"/>
          </w:tcPr>
          <w:p>
            <w:pPr>
              <w:ind w:left="660"/>
              <w:spacing w:after="0"/>
              <w:rPr>
                <w:sz w:val="20"/>
                <w:szCs w:val="20"/>
                <w:color w:val="auto"/>
              </w:rPr>
            </w:pPr>
            <w:r>
              <w:rPr>
                <w:rFonts w:ascii="Arial" w:cs="Arial" w:eastAsia="Arial" w:hAnsi="Arial"/>
                <w:sz w:val="14"/>
                <w:szCs w:val="14"/>
                <w:b w:val="1"/>
                <w:bCs w:val="1"/>
                <w:color w:val="auto"/>
                <w:w w:val="84"/>
              </w:rPr>
              <w:t>Weighted-Average</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5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5"/>
                <w:szCs w:val="15"/>
                <w:color w:val="auto"/>
              </w:rPr>
            </w:pPr>
          </w:p>
        </w:tc>
        <w:tc>
          <w:tcPr>
            <w:tcW w:w="17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4"/>
        </w:trPr>
        <w:tc>
          <w:tcPr>
            <w:tcW w:w="67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Restricted stock units outstanding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9,286</w:t>
            </w:r>
          </w:p>
        </w:tc>
        <w:tc>
          <w:tcPr>
            <w:tcW w:w="720" w:type="dxa"/>
            <w:vAlign w:val="bottom"/>
            <w:shd w:val="clear" w:color="auto" w:fill="CCEEFF"/>
          </w:tcPr>
          <w:p>
            <w:pPr>
              <w:spacing w:after="0"/>
              <w:rPr>
                <w:sz w:val="19"/>
                <w:szCs w:val="19"/>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tcPr>
          <w:p>
            <w:pPr>
              <w:ind w:left="64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2,816</w:t>
            </w:r>
          </w:p>
        </w:tc>
        <w:tc>
          <w:tcPr>
            <w:tcW w:w="720" w:type="dxa"/>
            <w:vAlign w:val="bottom"/>
          </w:tcPr>
          <w:p>
            <w:pPr>
              <w:spacing w:after="0"/>
              <w:rPr>
                <w:sz w:val="19"/>
                <w:szCs w:val="19"/>
                <w:color w:val="auto"/>
              </w:rPr>
            </w:pPr>
          </w:p>
        </w:tc>
        <w:tc>
          <w:tcPr>
            <w:tcW w:w="1720" w:type="dxa"/>
            <w:vAlign w:val="bottom"/>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Canceled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720" w:type="dxa"/>
            <w:vAlign w:val="bottom"/>
            <w:shd w:val="clear" w:color="auto" w:fill="CCEEFF"/>
          </w:tcPr>
          <w:p>
            <w:pPr>
              <w:spacing w:after="0"/>
              <w:rPr>
                <w:sz w:val="19"/>
                <w:szCs w:val="19"/>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Vested and released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(3,873)</w:t>
            </w:r>
          </w:p>
        </w:tc>
        <w:tc>
          <w:tcPr>
            <w:tcW w:w="7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Restricted stock units outstanding at September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7,450</w:t>
            </w:r>
          </w:p>
        </w:tc>
        <w:tc>
          <w:tcPr>
            <w:tcW w:w="7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7"/>
                <w:szCs w:val="17"/>
                <w:color w:val="auto"/>
              </w:rPr>
              <w:t>Restricted stock units outstanding and unvested*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192"/>
        </w:trPr>
        <w:tc>
          <w:tcPr>
            <w:tcW w:w="6700" w:type="dxa"/>
            <w:vAlign w:val="bottom"/>
            <w:vMerge w:val="continue"/>
          </w:tcPr>
          <w:p>
            <w:pPr>
              <w:spacing w:after="0"/>
              <w:rPr>
                <w:sz w:val="16"/>
                <w:szCs w:val="16"/>
                <w:color w:val="auto"/>
              </w:rPr>
            </w:pPr>
          </w:p>
        </w:tc>
        <w:tc>
          <w:tcPr>
            <w:tcW w:w="1580" w:type="dxa"/>
            <w:vAlign w:val="bottom"/>
          </w:tcPr>
          <w:p>
            <w:pPr>
              <w:jc w:val="right"/>
              <w:spacing w:after="0" w:line="192" w:lineRule="exact"/>
              <w:rPr>
                <w:sz w:val="20"/>
                <w:szCs w:val="20"/>
                <w:color w:val="auto"/>
              </w:rPr>
            </w:pPr>
            <w:r>
              <w:rPr>
                <w:rFonts w:ascii="Arial" w:cs="Arial" w:eastAsia="Arial" w:hAnsi="Arial"/>
                <w:sz w:val="17"/>
                <w:szCs w:val="17"/>
                <w:color w:val="auto"/>
              </w:rPr>
              <w:t>7,413</w:t>
            </w:r>
          </w:p>
        </w:tc>
        <w:tc>
          <w:tcPr>
            <w:tcW w:w="72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0</wp:posOffset>
            </wp:positionV>
            <wp:extent cx="6804660" cy="172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4660" cy="172720"/>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*At September 30, 2021, outstanding restricted stock units included 37,318 units that were vested but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60" w:firstLine="621"/>
        <w:spacing w:after="0" w:line="309" w:lineRule="auto"/>
        <w:rPr>
          <w:sz w:val="20"/>
          <w:szCs w:val="20"/>
          <w:color w:val="auto"/>
        </w:rPr>
      </w:pPr>
      <w:r>
        <w:rPr>
          <w:rFonts w:ascii="Arial" w:cs="Arial" w:eastAsia="Arial" w:hAnsi="Arial"/>
          <w:sz w:val="15"/>
          <w:szCs w:val="15"/>
          <w:color w:val="auto"/>
        </w:rPr>
        <w:t>The weighted-average grant date fair value per share of restricted stock units granted during the nine months ended September 30, 2021 was $38.54. The aggregate fair value of restricted stock units that vested during the nine months ended September 30, 2021 was $126.1 million. At September 30, 2021, the intrinsic value of nonvested restricted stock units was $208.6 million. At September 30, 2021, the Company had unrecognized stock-based compensation expense relating to unvested restricted stock units of approximately $112.0 million, which is expected to be recognized over a weighted-average period of 2.5 years.</w:t>
      </w:r>
    </w:p>
    <w:p>
      <w:pPr>
        <w:spacing w:after="0" w:line="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02" w:lineRule="exact"/>
        <w:rPr>
          <w:sz w:val="20"/>
          <w:szCs w:val="20"/>
          <w:color w:val="auto"/>
        </w:rPr>
      </w:pPr>
    </w:p>
    <w:p>
      <w:pPr>
        <w:ind w:right="100" w:firstLine="621"/>
        <w:spacing w:after="0" w:line="281" w:lineRule="auto"/>
        <w:rPr>
          <w:sz w:val="20"/>
          <w:szCs w:val="20"/>
          <w:color w:val="auto"/>
        </w:rPr>
      </w:pPr>
      <w:r>
        <w:rPr>
          <w:rFonts w:ascii="Arial" w:cs="Arial" w:eastAsia="Arial" w:hAnsi="Arial"/>
          <w:sz w:val="16"/>
          <w:szCs w:val="16"/>
          <w:color w:val="auto"/>
        </w:rPr>
        <w:t>In April 2020 and April 2021, the Company granted the Company's CEO 146,341 and 26,291 restricted stock units that vest based on certain stock price performance metrics with a fair value of $0.9 million and $1.4 million, respectively. The grant date fair value per share of restricted stock was $6.15 and $52.49, respectively, which was estimated using a Monte-Carlo lattice model. At September 30, 2021, the Company had unrecognized employee stock-based compensation expense for the April 2020 and April 2021 grants of approximately $0.5 million and $1.2 million, which is expected to be recognized over the remaining 1.5 years and 2.5 years, respectively. Between 0% and 150% of the performance stock units will vest on the third anniversary of its grant date.</w:t>
      </w:r>
    </w:p>
    <w:p>
      <w:pPr>
        <w:spacing w:after="0" w:line="48" w:lineRule="exact"/>
        <w:rPr>
          <w:sz w:val="20"/>
          <w:szCs w:val="20"/>
          <w:color w:val="auto"/>
        </w:rPr>
      </w:pPr>
    </w:p>
    <w:p>
      <w:pPr>
        <w:ind w:right="20" w:firstLine="621"/>
        <w:spacing w:after="0" w:line="301" w:lineRule="auto"/>
        <w:rPr>
          <w:sz w:val="20"/>
          <w:szCs w:val="20"/>
          <w:color w:val="auto"/>
        </w:rPr>
      </w:pPr>
      <w:r>
        <w:rPr>
          <w:rFonts w:ascii="Arial" w:cs="Arial" w:eastAsia="Arial" w:hAnsi="Arial"/>
          <w:sz w:val="15"/>
          <w:szCs w:val="15"/>
          <w:color w:val="auto"/>
        </w:rPr>
        <w:t>In August 2021, the Company granted the Company's CEO 379,635 restricted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21" w:lineRule="exact"/>
        <w:rPr>
          <w:sz w:val="20"/>
          <w:szCs w:val="20"/>
          <w:color w:val="auto"/>
        </w:rPr>
      </w:pPr>
    </w:p>
    <w:p>
      <w:pPr>
        <w:ind w:right="160" w:firstLine="621"/>
        <w:spacing w:after="0" w:line="261" w:lineRule="auto"/>
        <w:rPr>
          <w:sz w:val="20"/>
          <w:szCs w:val="20"/>
          <w:color w:val="auto"/>
        </w:rPr>
      </w:pPr>
      <w:r>
        <w:rPr>
          <w:rFonts w:ascii="Arial" w:cs="Arial" w:eastAsia="Arial" w:hAnsi="Arial"/>
          <w:sz w:val="17"/>
          <w:szCs w:val="17"/>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September 30, 2021, the Company had unrecognized employee stock-based compensation expense of approximately $2.9 million, $2.7 million, and $2.5 million, which is expected to be recognized over the remaining 2.9 years, 3.9 years, and 4.9 years, respectively. Between 0% and 100% of the performance stock units will vest on each of the tranche dates.</w:t>
      </w:r>
    </w:p>
    <w:p>
      <w:pPr>
        <w:spacing w:after="0" w:line="63" w:lineRule="exact"/>
        <w:rPr>
          <w:sz w:val="20"/>
          <w:szCs w:val="20"/>
          <w:color w:val="auto"/>
        </w:rPr>
      </w:pPr>
    </w:p>
    <w:p>
      <w:pPr>
        <w:ind w:right="460" w:firstLine="621"/>
        <w:spacing w:after="0" w:line="268" w:lineRule="auto"/>
        <w:rPr>
          <w:sz w:val="20"/>
          <w:szCs w:val="20"/>
          <w:color w:val="auto"/>
        </w:rPr>
      </w:pPr>
      <w:r>
        <w:rPr>
          <w:rFonts w:ascii="Arial" w:cs="Arial" w:eastAsia="Arial" w:hAnsi="Arial"/>
          <w:sz w:val="17"/>
          <w:szCs w:val="17"/>
          <w:color w:val="auto"/>
        </w:rPr>
        <w:t>During the three and nine months ended September 30, 2021, the Company recognized $0.4 million and $0.7 million, respectively, of stock-based compensation related to these performance stock units based on a performance measurement of 100%. The compensation expense will not be reversed if the performance metrics are not met.</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89"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63" w:lineRule="exact"/>
        <w:rPr>
          <w:sz w:val="20"/>
          <w:szCs w:val="20"/>
          <w:color w:val="auto"/>
        </w:rPr>
      </w:pPr>
    </w:p>
    <w:p>
      <w:pPr>
        <w:jc w:val="both"/>
        <w:ind w:right="260" w:firstLine="621"/>
        <w:spacing w:after="0" w:line="264" w:lineRule="auto"/>
        <w:rPr>
          <w:sz w:val="20"/>
          <w:szCs w:val="20"/>
          <w:color w:val="auto"/>
        </w:rPr>
      </w:pPr>
      <w:r>
        <w:rPr>
          <w:rFonts w:ascii="Arial" w:cs="Arial" w:eastAsia="Arial" w:hAnsi="Arial"/>
          <w:sz w:val="17"/>
          <w:szCs w:val="17"/>
          <w:color w:val="auto"/>
        </w:rPr>
        <w:t>As of September 30, 2021, the Company has reserved 3,068,352 shares of its common stock for issuance under the ESPP. The ESPP has an evergreen provision pursuant to which the share reserve will automatically increase on January 1st of each year in an amount equal to 1% of the total number of shares of capital stock outstanding on December 31st of the preceding calendar year, although the Company’s board of directors may provide for a lesser increase, or no increase, in any year.</w:t>
      </w:r>
    </w:p>
    <w:p>
      <w:pPr>
        <w:spacing w:after="0" w:line="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stock-based compensation expense recorded in the condensed consolidated statements of operations was as follows:</w:t>
      </w:r>
    </w:p>
    <w:p>
      <w:pPr>
        <w:spacing w:after="0" w:line="131" w:lineRule="exact"/>
        <w:rPr>
          <w:sz w:val="20"/>
          <w:szCs w:val="20"/>
          <w:color w:val="auto"/>
        </w:rPr>
      </w:pPr>
    </w:p>
    <w:p>
      <w:pPr>
        <w:ind w:left="6200"/>
        <w:spacing w:after="0"/>
        <w:tabs>
          <w:tab w:leader="none" w:pos="92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19050</wp:posOffset>
            </wp:positionV>
            <wp:extent cx="37128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1284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3" w:lineRule="exact"/>
        <w:rPr>
          <w:sz w:val="20"/>
          <w:szCs w:val="20"/>
          <w:color w:val="auto"/>
        </w:rPr>
      </w:pPr>
    </w:p>
    <w:p>
      <w:pPr>
        <w:ind w:left="5520"/>
        <w:spacing w:after="0"/>
        <w:tabs>
          <w:tab w:leader="none" w:pos="698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19050</wp:posOffset>
            </wp:positionV>
            <wp:extent cx="18237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3"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148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19050</wp:posOffset>
            </wp:positionV>
            <wp:extent cx="1823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p>
      <w:pPr>
        <w:sectPr>
          <w:pgSz w:w="11900" w:h="16838" w:orient="portrait"/>
          <w:cols w:equalWidth="0" w:num="2">
            <w:col w:w="8160" w:space="320"/>
            <w:col w:w="27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10,426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5,928</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5,469</w:t>
            </w: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7,935</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Merger, acquisition, and restructuring costs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1,554</w:t>
            </w: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7,350</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28,521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21,298</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81"/>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Arial" w:cs="Arial" w:eastAsia="Arial" w:hAnsi="Arial"/>
                <w:sz w:val="17"/>
                <w:szCs w:val="17"/>
                <w:color w:val="auto"/>
                <w:w w:val="94"/>
              </w:rPr>
              <w:t>23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9"/>
        </w:trPr>
        <w:tc>
          <w:tcPr>
            <w:tcW w:w="5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10—Income Taxes</w:t>
      </w:r>
    </w:p>
    <w:p>
      <w:pPr>
        <w:spacing w:after="0" w:line="95"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57" w:lineRule="exact"/>
        <w:rPr>
          <w:sz w:val="20"/>
          <w:szCs w:val="20"/>
          <w:color w:val="auto"/>
        </w:rPr>
      </w:pPr>
    </w:p>
    <w:p>
      <w:pPr>
        <w:ind w:right="680" w:firstLine="621"/>
        <w:spacing w:after="0" w:line="283" w:lineRule="auto"/>
        <w:rPr>
          <w:sz w:val="20"/>
          <w:szCs w:val="20"/>
          <w:color w:val="auto"/>
        </w:rPr>
      </w:pPr>
      <w:r>
        <w:rPr>
          <w:rFonts w:ascii="Arial" w:cs="Arial" w:eastAsia="Arial" w:hAnsi="Arial"/>
          <w:sz w:val="17"/>
          <w:szCs w:val="17"/>
          <w:color w:val="auto"/>
        </w:rPr>
        <w:t>The Company adopted ASU 2019-12, during the three months ended March 31, 2021. There was no material impact to the quarterly income tax provision.</w:t>
      </w:r>
    </w:p>
    <w:p>
      <w:pPr>
        <w:spacing w:after="0" w:line="43" w:lineRule="exact"/>
        <w:rPr>
          <w:sz w:val="20"/>
          <w:szCs w:val="20"/>
          <w:color w:val="auto"/>
        </w:rPr>
      </w:pPr>
    </w:p>
    <w:p>
      <w:pPr>
        <w:ind w:right="240" w:firstLine="621"/>
        <w:spacing w:after="0" w:line="293" w:lineRule="auto"/>
        <w:rPr>
          <w:sz w:val="20"/>
          <w:szCs w:val="20"/>
          <w:color w:val="auto"/>
        </w:rPr>
      </w:pPr>
      <w:r>
        <w:rPr>
          <w:rFonts w:ascii="Arial" w:cs="Arial" w:eastAsia="Arial" w:hAnsi="Arial"/>
          <w:sz w:val="15"/>
          <w:szCs w:val="15"/>
          <w:color w:val="auto"/>
        </w:rPr>
        <w:t>The Company recorded an income tax benefit of $4.7 million and expense of $0.4 million for the three months ended September 30, 2021 and 2020, respectively and an income tax benefit of $92.2 million and expense of $0.5 million for the nine months ended September 30, 2021 and 2020, respectively. The tax benefit for the three and nine months ended September 30, 2021 is primarily the result of the partial release of the domestic valuation allowance of</w:t>
      </w:r>
    </w:p>
    <w:p>
      <w:pPr>
        <w:spacing w:after="0" w:line="2"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color w:val="auto"/>
        </w:rPr>
        <w:t>$56.2 million related to the SpotX Acquisition, as well as the income tax benefit of a portion of the current year projected loss. The net deferred tax liabilities recorded in connection with the SpotX and SpringServe Acquisitions provided additional sources of taxable income to support the realizability of pre-existing deferred tax assets, and, as a result, the Company released a portion of its domestic valuation allowance and recognized a current benefit for a portion of the Company's projected losses. The Company continues to maintain a partial valuation allowance for the domestic deferred tax assets.</w:t>
      </w:r>
    </w:p>
    <w:p>
      <w:pPr>
        <w:spacing w:after="0" w:line="37" w:lineRule="exact"/>
        <w:rPr>
          <w:sz w:val="20"/>
          <w:szCs w:val="20"/>
          <w:color w:val="auto"/>
        </w:rPr>
      </w:pPr>
    </w:p>
    <w:p>
      <w:pPr>
        <w:ind w:right="100" w:firstLine="621"/>
        <w:spacing w:after="0" w:line="297" w:lineRule="auto"/>
        <w:rPr>
          <w:sz w:val="20"/>
          <w:szCs w:val="20"/>
          <w:color w:val="auto"/>
        </w:rPr>
      </w:pPr>
      <w:r>
        <w:rPr>
          <w:rFonts w:ascii="Arial" w:cs="Arial" w:eastAsia="Arial" w:hAnsi="Arial"/>
          <w:sz w:val="15"/>
          <w:szCs w:val="15"/>
          <w:color w:val="auto"/>
        </w:rPr>
        <w:t>On March 11, 2021, the U.S. President signed into law the American Rescue Plan Act of 2021 ("ARP Act")—a $1.9 trillion coronavirus disease 2019 ("COVID-19") relief package. The ARP Act had limited income tax provisions. The Company has determined that the ARP Act will not have a material impact on the Company for the year ended December 31, 2021. On March 27, 2020, the U.S. President signed into law the Coronavirus Aid, Relief, and Economic Security Act ("CARES Act"), in response to the COVID-19 pandemic. The CARES Act is meant to infuse negatively affected companies with various tax cash benefits to ease the impact of the COVID-19 pandemic. The CARES Act, among other things, includes provisions relating to refundable payroll tax credits, deferment of employer-side social security payments, and net operating loss carryback periods. The Company has determined the tax implications of the CARES Act will not be material. In addition, various foreign jurisdictions where the Company has activity have enacted or are considering enacting a variety of measures that could impact our tax liabilities. The Company is monitoring new legislation and evaluating the potential tax implications of these measures globally.</w:t>
      </w:r>
    </w:p>
    <w:p>
      <w:pPr>
        <w:spacing w:after="0" w:line="39"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Due to uncertainty as to the realization of benefits from the Company's domestic and certain international deferred tax assets, including net operating loss carryforwards and research and development tax credits, the Company has a partial valuation allowance reserved against such assets. The Company intends to continue to maintain a partial valuation allowance on the deferred tax assets until there is sufficient evidence to support the reversal of all or some additional portion of these allowances.</w:t>
      </w:r>
    </w:p>
    <w:p>
      <w:pPr>
        <w:spacing w:after="0" w:line="58" w:lineRule="exact"/>
        <w:rPr>
          <w:sz w:val="20"/>
          <w:szCs w:val="20"/>
          <w:color w:val="auto"/>
        </w:rPr>
      </w:pPr>
    </w:p>
    <w:p>
      <w:pPr>
        <w:ind w:right="120" w:firstLine="621"/>
        <w:spacing w:after="0" w:line="260" w:lineRule="auto"/>
        <w:rPr>
          <w:sz w:val="20"/>
          <w:szCs w:val="20"/>
          <w:color w:val="auto"/>
        </w:rPr>
      </w:pPr>
      <w:r>
        <w:rPr>
          <w:rFonts w:ascii="Arial" w:cs="Arial" w:eastAsia="Arial" w:hAnsi="Arial"/>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was under examination by the IRS, which was closed during the period ended June 30, 2021 with no change to tax as reported.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49"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federal research and development carryforward tax credits will not be recovered prior to expiration.</w:t>
      </w:r>
    </w:p>
    <w:p>
      <w:pPr>
        <w:spacing w:after="0" w:line="49" w:lineRule="exact"/>
        <w:rPr>
          <w:sz w:val="20"/>
          <w:szCs w:val="20"/>
          <w:color w:val="auto"/>
        </w:rPr>
      </w:pPr>
    </w:p>
    <w:p>
      <w:pPr>
        <w:ind w:right="40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nine months ended September 30, 2021 and the Company does not expect to have any material changes to unrecognized tax benefits through the end of the fiscal year.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11—Lease Obligations</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the three months ended September 30, 2021 and 2020, the Company recognized $4.9 million and $3.7 million, respectively, and $15.7 million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$9.7 million during the nine months ended September 30, 2021 and 2020, respectively, of lease expense under ASC 842, which included operating lease expenses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leases included in the lease liability and ROU asset on the condensed consolidated balance sheet. In addition,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 the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Company recognized $0.4 million and $0.4 million, respectively, and $1.0 million and $0.8 million during the nine months ended September 30, 2021 and 2020, respectively, of lease expense related to short-term leases, and $9.9 million and $5.6 million during the three months ended September 30, 2021 and 2020, respectively, and $24.6 million and $14.0 million during the nine months ended September 30, 2021 and 2020, respectively, of variable and cloud-based services related to data centers that are not included in the ROU asset or lease liability balances. As part of restructuring activities associated with the SpotX Acquisition, during the nine months ended September 30, 2021, the Company recognized $2.5 million of lease related loss contracts, which is included in the lease expense under ASC 842.</w:t>
      </w:r>
    </w:p>
    <w:p>
      <w:pPr>
        <w:spacing w:after="0" w:line="49" w:lineRule="exact"/>
        <w:rPr>
          <w:sz w:val="20"/>
          <w:szCs w:val="20"/>
          <w:color w:val="auto"/>
        </w:rPr>
      </w:pPr>
    </w:p>
    <w:p>
      <w:pPr>
        <w:ind w:right="140" w:firstLine="621"/>
        <w:spacing w:after="0" w:line="268" w:lineRule="auto"/>
        <w:rPr>
          <w:sz w:val="20"/>
          <w:szCs w:val="20"/>
          <w:color w:val="auto"/>
        </w:rPr>
      </w:pPr>
      <w:r>
        <w:rPr>
          <w:rFonts w:ascii="Arial" w:cs="Arial" w:eastAsia="Arial" w:hAnsi="Arial"/>
          <w:sz w:val="17"/>
          <w:szCs w:val="17"/>
          <w:color w:val="auto"/>
        </w:rPr>
        <w:t>The Company also received rental income of $1.0 million and $1.2 million for real estate leases for which it subleases the property to third parties during the three months ended September 30, 2021 and 2020, respectively and $3.3 million and $2.5 million for the nine months ended September 30, 2021 and 2020, respectively.</w:t>
      </w:r>
    </w:p>
    <w:p>
      <w:pPr>
        <w:spacing w:after="0" w:line="57" w:lineRule="exact"/>
        <w:rPr>
          <w:sz w:val="20"/>
          <w:szCs w:val="20"/>
          <w:color w:val="auto"/>
        </w:rPr>
      </w:pPr>
    </w:p>
    <w:p>
      <w:pPr>
        <w:jc w:val="both"/>
        <w:ind w:right="220" w:firstLine="621"/>
        <w:spacing w:after="0" w:line="293" w:lineRule="auto"/>
        <w:rPr>
          <w:sz w:val="20"/>
          <w:szCs w:val="20"/>
          <w:color w:val="auto"/>
        </w:rPr>
      </w:pPr>
      <w:r>
        <w:rPr>
          <w:rFonts w:ascii="Arial" w:cs="Arial" w:eastAsia="Arial" w:hAnsi="Arial"/>
          <w:sz w:val="16"/>
          <w:szCs w:val="16"/>
          <w:color w:val="auto"/>
        </w:rPr>
        <w:t>As of September 30, 2021, a weighted average discount rate of 5.05%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6.34 years as of September 30, 2021.</w:t>
      </w:r>
    </w:p>
    <w:p>
      <w:pPr>
        <w:spacing w:after="0" w:line="38" w:lineRule="exact"/>
        <w:rPr>
          <w:sz w:val="20"/>
          <w:szCs w:val="20"/>
          <w:color w:val="auto"/>
        </w:rPr>
      </w:pPr>
    </w:p>
    <w:p>
      <w:pPr>
        <w:ind w:right="280" w:firstLine="621"/>
        <w:spacing w:after="0" w:line="283" w:lineRule="auto"/>
        <w:rPr>
          <w:sz w:val="20"/>
          <w:szCs w:val="20"/>
          <w:color w:val="auto"/>
        </w:rPr>
      </w:pPr>
      <w:r>
        <w:rPr>
          <w:rFonts w:ascii="Arial" w:cs="Arial" w:eastAsia="Arial" w:hAnsi="Arial"/>
          <w:sz w:val="17"/>
          <w:szCs w:val="17"/>
          <w:color w:val="auto"/>
        </w:rPr>
        <w:t>The maturity of the Company's lease liabilities associated with leases included in the lease liability and ROU asset were as follows as of September 30, 2021 (in thousands):</w:t>
      </w:r>
    </w:p>
    <w:p>
      <w:pPr>
        <w:spacing w:after="0" w:line="4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8640" w:type="dxa"/>
            <w:vAlign w:val="bottom"/>
          </w:tcPr>
          <w:p>
            <w:pPr>
              <w:ind w:left="640"/>
              <w:spacing w:after="0"/>
              <w:rPr>
                <w:sz w:val="20"/>
                <w:szCs w:val="20"/>
                <w:color w:val="auto"/>
              </w:rPr>
            </w:pPr>
            <w:r>
              <w:rPr>
                <w:rFonts w:ascii="Arial" w:cs="Arial" w:eastAsia="Arial" w:hAnsi="Arial"/>
                <w:sz w:val="16"/>
                <w:szCs w:val="16"/>
                <w:b w:val="1"/>
                <w:bCs w:val="1"/>
                <w:color w:val="auto"/>
              </w:rPr>
              <w:t>Fiscal Year</w:t>
            </w: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3"/>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Remaining 2021</w:t>
            </w:r>
          </w:p>
        </w:tc>
        <w:tc>
          <w:tcPr>
            <w:tcW w:w="11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w:t>
            </w:r>
          </w:p>
        </w:tc>
      </w:tr>
      <w:tr>
        <w:trPr>
          <w:trHeight w:val="220"/>
        </w:trPr>
        <w:tc>
          <w:tcPr>
            <w:tcW w:w="8640" w:type="dxa"/>
            <w:vAlign w:val="bottom"/>
          </w:tcPr>
          <w:p>
            <w:pPr>
              <w:ind w:left="640"/>
              <w:spacing w:after="0"/>
              <w:rPr>
                <w:sz w:val="20"/>
                <w:szCs w:val="20"/>
                <w:color w:val="auto"/>
              </w:rPr>
            </w:pPr>
            <w:r>
              <w:rPr>
                <w:rFonts w:ascii="Arial" w:cs="Arial" w:eastAsia="Arial" w:hAnsi="Arial"/>
                <w:sz w:val="17"/>
                <w:szCs w:val="17"/>
                <w:color w:val="auto"/>
              </w:rPr>
              <w:t>2022</w:t>
            </w:r>
          </w:p>
        </w:tc>
        <w:tc>
          <w:tcPr>
            <w:tcW w:w="1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18,645</w:t>
            </w:r>
          </w:p>
        </w:tc>
      </w:tr>
      <w:tr>
        <w:trPr>
          <w:trHeight w:val="220"/>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2023</w:t>
            </w: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15,193</w:t>
            </w:r>
          </w:p>
        </w:tc>
      </w:tr>
      <w:tr>
        <w:trPr>
          <w:trHeight w:val="220"/>
        </w:trPr>
        <w:tc>
          <w:tcPr>
            <w:tcW w:w="8640" w:type="dxa"/>
            <w:vAlign w:val="bottom"/>
          </w:tcPr>
          <w:p>
            <w:pPr>
              <w:ind w:left="640"/>
              <w:spacing w:after="0"/>
              <w:rPr>
                <w:sz w:val="20"/>
                <w:szCs w:val="20"/>
                <w:color w:val="auto"/>
              </w:rPr>
            </w:pPr>
            <w:r>
              <w:rPr>
                <w:rFonts w:ascii="Arial" w:cs="Arial" w:eastAsia="Arial" w:hAnsi="Arial"/>
                <w:sz w:val="17"/>
                <w:szCs w:val="17"/>
                <w:color w:val="auto"/>
              </w:rPr>
              <w:t>2024</w:t>
            </w:r>
          </w:p>
        </w:tc>
        <w:tc>
          <w:tcPr>
            <w:tcW w:w="1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12,868</w:t>
            </w:r>
          </w:p>
        </w:tc>
      </w:tr>
      <w:tr>
        <w:trPr>
          <w:trHeight w:val="220"/>
        </w:trPr>
        <w:tc>
          <w:tcPr>
            <w:tcW w:w="86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2025</w:t>
            </w:r>
          </w:p>
        </w:tc>
        <w:tc>
          <w:tcPr>
            <w:tcW w:w="1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7,286</w:t>
            </w:r>
          </w:p>
        </w:tc>
      </w:tr>
      <w:tr>
        <w:trPr>
          <w:trHeight w:val="220"/>
        </w:trPr>
        <w:tc>
          <w:tcPr>
            <w:tcW w:w="8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Thereafter</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25,921</w:t>
            </w:r>
          </w:p>
        </w:tc>
      </w:tr>
      <w:tr>
        <w:trPr>
          <w:trHeight w:val="213"/>
        </w:trPr>
        <w:tc>
          <w:tcPr>
            <w:tcW w:w="86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lease payments (undiscounted)</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84,006</w:t>
            </w:r>
          </w:p>
        </w:tc>
      </w:tr>
      <w:tr>
        <w:trPr>
          <w:trHeight w:val="220"/>
        </w:trPr>
        <w:tc>
          <w:tcPr>
            <w:tcW w:w="86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Less: imputed interest</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(12,974</w:t>
            </w:r>
          </w:p>
        </w:tc>
      </w:tr>
      <w:tr>
        <w:trPr>
          <w:trHeight w:val="238"/>
        </w:trPr>
        <w:tc>
          <w:tcPr>
            <w:tcW w:w="86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rPr>
              <w:t>Lease liabilities—total (discounted)</w:t>
            </w:r>
          </w:p>
        </w:tc>
        <w:tc>
          <w:tcPr>
            <w:tcW w:w="11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71,032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12—Commitments and Contingencies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has commitments under non-cancelable operating leases for facilities, certain equipment, and its managed data center facilities (Note 11).</w:t>
      </w:r>
    </w:p>
    <w:p>
      <w:pPr>
        <w:spacing w:after="0" w:line="112" w:lineRule="exact"/>
        <w:rPr>
          <w:sz w:val="20"/>
          <w:szCs w:val="20"/>
          <w:color w:val="auto"/>
        </w:rPr>
      </w:pPr>
    </w:p>
    <w:p>
      <w:pPr>
        <w:ind w:right="520" w:firstLine="621"/>
        <w:spacing w:after="0" w:line="283" w:lineRule="auto"/>
        <w:rPr>
          <w:sz w:val="20"/>
          <w:szCs w:val="20"/>
          <w:color w:val="auto"/>
        </w:rPr>
      </w:pPr>
      <w:r>
        <w:rPr>
          <w:rFonts w:ascii="Arial" w:cs="Arial" w:eastAsia="Arial" w:hAnsi="Arial"/>
          <w:sz w:val="17"/>
          <w:szCs w:val="17"/>
          <w:color w:val="auto"/>
        </w:rPr>
        <w:t>As of September 30, 2021 and December 31, 2020, the Company had $5.1 million and $6.3 million, respectively, of letters of credit associated with office leases available for borrowing, on which there were no outstanding borrowings as of either date.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Guarantees and Indemnification</w:t>
      </w:r>
    </w:p>
    <w:p>
      <w:pPr>
        <w:spacing w:after="0" w:line="89" w:lineRule="exact"/>
        <w:rPr>
          <w:sz w:val="20"/>
          <w:szCs w:val="20"/>
          <w:color w:val="auto"/>
        </w:rPr>
      </w:pPr>
    </w:p>
    <w:p>
      <w:pPr>
        <w:ind w:right="120" w:firstLine="169"/>
        <w:spacing w:after="0" w:line="273" w:lineRule="auto"/>
        <w:rPr>
          <w:sz w:val="20"/>
          <w:szCs w:val="20"/>
          <w:color w:val="auto"/>
        </w:rPr>
      </w:pPr>
      <w:r>
        <w:rPr>
          <w:rFonts w:ascii="Arial" w:cs="Arial" w:eastAsia="Arial" w:hAnsi="Arial"/>
          <w:sz w:val="16"/>
          <w:szCs w:val="16"/>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Litigation</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20" w:firstLine="621"/>
        <w:spacing w:after="0" w:line="276"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September 30, 2021. However, based on management’s knowledge as of September 30, 2021,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Employment Contracts</w:t>
      </w:r>
    </w:p>
    <w:p>
      <w:pPr>
        <w:spacing w:after="0" w:line="102"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13—SVB Loan Agreement</w:t>
      </w:r>
    </w:p>
    <w:p>
      <w:pPr>
        <w:spacing w:after="0" w:line="199" w:lineRule="exact"/>
        <w:rPr>
          <w:sz w:val="20"/>
          <w:szCs w:val="20"/>
          <w:color w:val="auto"/>
        </w:rPr>
      </w:pPr>
    </w:p>
    <w:p>
      <w:pPr>
        <w:ind w:firstLine="621"/>
        <w:spacing w:after="0" w:line="260" w:lineRule="auto"/>
        <w:rPr>
          <w:sz w:val="20"/>
          <w:szCs w:val="20"/>
          <w:color w:val="auto"/>
        </w:rPr>
      </w:pPr>
      <w:r>
        <w:rPr>
          <w:rFonts w:ascii="Arial" w:cs="Arial" w:eastAsia="Arial" w:hAnsi="Arial"/>
          <w:sz w:val="17"/>
          <w:szCs w:val="17"/>
          <w:color w:val="auto"/>
        </w:rPr>
        <w:t>On September 25, 2020, the Company amended and restated its loan and security agreement with Silicon Valley Bank ("SVB") (the "Loan Agreement"), which was scheduled to expire on September 26, 2020. The Loan Agreement provided a senior secured revolving credit facility of up to the lesser of $60.0 million and 85% of eligible accounts receivable, with a maturity date of September 25, 2022. The Loan Agreement included a letter of credit, foreign exchange and cash management facility with a sublimit up to $10.0 million. On April 30, 2021, the Company entered into the Credit Agreement, as defined in Note 15. In connection with entering into the Credit Agreement, the Loan Agreement with SVB was terminated on April 30, 2021. As of April 30, 2021, there were no amounts outstanding under the Loan Agreement.</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14—Convertible Senior Notes and Capped Call Transactions</w:t>
      </w:r>
    </w:p>
    <w:p>
      <w:pPr>
        <w:spacing w:after="0" w:line="108" w:lineRule="exact"/>
        <w:rPr>
          <w:sz w:val="20"/>
          <w:szCs w:val="20"/>
          <w:color w:val="auto"/>
        </w:rPr>
      </w:pPr>
    </w:p>
    <w:p>
      <w:pPr>
        <w:jc w:val="both"/>
        <w:ind w:right="340" w:firstLine="621"/>
        <w:spacing w:after="0" w:line="281" w:lineRule="auto"/>
        <w:rPr>
          <w:sz w:val="20"/>
          <w:szCs w:val="20"/>
          <w:color w:val="auto"/>
        </w:rPr>
      </w:pPr>
      <w:r>
        <w:rPr>
          <w:rFonts w:ascii="Arial" w:cs="Arial" w:eastAsia="Arial" w:hAnsi="Arial"/>
          <w:sz w:val="16"/>
          <w:szCs w:val="16"/>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 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35" w:lineRule="exact"/>
        <w:rPr>
          <w:sz w:val="20"/>
          <w:szCs w:val="20"/>
          <w:color w:val="auto"/>
        </w:rPr>
      </w:pPr>
    </w:p>
    <w:p>
      <w:pPr>
        <w:ind w:right="260" w:firstLine="621"/>
        <w:spacing w:after="0" w:line="260" w:lineRule="auto"/>
        <w:rPr>
          <w:sz w:val="20"/>
          <w:szCs w:val="20"/>
          <w:color w:val="auto"/>
        </w:rPr>
      </w:pPr>
      <w:r>
        <w:rPr>
          <w:rFonts w:ascii="Arial" w:cs="Arial" w:eastAsia="Arial" w:hAnsi="Arial"/>
          <w:sz w:val="17"/>
          <w:szCs w:val="17"/>
          <w:color w:val="auto"/>
        </w:rPr>
        <w:t>The Convertible Senior Notes are senior, unsecured obligations and (i) will be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Existing Loan Agreement or our New Credit Facilities (see Note 15);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62" w:lineRule="exact"/>
        <w:rPr>
          <w:sz w:val="20"/>
          <w:szCs w:val="20"/>
          <w:color w:val="auto"/>
        </w:rPr>
      </w:pPr>
    </w:p>
    <w:p>
      <w:pPr>
        <w:ind w:right="40" w:firstLine="621"/>
        <w:spacing w:after="0" w:line="293" w:lineRule="auto"/>
        <w:rPr>
          <w:sz w:val="20"/>
          <w:szCs w:val="20"/>
          <w:color w:val="auto"/>
        </w:rPr>
      </w:pPr>
      <w:r>
        <w:rPr>
          <w:rFonts w:ascii="Arial" w:cs="Arial" w:eastAsia="Arial" w:hAnsi="Arial"/>
          <w:sz w:val="16"/>
          <w:szCs w:val="16"/>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38" w:lineRule="exact"/>
        <w:rPr>
          <w:sz w:val="20"/>
          <w:szCs w:val="20"/>
          <w:color w:val="auto"/>
        </w:rPr>
      </w:pPr>
    </w:p>
    <w:p>
      <w:pPr>
        <w:ind w:right="60" w:firstLine="621"/>
        <w:spacing w:after="0" w:line="257" w:lineRule="auto"/>
        <w:rPr>
          <w:sz w:val="20"/>
          <w:szCs w:val="20"/>
          <w:color w:val="auto"/>
        </w:rPr>
      </w:pPr>
      <w:r>
        <w:rPr>
          <w:rFonts w:ascii="Arial" w:cs="Arial" w:eastAsia="Arial" w:hAnsi="Arial"/>
          <w:sz w:val="17"/>
          <w:szCs w:val="17"/>
          <w:color w:val="auto"/>
        </w:rPr>
        <w:t>Holders will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conditions.at any time from, and including, September 15, 2025 until the close of business on the second scheduled trading day immediately before the maturity date.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45" w:lineRule="exact"/>
        <w:rPr>
          <w:sz w:val="20"/>
          <w:szCs w:val="20"/>
          <w:color w:val="auto"/>
        </w:rPr>
      </w:pPr>
    </w:p>
    <w:p>
      <w:pPr>
        <w:ind w:firstLine="621"/>
        <w:spacing w:after="0" w:line="274" w:lineRule="auto"/>
        <w:rPr>
          <w:sz w:val="20"/>
          <w:szCs w:val="20"/>
          <w:color w:val="auto"/>
        </w:rPr>
      </w:pPr>
      <w:r>
        <w:rPr>
          <w:rFonts w:ascii="Arial" w:cs="Arial" w:eastAsia="Arial" w:hAnsi="Arial"/>
          <w:sz w:val="16"/>
          <w:szCs w:val="16"/>
          <w:color w:val="auto"/>
        </w:rPr>
        <w:t>The Company may not redeem the Convertible Senior Notes at their option at any time before March 20, 2024. Subject to the terms of the indenture,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54"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Magnite distributes the related fundamental change notice.</w:t>
      </w:r>
    </w:p>
    <w:p>
      <w:pPr>
        <w:spacing w:after="0" w:line="57" w:lineRule="exact"/>
        <w:rPr>
          <w:sz w:val="20"/>
          <w:szCs w:val="20"/>
          <w:color w:val="auto"/>
        </w:rPr>
      </w:pPr>
    </w:p>
    <w:p>
      <w:pPr>
        <w:ind w:right="40" w:firstLine="621"/>
        <w:spacing w:after="0" w:line="259" w:lineRule="auto"/>
        <w:rPr>
          <w:sz w:val="20"/>
          <w:szCs w:val="20"/>
          <w:color w:val="auto"/>
        </w:rPr>
      </w:pPr>
      <w:r>
        <w:rPr>
          <w:rFonts w:ascii="Arial" w:cs="Arial" w:eastAsia="Arial" w:hAnsi="Arial"/>
          <w:sz w:val="17"/>
          <w:szCs w:val="17"/>
          <w:color w:val="auto"/>
        </w:rPr>
        <w:t>If an event of default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an event of default described below with respect to Magnite or any guarantor and not solely with respect to a significant subsidiary of the Company’s or a guarantor, other than the Company or such guarantor) occurs and is continuing, then, except as described below under the caption —Special interest as sole remedy for certain reporting defaults, the trustee, by notice to the Company, or noteholders of at least 25% of the aggregate principal amount of notes then outstanding, by written notice to us and the trustee, may declare the principal amount of, and all accrued and unpaid interest on, all of the notes then outstanding to become due and payable immediately.</w:t>
      </w:r>
    </w:p>
    <w:p>
      <w:pPr>
        <w:spacing w:after="0" w:line="50" w:lineRule="exact"/>
        <w:rPr>
          <w:sz w:val="20"/>
          <w:szCs w:val="20"/>
          <w:color w:val="auto"/>
        </w:rPr>
      </w:pPr>
    </w:p>
    <w:p>
      <w:pPr>
        <w:ind w:right="140" w:firstLine="621"/>
        <w:spacing w:after="0" w:line="283" w:lineRule="auto"/>
        <w:rPr>
          <w:sz w:val="20"/>
          <w:szCs w:val="20"/>
          <w:color w:val="auto"/>
        </w:rPr>
      </w:pPr>
      <w:r>
        <w:rPr>
          <w:rFonts w:ascii="Arial" w:cs="Arial" w:eastAsia="Arial" w:hAnsi="Arial"/>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43" w:lineRule="exact"/>
        <w:rPr>
          <w:sz w:val="20"/>
          <w:szCs w:val="20"/>
          <w:color w:val="auto"/>
        </w:rPr>
      </w:pPr>
    </w:p>
    <w:p>
      <w:pPr>
        <w:ind w:right="20" w:firstLine="621"/>
        <w:spacing w:after="0" w:line="274" w:lineRule="auto"/>
        <w:rPr>
          <w:sz w:val="20"/>
          <w:szCs w:val="20"/>
          <w:color w:val="auto"/>
        </w:rPr>
      </w:pPr>
      <w:r>
        <w:rPr>
          <w:rFonts w:ascii="Arial" w:cs="Arial" w:eastAsia="Arial" w:hAnsi="Arial"/>
          <w:sz w:val="16"/>
          <w:szCs w:val="16"/>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57" w:lineRule="exact"/>
        <w:rPr>
          <w:sz w:val="20"/>
          <w:szCs w:val="20"/>
          <w:color w:val="auto"/>
        </w:rPr>
      </w:pPr>
    </w:p>
    <w:p>
      <w:pPr>
        <w:ind w:right="80" w:firstLine="621"/>
        <w:spacing w:after="0" w:line="259" w:lineRule="auto"/>
        <w:rPr>
          <w:sz w:val="20"/>
          <w:szCs w:val="20"/>
          <w:color w:val="auto"/>
        </w:rPr>
      </w:pPr>
      <w:r>
        <w:rPr>
          <w:rFonts w:ascii="Arial" w:cs="Arial" w:eastAsia="Arial" w:hAnsi="Arial"/>
          <w:sz w:val="17"/>
          <w:szCs w:val="17"/>
          <w:color w:val="auto"/>
        </w:rPr>
        <w:t>As noted in Note 1, the Company early adopted ASU 2020-06 effective January 1, 2021. The Company has not elected the fair value option, the embedded conversion features are not required to be bifurcated under the accounting guidance, and the convertible debt was not issued with a substantial premium. As such, the Company accounted for the Convertible Senior Notes as a liability in its entirety. Under the guidance, all the embedded features of the Convertible Senior Notes met the definition of a derivative. These features included a contingent call option, contingent put options, and conversion features. The contingent call option and contingent put options are clearly and closely related to the debt host and, therefore, do not require bifurcation. As the conversion features are indexed to the Company’s own equity and would be equity classified if they were freestanding instruments, the scope exception in ASC 815-10-15-74(a) applies and these conversion features will not be bifurcated under ASC 815.</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The new accounting guidance also eliminated the bifurcation models of ASC 470-20 and eliminated the treasury method approach to earnings per share. Accordingly, earnings per share on convertible debt instruments should only be calculated under the If-Converted method. Under the guidance above, the Company will assume settlement in shares.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Convertible Senior Notes at September 30, 2021: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19"/>
              <w:spacing w:after="0"/>
              <w:rPr>
                <w:sz w:val="20"/>
                <w:szCs w:val="20"/>
                <w:color w:val="auto"/>
              </w:rPr>
            </w:pPr>
            <w:r>
              <w:rPr>
                <w:rFonts w:ascii="Arial" w:cs="Arial" w:eastAsia="Arial" w:hAnsi="Arial"/>
                <w:sz w:val="16"/>
                <w:szCs w:val="16"/>
                <w:b w:val="1"/>
                <w:bCs w:val="1"/>
                <w:color w:val="auto"/>
                <w:w w:val="85"/>
              </w:rPr>
              <w:t>September 30, 2021</w:t>
            </w:r>
          </w:p>
        </w:tc>
      </w:tr>
      <w:tr>
        <w:trPr>
          <w:trHeight w:val="185"/>
        </w:trPr>
        <w:tc>
          <w:tcPr>
            <w:tcW w:w="8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19"/>
              <w:spacing w:after="0"/>
              <w:rPr>
                <w:sz w:val="20"/>
                <w:szCs w:val="20"/>
                <w:color w:val="auto"/>
              </w:rPr>
            </w:pPr>
            <w:r>
              <w:rPr>
                <w:rFonts w:ascii="Arial" w:cs="Arial" w:eastAsia="Arial" w:hAnsi="Arial"/>
                <w:sz w:val="14"/>
                <w:szCs w:val="14"/>
                <w:b w:val="1"/>
                <w:bCs w:val="1"/>
                <w:color w:val="auto"/>
                <w:w w:val="87"/>
              </w:rPr>
              <w:t>(in thousands)</w:t>
            </w: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shd w:val="clear" w:color="auto" w:fill="CCEEFF"/>
          </w:tcPr>
          <w:p>
            <w:pPr>
              <w:ind w:left="1360"/>
              <w:spacing w:after="0"/>
              <w:rPr>
                <w:sz w:val="20"/>
                <w:szCs w:val="20"/>
                <w:color w:val="auto"/>
              </w:rPr>
            </w:pPr>
            <w:r>
              <w:rPr>
                <w:rFonts w:ascii="Arial" w:cs="Arial" w:eastAsia="Arial" w:hAnsi="Arial"/>
                <w:sz w:val="17"/>
                <w:szCs w:val="17"/>
                <w:color w:val="auto"/>
                <w:w w:val="97"/>
              </w:rPr>
              <w:t>400,000</w:t>
            </w:r>
          </w:p>
        </w:tc>
      </w:tr>
      <w:tr>
        <w:trPr>
          <w:trHeight w:val="22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Unamortized debt issuance costs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w w:val="94"/>
              </w:rPr>
              <w:t>(10,215)</w:t>
            </w:r>
          </w:p>
        </w:tc>
      </w:tr>
      <w:tr>
        <w:trPr>
          <w:trHeight w:val="23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Debt, non-current, net of debt issuance costs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7"/>
                <w:szCs w:val="17"/>
                <w:color w:val="auto"/>
                <w:w w:val="97"/>
              </w:rPr>
              <w:t>389,785</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The Company incurred debt issuance costs of $11.4 million in March 2021. The Convertible Senior Notes are presented net of issuance costs on the Company's condensed consolidated balance sheet. The debt issuance costs are amortized on an effective interest basis over the term of the Convertible Senior Notes and are included in interest expense and amortization of debt discount in the accompanying condensed consolidated statements of operations. The following table sets forth interest expense related to the Convertible Senior Notes for the three and nine months ended September 30, 2021:</w:t>
      </w:r>
    </w:p>
    <w:p>
      <w:pPr>
        <w:spacing w:after="0" w:line="69" w:lineRule="exact"/>
        <w:rPr>
          <w:sz w:val="20"/>
          <w:szCs w:val="20"/>
          <w:color w:val="auto"/>
        </w:rPr>
      </w:pPr>
    </w:p>
    <w:p>
      <w:pPr>
        <w:jc w:val="center"/>
        <w:ind w:left="7620"/>
        <w:spacing w:after="0"/>
        <w:rPr>
          <w:sz w:val="20"/>
          <w:szCs w:val="20"/>
          <w:color w:val="auto"/>
        </w:rPr>
      </w:pPr>
      <w:r>
        <w:rPr>
          <w:rFonts w:ascii="Arial" w:cs="Arial" w:eastAsia="Arial" w:hAnsi="Arial"/>
          <w:sz w:val="16"/>
          <w:szCs w:val="16"/>
          <w:b w:val="1"/>
          <w:bCs w:val="1"/>
          <w:color w:val="auto"/>
        </w:rPr>
        <w:t>September 30, 2021</w:t>
      </w:r>
    </w:p>
    <w:p>
      <w:pPr>
        <w:spacing w:after="0" w:line="18" w:lineRule="exact"/>
        <w:rPr>
          <w:sz w:val="20"/>
          <w:szCs w:val="20"/>
          <w:color w:val="auto"/>
        </w:rPr>
      </w:pPr>
    </w:p>
    <w:p>
      <w:pPr>
        <w:ind w:left="7920"/>
        <w:spacing w:after="0"/>
        <w:tabs>
          <w:tab w:leader="none" w:pos="97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16"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3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Contractual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interest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Pr>
          <w:p>
            <w:pPr>
              <w:jc w:val="right"/>
              <w:ind w:right="6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250</w:t>
            </w:r>
          </w:p>
        </w:tc>
        <w:tc>
          <w:tcPr>
            <w:tcW w:w="66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536</w:t>
            </w:r>
          </w:p>
        </w:tc>
      </w:tr>
      <w:tr>
        <w:trPr>
          <w:trHeight w:val="220"/>
        </w:trPr>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1,227</w:t>
            </w:r>
          </w:p>
        </w:tc>
      </w:tr>
      <w:tr>
        <w:trPr>
          <w:trHeight w:val="213"/>
        </w:trPr>
        <w:tc>
          <w:tcPr>
            <w:tcW w:w="8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w:t>
            </w: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1,763</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-180340</wp:posOffset>
            </wp:positionV>
            <wp:extent cx="7138035" cy="164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6"/>
          <w:szCs w:val="16"/>
          <w:color w:val="auto"/>
        </w:rPr>
        <w:t>0.82 %</w:t>
      </w:r>
    </w:p>
    <w:p>
      <w:pPr>
        <w:spacing w:after="0" w:line="114" w:lineRule="exact"/>
        <w:rPr>
          <w:sz w:val="20"/>
          <w:szCs w:val="20"/>
          <w:color w:val="auto"/>
        </w:rPr>
      </w:pPr>
    </w:p>
    <w:p>
      <w:pPr>
        <w:sectPr>
          <w:pgSz w:w="11900" w:h="16838" w:orient="portrait"/>
          <w:cols w:equalWidth="0" w:num="2">
            <w:col w:w="6920" w:space="720"/>
            <w:col w:w="3600"/>
          </w:cols>
          <w:pgMar w:left="320" w:top="127" w:right="33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Amortization expense for the Company's debt issuance costs for the remainder of 2021 and for fiscal years 2022 through 2026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26"/>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2,288</w:t>
            </w:r>
          </w:p>
        </w:tc>
      </w:tr>
      <w:tr>
        <w:trPr>
          <w:trHeight w:val="22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r>
      <w:tr>
        <w:trPr>
          <w:trHeight w:val="238"/>
        </w:trPr>
        <w:tc>
          <w:tcPr>
            <w:tcW w:w="9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10,215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15—Credit Facility</w:t>
      </w:r>
    </w:p>
    <w:p>
      <w:pPr>
        <w:spacing w:after="0" w:line="108" w:lineRule="exact"/>
        <w:rPr>
          <w:sz w:val="20"/>
          <w:szCs w:val="20"/>
          <w:color w:val="auto"/>
        </w:rPr>
      </w:pPr>
    </w:p>
    <w:p>
      <w:pPr>
        <w:ind w:right="40" w:firstLine="621"/>
        <w:spacing w:after="0" w:line="279" w:lineRule="auto"/>
        <w:rPr>
          <w:sz w:val="20"/>
          <w:szCs w:val="20"/>
          <w:color w:val="auto"/>
        </w:rPr>
      </w:pPr>
      <w:r>
        <w:rPr>
          <w:rFonts w:ascii="Arial" w:cs="Arial" w:eastAsia="Arial" w:hAnsi="Arial"/>
          <w:sz w:val="16"/>
          <w:szCs w:val="16"/>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36"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 Eurodollar Rate plus a margin of 4.25% to 4.75%, or ABR plus a margin of 3.25% to 3.75%, in each case, depending on the Company’s first lien net leverage ratio.</w:t>
      </w:r>
    </w:p>
    <w:p>
      <w:pPr>
        <w:spacing w:after="0" w:line="58"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utilization of the Revolving Credit Facility exceeds 35% of the total revolving commitments, that requires the Company to maintain a first lien net leverage ratio not greater than 3.25 to 1.00.</w:t>
      </w:r>
    </w:p>
    <w:p>
      <w:pPr>
        <w:spacing w:after="0" w:line="31"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 calculation of cumulative free cash flow generated by the company as defined within the terms of the Agreement.</w:t>
      </w:r>
    </w:p>
    <w:p>
      <w:pPr>
        <w:spacing w:after="0" w:line="63"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September 30, 2021, amounts available under the Revolving Credit Facility were $59.9 million, net of letters of credit outstanding in the amount of $5.1 million.</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Term Loan B Facility at September 30, 2021:</w:t>
      </w:r>
    </w:p>
    <w:p>
      <w:pPr>
        <w:spacing w:after="0" w:line="118"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19685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Term Loan B Facility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Unamortized debt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Unamortized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Debt, net of debt issuance costs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1014" w:hanging="1014"/>
        <w:spacing w:after="0"/>
        <w:tabs>
          <w:tab w:leader="none" w:pos="1014" w:val="left"/>
        </w:tabs>
        <w:numPr>
          <w:ilvl w:val="0"/>
          <w:numId w:val="7"/>
        </w:numPr>
        <w:rPr>
          <w:rFonts w:ascii="Arial" w:cs="Arial" w:eastAsia="Arial" w:hAnsi="Arial"/>
          <w:sz w:val="16"/>
          <w:szCs w:val="16"/>
          <w:color w:val="auto"/>
        </w:rPr>
      </w:pPr>
      <w:r>
        <w:rPr>
          <w:rFonts w:ascii="Arial" w:cs="Arial" w:eastAsia="Arial" w:hAnsi="Arial"/>
          <w:sz w:val="16"/>
          <w:szCs w:val="16"/>
          <w:color w:val="auto"/>
        </w:rPr>
        <w:t>359,100</w:t>
      </w:r>
    </w:p>
    <w:p>
      <w:pPr>
        <w:spacing w:after="0" w:line="3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(10,136)</w:t>
      </w:r>
    </w:p>
    <w:p>
      <w:pPr>
        <w:spacing w:after="0" w:line="35"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(15,816)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051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9" w:lineRule="exact"/>
        <w:rPr>
          <w:sz w:val="20"/>
          <w:szCs w:val="20"/>
          <w:color w:val="auto"/>
        </w:rPr>
      </w:pPr>
    </w:p>
    <w:p>
      <w:pPr>
        <w:ind w:left="1014" w:hanging="1014"/>
        <w:spacing w:after="0"/>
        <w:tabs>
          <w:tab w:leader="none" w:pos="1014" w:val="left"/>
        </w:tabs>
        <w:numPr>
          <w:ilvl w:val="0"/>
          <w:numId w:val="8"/>
        </w:numPr>
        <w:rPr>
          <w:rFonts w:ascii="Arial" w:cs="Arial" w:eastAsia="Arial" w:hAnsi="Arial"/>
          <w:sz w:val="16"/>
          <w:szCs w:val="16"/>
          <w:color w:val="auto"/>
        </w:rPr>
      </w:pPr>
      <w:r>
        <w:rPr>
          <w:rFonts w:ascii="Arial" w:cs="Arial" w:eastAsia="Arial" w:hAnsi="Arial"/>
          <w:sz w:val="16"/>
          <w:szCs w:val="16"/>
          <w:color w:val="auto"/>
        </w:rPr>
        <w:t>333,148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22225</wp:posOffset>
            </wp:positionV>
            <wp:extent cx="10515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5156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46990</wp:posOffset>
            </wp:positionV>
            <wp:extent cx="10515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86" w:space="720"/>
            <w:col w:w="1634"/>
          </w:cols>
          <w:pgMar w:left="320" w:top="127" w:right="339" w:bottom="1440" w:gutter="0" w:footer="0" w:header="0"/>
          <w:type w:val="continuous"/>
        </w:sectPr>
      </w:pPr>
    </w:p>
    <w:p>
      <w:pPr>
        <w:spacing w:after="0" w:line="69" w:lineRule="exact"/>
        <w:rPr>
          <w:sz w:val="20"/>
          <w:szCs w:val="20"/>
          <w:color w:val="auto"/>
        </w:rPr>
      </w:pPr>
    </w:p>
    <w:p>
      <w:pPr>
        <w:ind w:right="140" w:firstLine="621"/>
        <w:spacing w:after="0" w:line="260" w:lineRule="auto"/>
        <w:rPr>
          <w:sz w:val="20"/>
          <w:szCs w:val="20"/>
          <w:color w:val="auto"/>
        </w:rPr>
      </w:pPr>
      <w:r>
        <w:rPr>
          <w:rFonts w:ascii="Arial" w:cs="Arial" w:eastAsia="Arial" w:hAnsi="Arial"/>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 The debt issuance costs are amortized on an effective interest basis over the term of the Term Loan B Facility and are included in interest expense and amortization of debt discount in the accompanying condensed consolidated statements of operations. The following table sets forth interest expense related to the Term Loan B Facility for the three and nine months ended September 30, 2021:</w:t>
      </w:r>
    </w:p>
    <w:p>
      <w:pPr>
        <w:sectPr>
          <w:pgSz w:w="11900" w:h="16838" w:orient="portrait"/>
          <w:cols w:equalWidth="0" w:num="1">
            <w:col w:w="1124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Contractual interest expense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debt discount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interest expense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September 30,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 w:type="dxa"/>
            <w:vAlign w:val="bottom"/>
          </w:tcPr>
          <w:p>
            <w:pPr>
              <w:spacing w:after="0"/>
              <w:rPr>
                <w:sz w:val="15"/>
                <w:szCs w:val="15"/>
                <w:color w:val="auto"/>
              </w:rPr>
            </w:pPr>
          </w:p>
        </w:tc>
        <w:tc>
          <w:tcPr>
            <w:tcW w:w="1620" w:type="dxa"/>
            <w:vAlign w:val="bottom"/>
          </w:tcPr>
          <w:p>
            <w:pPr>
              <w:jc w:val="right"/>
              <w:ind w:right="18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5"/>
                <w:szCs w:val="15"/>
                <w:color w:val="auto"/>
              </w:rPr>
            </w:pPr>
          </w:p>
        </w:tc>
        <w:tc>
          <w:tcPr>
            <w:tcW w:w="158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Nine Months Ended</w:t>
            </w:r>
          </w:p>
        </w:tc>
      </w:tr>
      <w:tr>
        <w:trPr>
          <w:trHeight w:val="179"/>
        </w:trPr>
        <w:tc>
          <w:tcPr>
            <w:tcW w:w="180" w:type="dxa"/>
            <w:vAlign w:val="bottom"/>
          </w:tcPr>
          <w:p>
            <w:pPr>
              <w:spacing w:after="0"/>
              <w:rPr>
                <w:sz w:val="15"/>
                <w:szCs w:val="15"/>
                <w:color w:val="auto"/>
              </w:rPr>
            </w:pPr>
          </w:p>
        </w:tc>
        <w:tc>
          <w:tcPr>
            <w:tcW w:w="3420" w:type="dxa"/>
            <w:vAlign w:val="bottom"/>
            <w:gridSpan w:val="3"/>
          </w:tcPr>
          <w:p>
            <w:pPr>
              <w:jc w:val="right"/>
              <w:ind w:right="1297"/>
              <w:spacing w:after="0"/>
              <w:rPr>
                <w:sz w:val="20"/>
                <w:szCs w:val="20"/>
                <w:color w:val="auto"/>
              </w:rPr>
            </w:pPr>
            <w:r>
              <w:rPr>
                <w:rFonts w:ascii="Arial" w:cs="Arial" w:eastAsia="Arial" w:hAnsi="Arial"/>
                <w:sz w:val="14"/>
                <w:szCs w:val="14"/>
                <w:b w:val="1"/>
                <w:bCs w:val="1"/>
                <w:color w:val="auto"/>
              </w:rPr>
              <w:t>(in thousands)</w:t>
            </w:r>
          </w:p>
        </w:tc>
      </w:tr>
      <w:tr>
        <w:trPr>
          <w:trHeight w:val="232"/>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5,290</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17"/>
              <w:spacing w:after="0"/>
              <w:rPr>
                <w:sz w:val="20"/>
                <w:szCs w:val="20"/>
                <w:color w:val="auto"/>
              </w:rPr>
            </w:pPr>
            <w:r>
              <w:rPr>
                <w:rFonts w:ascii="Arial" w:cs="Arial" w:eastAsia="Arial" w:hAnsi="Arial"/>
                <w:sz w:val="17"/>
                <w:szCs w:val="17"/>
                <w:color w:val="auto"/>
              </w:rPr>
              <w:t>8,798</w:t>
            </w:r>
          </w:p>
        </w:tc>
      </w:tr>
      <w:tr>
        <w:trPr>
          <w:trHeight w:val="220"/>
        </w:trPr>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399</w:t>
            </w:r>
          </w:p>
        </w:tc>
        <w:tc>
          <w:tcPr>
            <w:tcW w:w="220" w:type="dxa"/>
            <w:vAlign w:val="bottom"/>
          </w:tcPr>
          <w:p>
            <w:pPr>
              <w:spacing w:after="0"/>
              <w:rPr>
                <w:sz w:val="19"/>
                <w:szCs w:val="19"/>
                <w:color w:val="auto"/>
              </w:rPr>
            </w:pPr>
          </w:p>
        </w:tc>
        <w:tc>
          <w:tcPr>
            <w:tcW w:w="1580" w:type="dxa"/>
            <w:vAlign w:val="bottom"/>
          </w:tcPr>
          <w:p>
            <w:pPr>
              <w:jc w:val="right"/>
              <w:ind w:right="117"/>
              <w:spacing w:after="0"/>
              <w:rPr>
                <w:sz w:val="20"/>
                <w:szCs w:val="20"/>
                <w:color w:val="auto"/>
              </w:rPr>
            </w:pPr>
            <w:r>
              <w:rPr>
                <w:rFonts w:ascii="Arial" w:cs="Arial" w:eastAsia="Arial" w:hAnsi="Arial"/>
                <w:sz w:val="17"/>
                <w:szCs w:val="17"/>
                <w:color w:val="auto"/>
              </w:rPr>
              <w:t>664</w:t>
            </w:r>
          </w:p>
        </w:tc>
      </w:tr>
      <w:tr>
        <w:trPr>
          <w:trHeight w:val="220"/>
        </w:trPr>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1,036</w:t>
            </w:r>
          </w:p>
        </w:tc>
      </w:tr>
      <w:tr>
        <w:trPr>
          <w:trHeight w:val="21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6,311</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10,498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-598805</wp:posOffset>
            </wp:positionV>
            <wp:extent cx="7138035" cy="139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-319405</wp:posOffset>
            </wp:positionV>
            <wp:extent cx="7138035" cy="139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-15875</wp:posOffset>
            </wp:positionV>
            <wp:extent cx="7138035" cy="1562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6"/>
          <w:szCs w:val="16"/>
          <w:color w:val="auto"/>
        </w:rPr>
        <w:t>7.00 %</w:t>
      </w:r>
    </w:p>
    <w:p>
      <w:pPr>
        <w:spacing w:after="0" w:line="200" w:lineRule="exact"/>
        <w:rPr>
          <w:sz w:val="20"/>
          <w:szCs w:val="20"/>
          <w:color w:val="auto"/>
        </w:rPr>
      </w:pPr>
    </w:p>
    <w:p>
      <w:pPr>
        <w:sectPr>
          <w:pgSz w:w="11900" w:h="16838" w:orient="portrait"/>
          <w:cols w:equalWidth="0" w:num="2">
            <w:col w:w="6920" w:space="720"/>
            <w:col w:w="3600"/>
          </w:cols>
          <w:pgMar w:left="320" w:top="127" w:right="339" w:bottom="1440" w:gutter="0" w:footer="0" w:header="0"/>
          <w:type w:val="continuous"/>
        </w:sectPr>
      </w:pPr>
    </w:p>
    <w:p>
      <w:pPr>
        <w:spacing w:after="0" w:line="4"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Amortization expense for the Term Loan B Facility debt discount and debt issuance costs for the remainder of 2021 and for fiscal years 2022 through 2028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6"/>
                <w:szCs w:val="16"/>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w w:val="99"/>
              </w:rPr>
              <w:t>Debt Discount</w:t>
            </w:r>
          </w:p>
        </w:tc>
        <w:tc>
          <w:tcPr>
            <w:tcW w:w="160" w:type="dxa"/>
            <w:vAlign w:val="bottom"/>
          </w:tcPr>
          <w:p>
            <w:pPr>
              <w:spacing w:after="0"/>
              <w:rPr>
                <w:sz w:val="16"/>
                <w:szCs w:val="16"/>
                <w:color w:val="auto"/>
              </w:rPr>
            </w:pPr>
          </w:p>
        </w:tc>
        <w:tc>
          <w:tcPr>
            <w:tcW w:w="1400" w:type="dxa"/>
            <w:vAlign w:val="bottom"/>
          </w:tcPr>
          <w:p>
            <w:pPr>
              <w:jc w:val="right"/>
              <w:ind w:right="96"/>
              <w:spacing w:after="0"/>
              <w:rPr>
                <w:sz w:val="20"/>
                <w:szCs w:val="20"/>
                <w:color w:val="auto"/>
              </w:rPr>
            </w:pPr>
            <w:r>
              <w:rPr>
                <w:rFonts w:ascii="Arial" w:cs="Arial" w:eastAsia="Arial" w:hAnsi="Arial"/>
                <w:sz w:val="14"/>
                <w:szCs w:val="14"/>
                <w:b w:val="1"/>
                <w:bCs w:val="1"/>
                <w:color w:val="auto"/>
                <w:w w:val="87"/>
              </w:rPr>
              <w:t>Debt Issuance Costs</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1,580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2,466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r>
      <w:tr>
        <w:trPr>
          <w:trHeight w:val="220"/>
        </w:trPr>
        <w:tc>
          <w:tcPr>
            <w:tcW w:w="8160" w:type="dxa"/>
            <w:vAlign w:val="bottom"/>
          </w:tcPr>
          <w:p>
            <w:pPr>
              <w:ind w:left="2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1,548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2,416</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w:t>
            </w:r>
          </w:p>
        </w:tc>
      </w:tr>
      <w:tr>
        <w:trPr>
          <w:trHeight w:val="22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3,514</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5,482</w:t>
            </w:r>
          </w:p>
        </w:tc>
      </w:tr>
      <w:tr>
        <w:trPr>
          <w:trHeight w:val="23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15,816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16—Subsequent Events</w:t>
      </w:r>
    </w:p>
    <w:p>
      <w:pPr>
        <w:spacing w:after="0" w:line="95"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Subsequent to September 30, 2021, the Company entered into a data center contract renewal, with future commitments of approximately $2.2 million per year over 3.0 years, beginning on December 1, 2021.</w:t>
      </w:r>
    </w:p>
    <w:p>
      <w:pPr>
        <w:spacing w:after="0" w:line="43" w:lineRule="exact"/>
        <w:rPr>
          <w:sz w:val="20"/>
          <w:szCs w:val="20"/>
          <w:color w:val="auto"/>
        </w:rPr>
      </w:pPr>
    </w:p>
    <w:p>
      <w:pPr>
        <w:ind w:right="140" w:firstLine="621"/>
        <w:spacing w:after="0" w:line="268" w:lineRule="auto"/>
        <w:rPr>
          <w:sz w:val="20"/>
          <w:szCs w:val="20"/>
          <w:color w:val="auto"/>
        </w:rPr>
      </w:pPr>
      <w:r>
        <w:rPr>
          <w:rFonts w:ascii="Arial" w:cs="Arial" w:eastAsia="Arial" w:hAnsi="Arial"/>
          <w:sz w:val="17"/>
          <w:szCs w:val="17"/>
          <w:color w:val="auto"/>
        </w:rPr>
        <w:t>On October 20, 2021, the Company granted 91,582 restricted stock units to the Company's employees. Of the RSUs granted, 25,557 will vest over four years from issuance with 25% after one year, and the remainder vesting quarterly thereafter, and 66,025 will vest 50% on October 1, 2022 and 50% October 1, 2023.</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08" w:lineRule="exact"/>
        <w:rPr>
          <w:sz w:val="20"/>
          <w:szCs w:val="20"/>
          <w:color w:val="auto"/>
        </w:rPr>
      </w:pPr>
    </w:p>
    <w:p>
      <w:pPr>
        <w:ind w:firstLine="621"/>
        <w:spacing w:after="0" w:line="273" w:lineRule="auto"/>
        <w:rPr>
          <w:sz w:val="20"/>
          <w:szCs w:val="20"/>
          <w:color w:val="auto"/>
        </w:rPr>
      </w:pPr>
      <w:r>
        <w:rPr>
          <w:rFonts w:ascii="Arial" w:cs="Arial" w:eastAsia="Arial" w:hAnsi="Arial"/>
          <w:sz w:val="16"/>
          <w:szCs w:val="16"/>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the acquisition of SpotX, Inc. ("SpotX," and such acquisition the "SpotX Acquisition") or SpringServe, LLC ("SpringServe," and such acquisition the "SpringServe Acquisition") or the anticipated benefits thereof; statements concerning potential synergies from the SpotX Acquisition or SpringServe Acquisition;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in April 2020 ("Telaria" and such merger the "Telaria Merger"); key strategic objectives; industry growth rates for ad-supported CTV and the shift in video consumption from linear TV to CTV; introduction of new offerings; the impact of transparency initiatives we may undertake; the impact of our traffic shaping technology on our business; the effects of our cost reduction initiatives; scope and duration of client relationships; the fees we may charge in the future; business mix; sales growth; client utilization of our offerings; our competitive differentiation; our market share and leadership position in the industry; market conditions, trends, and opportunities; certain statements regarding future operational performance measures; benefits from supply path optimization;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Risks that our business faces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realize the anticipated benefits of the Telaria Merger, SpotX Acquisition, and SpringServe Acquisition;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the terms of our financing arrangements;</w:t>
      </w:r>
    </w:p>
    <w:p>
      <w:pPr>
        <w:spacing w:after="0" w:line="102" w:lineRule="exact"/>
        <w:rPr>
          <w:rFonts w:ascii="Arial" w:cs="Arial" w:eastAsia="Arial" w:hAnsi="Arial"/>
          <w:sz w:val="17"/>
          <w:szCs w:val="17"/>
          <w:i w:val="1"/>
          <w:iCs w:val="1"/>
          <w:color w:val="auto"/>
        </w:rPr>
      </w:pPr>
    </w:p>
    <w:p>
      <w:pPr>
        <w:ind w:left="62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in our Credit Agreement may limit our ability to make strategic investments, respond to changing market conditions, or otherwise operate our business, which may place us at a disadvantage compared to competitors;</w:t>
      </w:r>
    </w:p>
    <w:p>
      <w:pPr>
        <w:ind w:left="620" w:right="6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sales of our common stock by the former owner of SpotX may have an adverse effect on the price of our common stock;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conversion of our Convertible Senior Notes would dilute the ownership interest of existing stockholders;</w:t>
      </w:r>
    </w:p>
    <w:p>
      <w:pPr>
        <w:spacing w:after="0" w:line="102" w:lineRule="exact"/>
        <w:rPr>
          <w:rFonts w:ascii="Arial" w:cs="Arial" w:eastAsia="Arial" w:hAnsi="Arial"/>
          <w:sz w:val="17"/>
          <w:szCs w:val="17"/>
          <w:i w:val="1"/>
          <w:iCs w:val="1"/>
          <w:color w:val="auto"/>
        </w:rPr>
      </w:pPr>
    </w:p>
    <w:p>
      <w:pPr>
        <w:ind w:left="620" w:right="120" w:hanging="306"/>
        <w:spacing w:after="0" w:line="388" w:lineRule="auto"/>
        <w:tabs>
          <w:tab w:leader="none" w:pos="616"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severity, magnitude, and duration of the COVID-19 pandemic, including impacts of the pandemic and of responses to the pandemic by governments, business and individuals on our operations, personnel, buyers, sellers, and on the global economy and the advertising marketplace;</w:t>
      </w:r>
    </w:p>
    <w:p>
      <w:pPr>
        <w:ind w:left="620" w:right="60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unsuccessful in our supply path optimization efforts;</w:t>
      </w:r>
    </w:p>
    <w:p>
      <w:pPr>
        <w:spacing w:after="0" w:line="102" w:lineRule="exact"/>
        <w:rPr>
          <w:rFonts w:ascii="Arial" w:cs="Arial" w:eastAsia="Arial" w:hAnsi="Arial"/>
          <w:sz w:val="17"/>
          <w:szCs w:val="17"/>
          <w:i w:val="1"/>
          <w:iCs w:val="1"/>
          <w:color w:val="auto"/>
        </w:rPr>
      </w:pPr>
    </w:p>
    <w:p>
      <w:pPr>
        <w:ind w:left="620" w:right="44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introduce new offerings and bring them to market in a timely manner, and otherwise adapt in response to client demands and industry trends;</w:t>
      </w:r>
    </w:p>
    <w:p>
      <w:pPr>
        <w:ind w:left="620" w:right="560" w:hanging="306"/>
        <w:spacing w:after="0" w:line="365" w:lineRule="auto"/>
        <w:tabs>
          <w:tab w:leader="none" w:pos="616"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uncertainty of our estimates and expectations associated with new offerings, including the CTV ad server product that we recently acquired in the SpringServe Acquisition;</w:t>
      </w: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lack of adoption and market acceptance of our Demand Manager solution;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we must increase the scale and efficiency of our technology infrastructure to support our growth;</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emergence of header bidding has increased competition from other demand sources and may cause infrastructure strain and added costs;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our access to mobile inventory may be limited by third-party technology or lack of direct relationships with mobile sellers;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right="12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we may experience lower take rates, which may not be offset by increase in the volume of ad requests, improvements in fill-rate, and/or increases in the value of transactions through our platform;</w:t>
      </w: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requests for discounts, fee concessions, rebates, refunds or favorable payment terms;</w:t>
      </w:r>
    </w:p>
    <w:p>
      <w:pPr>
        <w:spacing w:after="0" w:line="102" w:lineRule="exact"/>
        <w:rPr>
          <w:rFonts w:ascii="Arial" w:cs="Arial" w:eastAsia="Arial" w:hAnsi="Arial"/>
          <w:sz w:val="17"/>
          <w:szCs w:val="17"/>
          <w:i w:val="1"/>
          <w:iCs w:val="1"/>
          <w:color w:val="auto"/>
        </w:rPr>
      </w:pPr>
    </w:p>
    <w:p>
      <w:pPr>
        <w:ind w:left="620" w:right="14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history of losses, and the fact that in the past our operating results have and may in the future fluctuate significantly, be difficult to predict, and fall below analysts' and investors' expectations;</w:t>
      </w: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 on the advertising market and our business from difficult economic conditions or uncertainty;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seasonal trends on our results of operations;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we operate in an intensely competitive market that includes companies that have greater financial, technical and marketing resources than we do;</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consolidation in the ad tech industry;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growing percentage of digital advertising spend captured by closed “walled gardens” (such as Google, Facebook, Comcast, and Amazon);</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differentiate our offerings and compete effectively to combat commodification and disintermediation;</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potential limitations on our ability to collect or use data as a result of consumer tools, regulatory restrictions and technological limitations;</w:t>
      </w:r>
    </w:p>
    <w:p>
      <w:pPr>
        <w:spacing w:after="0" w:line="102" w:lineRule="exact"/>
        <w:rPr>
          <w:rFonts w:ascii="Arial" w:cs="Arial" w:eastAsia="Arial" w:hAnsi="Arial"/>
          <w:sz w:val="17"/>
          <w:szCs w:val="17"/>
          <w:i w:val="1"/>
          <w:iCs w:val="1"/>
          <w:color w:val="auto"/>
        </w:rPr>
      </w:pPr>
    </w:p>
    <w:p>
      <w:pPr>
        <w:ind w:left="62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development and use of new identity solutions as a replacement for third-party cookies and other identifiers may disrupt the programmatic ecosystem and cause the performance of our platform to decline;</w:t>
      </w: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industry may not adopt or may be slow to adopt the use of first-party publisher segments as an alternative to third-party cookies;</w:t>
      </w:r>
    </w:p>
    <w:p>
      <w:pPr>
        <w:spacing w:after="0" w:line="102" w:lineRule="exact"/>
        <w:rPr>
          <w:rFonts w:ascii="Arial" w:cs="Arial" w:eastAsia="Arial" w:hAnsi="Arial"/>
          <w:sz w:val="17"/>
          <w:szCs w:val="17"/>
          <w:i w:val="1"/>
          <w:iCs w:val="1"/>
          <w:color w:val="auto"/>
        </w:rPr>
      </w:pPr>
    </w:p>
    <w:p>
      <w:pPr>
        <w:ind w:left="620" w:right="44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failure by us or our clients to meet advertising and inventory content standards could harm our brand and reputation and those of our partners;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freedom of buyers and sellers to direct their spending and inventory to competing sources of inventory and demand;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buyers and sellers to establish direct relationships and integrations without the use of our platform;</w:t>
      </w:r>
    </w:p>
    <w:p>
      <w:pPr>
        <w:spacing w:after="0" w:line="102" w:lineRule="exact"/>
        <w:rPr>
          <w:rFonts w:ascii="Arial" w:cs="Arial" w:eastAsia="Arial" w:hAnsi="Arial"/>
          <w:sz w:val="17"/>
          <w:szCs w:val="17"/>
          <w:i w:val="1"/>
          <w:iCs w:val="1"/>
          <w:color w:val="auto"/>
        </w:rPr>
      </w:pPr>
    </w:p>
    <w:p>
      <w:pPr>
        <w:ind w:left="620" w:right="20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aggregators of advertising inventory, and the concentration of CTV among a small number of large sellers that enjoy significant negotiating leverage;</w:t>
      </w:r>
    </w:p>
    <w:p>
      <w:pPr>
        <w:ind w:left="620" w:right="52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hanging="306"/>
        <w:spacing w:after="0" w:line="365" w:lineRule="auto"/>
        <w:tabs>
          <w:tab w:leader="none" w:pos="616"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we may be exposed to claims from clients for breach of contracts;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errors or failures in the operation of our solution, interruptions in our access to network infrastructure or data, and breaches of our computer systems;</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ensure a high level of brand safety for our clients and to detect "bot" traffic and other fraudulent or malicious activity;</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the use of our net operating losses and tax credit carryforwards may be subject to certain limitations;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possibility of adjustments to the purchase price allocation and valuation relating to the SpotX Acquisition and the SpringServe Acquisition;</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raise additional capital if needed;</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volatility in the price of our common stock;</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negative analyst or investor research reports;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attract and retain qualified employees and key personnel;</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costs associated with enforcing our intellectual property rights or defending intellectual property infringement;</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the Capped Call Transactions may affect the value of the Convertible Senior Notes and our common stock;</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we are subject to counterparty risk with respect to the Capped Call Transactions;</w:t>
      </w:r>
    </w:p>
    <w:p>
      <w:pPr>
        <w:spacing w:after="0" w:line="102" w:lineRule="exact"/>
        <w:rPr>
          <w:rFonts w:ascii="Arial" w:cs="Arial" w:eastAsia="Arial" w:hAnsi="Arial"/>
          <w:sz w:val="17"/>
          <w:szCs w:val="17"/>
          <w:i w:val="1"/>
          <w:iCs w:val="1"/>
          <w:color w:val="auto"/>
        </w:rPr>
      </w:pPr>
    </w:p>
    <w:p>
      <w:pPr>
        <w:ind w:left="620" w:hanging="306"/>
        <w:spacing w:after="0"/>
        <w:tabs>
          <w:tab w:leader="none" w:pos="6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the conditional conversion feature of the Convertible Senior Notes, if triggered, may adversely affect our financial condition and operating result;</w:t>
      </w:r>
    </w:p>
    <w:p>
      <w:pPr>
        <w:spacing w:after="0" w:line="113" w:lineRule="exact"/>
        <w:rPr>
          <w:rFonts w:ascii="Arial" w:cs="Arial" w:eastAsia="Arial" w:hAnsi="Arial"/>
          <w:sz w:val="16"/>
          <w:szCs w:val="16"/>
          <w:i w:val="1"/>
          <w:iCs w:val="1"/>
          <w:color w:val="auto"/>
        </w:rPr>
      </w:pPr>
    </w:p>
    <w:p>
      <w:pPr>
        <w:ind w:left="620" w:hanging="306"/>
        <w:spacing w:after="0"/>
        <w:tabs>
          <w:tab w:leader="none" w:pos="6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failure to successfully execute our international growth plans; and</w:t>
      </w:r>
    </w:p>
    <w:p>
      <w:pPr>
        <w:spacing w:after="0" w:line="50" w:lineRule="exact"/>
        <w:rPr>
          <w:rFonts w:ascii="Arial" w:cs="Arial" w:eastAsia="Arial" w:hAnsi="Arial"/>
          <w:sz w:val="17"/>
          <w:szCs w:val="17"/>
          <w:i w:val="1"/>
          <w:iCs w:val="1"/>
          <w:color w:val="auto"/>
        </w:rPr>
      </w:pPr>
    </w:p>
    <w:p>
      <w:pPr>
        <w:ind w:left="620" w:right="140" w:hanging="306"/>
        <w:spacing w:after="0" w:line="283" w:lineRule="auto"/>
        <w:tabs>
          <w:tab w:leader="none" w:pos="616"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21"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2020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6" w:lineRule="exact"/>
        <w:rPr>
          <w:sz w:val="20"/>
          <w:szCs w:val="20"/>
          <w:color w:val="auto"/>
        </w:rPr>
      </w:pPr>
    </w:p>
    <w:p>
      <w:pPr>
        <w:ind w:right="320" w:firstLine="621"/>
        <w:spacing w:after="0" w:line="268" w:lineRule="auto"/>
        <w:rPr>
          <w:sz w:val="20"/>
          <w:szCs w:val="20"/>
          <w:color w:val="auto"/>
        </w:rPr>
      </w:pPr>
      <w:r>
        <w:rPr>
          <w:rFonts w:ascii="Arial" w:cs="Arial" w:eastAsia="Arial" w:hAnsi="Arial"/>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44"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9"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Magnite, Inc., formerly known as The Rubicon Project, Inc. ("we," or "us"), provides technology solutions to automate the purchase and sale of digital advertising inventory.</w:t>
      </w:r>
    </w:p>
    <w:p>
      <w:pPr>
        <w:spacing w:after="0" w:line="31" w:lineRule="exact"/>
        <w:rPr>
          <w:sz w:val="20"/>
          <w:szCs w:val="20"/>
          <w:color w:val="auto"/>
        </w:rPr>
      </w:pPr>
    </w:p>
    <w:p>
      <w:pPr>
        <w:ind w:right="500" w:firstLine="621"/>
        <w:spacing w:after="0" w:line="268" w:lineRule="auto"/>
        <w:rPr>
          <w:sz w:val="20"/>
          <w:szCs w:val="20"/>
          <w:color w:val="auto"/>
        </w:rPr>
      </w:pPr>
      <w:r>
        <w:rPr>
          <w:rFonts w:ascii="Arial" w:cs="Arial" w:eastAsia="Arial" w:hAnsi="Arial"/>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w:t>
      </w:r>
    </w:p>
    <w:p>
      <w:pPr>
        <w:spacing w:after="0" w:line="57" w:lineRule="exact"/>
        <w:rPr>
          <w:sz w:val="20"/>
          <w:szCs w:val="20"/>
          <w:color w:val="auto"/>
        </w:rPr>
      </w:pPr>
    </w:p>
    <w:p>
      <w:pPr>
        <w:ind w:right="40" w:firstLine="621"/>
        <w:spacing w:after="0" w:line="320" w:lineRule="auto"/>
        <w:rPr>
          <w:sz w:val="20"/>
          <w:szCs w:val="20"/>
          <w:color w:val="auto"/>
        </w:rPr>
      </w:pPr>
      <w:r>
        <w:rPr>
          <w:rFonts w:ascii="Arial" w:cs="Arial" w:eastAsia="Arial" w:hAnsi="Arial"/>
          <w:sz w:val="15"/>
          <w:szCs w:val="15"/>
          <w:color w:val="auto"/>
        </w:rPr>
        <w:t>Following the Telaria Merger and SpotX Acquisition, we believe that we are the world’s largest independent omni-channel sell-side advertising platform,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22" w:lineRule="exact"/>
        <w:rPr>
          <w:sz w:val="20"/>
          <w:szCs w:val="20"/>
          <w:color w:val="auto"/>
        </w:rPr>
      </w:pPr>
    </w:p>
    <w:p>
      <w:pPr>
        <w:ind w:right="60" w:firstLine="621"/>
        <w:spacing w:after="0" w:line="279" w:lineRule="auto"/>
        <w:rPr>
          <w:sz w:val="20"/>
          <w:szCs w:val="20"/>
          <w:color w:val="auto"/>
        </w:rPr>
      </w:pPr>
      <w:r>
        <w:rPr>
          <w:rFonts w:ascii="Arial" w:cs="Arial" w:eastAsia="Arial" w:hAnsi="Arial"/>
          <w:sz w:val="16"/>
          <w:szCs w:val="16"/>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36" w:lineRule="exact"/>
        <w:rPr>
          <w:sz w:val="20"/>
          <w:szCs w:val="20"/>
          <w:color w:val="auto"/>
        </w:rPr>
      </w:pPr>
    </w:p>
    <w:p>
      <w:pPr>
        <w:ind w:firstLine="621"/>
        <w:spacing w:after="0" w:line="301" w:lineRule="auto"/>
        <w:rPr>
          <w:sz w:val="20"/>
          <w:szCs w:val="20"/>
          <w:color w:val="auto"/>
        </w:rPr>
      </w:pPr>
      <w:r>
        <w:rPr>
          <w:rFonts w:ascii="Arial" w:cs="Arial" w:eastAsia="Arial" w:hAnsi="Arial"/>
          <w:sz w:val="15"/>
          <w:szCs w:val="15"/>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34" w:lineRule="exact"/>
        <w:rPr>
          <w:sz w:val="20"/>
          <w:szCs w:val="20"/>
          <w:color w:val="auto"/>
        </w:rPr>
      </w:pPr>
    </w:p>
    <w:p>
      <w:pPr>
        <w:ind w:right="80" w:firstLine="621"/>
        <w:spacing w:after="0" w:line="309" w:lineRule="auto"/>
        <w:rPr>
          <w:sz w:val="20"/>
          <w:szCs w:val="20"/>
          <w:color w:val="auto"/>
        </w:rPr>
      </w:pPr>
      <w:r>
        <w:rPr>
          <w:rFonts w:ascii="Arial" w:cs="Arial" w:eastAsia="Arial" w:hAnsi="Arial"/>
          <w:sz w:val="15"/>
          <w:szCs w:val="15"/>
          <w:color w:val="auto"/>
        </w:rPr>
        <w:t>On July 1, 2021, we acquired SpringServe, LLC ("SpringServe"), a leading ad serving platform for CTV. SpringServe's ad serving technology manages multiple aspects of video advertising, including for CTV publishers, across both their programmatic and direct-sold inventory, including forecasting, routing, customized ad experiences,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30" w:lineRule="exact"/>
        <w:rPr>
          <w:sz w:val="20"/>
          <w:szCs w:val="20"/>
          <w:color w:val="auto"/>
        </w:rPr>
      </w:pPr>
    </w:p>
    <w:p>
      <w:pPr>
        <w:ind w:right="340" w:firstLine="621"/>
        <w:spacing w:after="0" w:line="293" w:lineRule="auto"/>
        <w:rPr>
          <w:sz w:val="20"/>
          <w:szCs w:val="20"/>
          <w:color w:val="auto"/>
        </w:rPr>
      </w:pPr>
      <w:r>
        <w:rPr>
          <w:rFonts w:ascii="Arial" w:cs="Arial" w:eastAsia="Arial" w:hAnsi="Arial"/>
          <w:sz w:val="16"/>
          <w:szCs w:val="16"/>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25" w:lineRule="exact"/>
        <w:rPr>
          <w:sz w:val="20"/>
          <w:szCs w:val="20"/>
          <w:color w:val="auto"/>
        </w:rPr>
      </w:pPr>
    </w:p>
    <w:p>
      <w:pPr>
        <w:ind w:right="620" w:firstLine="621"/>
        <w:spacing w:after="0" w:line="316" w:lineRule="auto"/>
        <w:rPr>
          <w:sz w:val="20"/>
          <w:szCs w:val="20"/>
          <w:color w:val="auto"/>
        </w:rPr>
      </w:pPr>
      <w:r>
        <w:rPr>
          <w:rFonts w:ascii="Arial" w:cs="Arial" w:eastAsia="Arial" w:hAnsi="Arial"/>
          <w:sz w:val="16"/>
          <w:szCs w:val="16"/>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20" w:lineRule="exact"/>
        <w:rPr>
          <w:sz w:val="20"/>
          <w:szCs w:val="20"/>
          <w:color w:val="auto"/>
        </w:rPr>
      </w:pPr>
    </w:p>
    <w:p>
      <w:pPr>
        <w:ind w:right="140" w:firstLine="621"/>
        <w:spacing w:after="0" w:line="261" w:lineRule="auto"/>
        <w:rPr>
          <w:sz w:val="20"/>
          <w:szCs w:val="20"/>
          <w:color w:val="auto"/>
        </w:rPr>
      </w:pPr>
      <w:r>
        <w:rPr>
          <w:rFonts w:ascii="Arial" w:cs="Arial" w:eastAsia="Arial" w:hAnsi="Arial"/>
          <w:sz w:val="17"/>
          <w:szCs w:val="17"/>
          <w:color w:val="auto"/>
        </w:rPr>
        <w:t>Our global workforce has maintained a work from-home policy since March, 2020. We continue to monitor best practices and guidance for a potential return to office and currently plan to return to our offices in most locations during the first quarter of 2022. We will approach our return with caution to prioritize the safety and health of our employees. We believe that our employees have been able to work productively during the time period in which our global offices have been shut down. However, to the extent we have extended work from home requirements, or that work patterns are permanently altered, it is unclear how productivity may be impacted in the long-term.</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Generate Revenue</w:t>
      </w:r>
    </w:p>
    <w:p>
      <w:pPr>
        <w:spacing w:after="0" w:line="95" w:lineRule="exact"/>
        <w:rPr>
          <w:sz w:val="20"/>
          <w:szCs w:val="20"/>
          <w:color w:val="auto"/>
        </w:rPr>
      </w:pPr>
    </w:p>
    <w:p>
      <w:pPr>
        <w:ind w:right="120" w:firstLine="621"/>
        <w:spacing w:after="0" w:line="264" w:lineRule="auto"/>
        <w:rPr>
          <w:sz w:val="20"/>
          <w:szCs w:val="20"/>
          <w:color w:val="auto"/>
        </w:rPr>
      </w:pPr>
      <w:r>
        <w:rPr>
          <w:rFonts w:ascii="Arial" w:cs="Arial" w:eastAsia="Arial" w:hAnsi="Arial"/>
          <w:sz w:val="17"/>
          <w:szCs w:val="17"/>
          <w:color w:val="auto"/>
        </w:rPr>
        <w:t>We generate revenue from the use of our platform for the purchase and sale of digital advertising inventory. We also generate revenue from the fee we charge clients for use of our Demand Manager header-bidding product and SpringServe ad server product, which we acquired on July 1, 2021. Generally, our revenue is based on a percentage of the ad spend that runs through our platform, although for certain clients or transaction types we may receive a fixed CPM for each impression sold.</w:t>
      </w:r>
    </w:p>
    <w:p>
      <w:pPr>
        <w:spacing w:after="0" w:line="58"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Digital advertising inventory is created when consumers access sellers' content. Sellers provide digital advertising inventory to our SSP platform in the form of advertising requests, or ad requests. When we receive ad requests from sellers, we send bid requests to buyers, which enable buyers to bid on sellers’ digital advertising inventory. Winning bids can create advertising,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paid impressions, for the seller to present to the consumer. The price that buyers pay for each thousand paid impressions purchased is measured in units referred to as CPM, or cost per thousand, and the total volume of spending between buyers and sellers on our platform is referred to as advertising spend.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Trends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Continued Shift Toward Digital Advertising</w:t>
      </w:r>
    </w:p>
    <w:p>
      <w:pPr>
        <w:spacing w:after="0" w:line="102" w:lineRule="exact"/>
        <w:rPr>
          <w:sz w:val="20"/>
          <w:szCs w:val="20"/>
          <w:color w:val="auto"/>
        </w:rPr>
      </w:pPr>
    </w:p>
    <w:p>
      <w:pPr>
        <w:ind w:right="360" w:firstLine="621"/>
        <w:spacing w:after="0" w:line="268" w:lineRule="auto"/>
        <w:rPr>
          <w:sz w:val="20"/>
          <w:szCs w:val="20"/>
          <w:color w:val="auto"/>
        </w:rPr>
      </w:pPr>
      <w:r>
        <w:rPr>
          <w:rFonts w:ascii="Arial" w:cs="Arial" w:eastAsia="Arial" w:hAnsi="Arial"/>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Automation of Buying and Selling</w:t>
      </w:r>
    </w:p>
    <w:p>
      <w:pPr>
        <w:spacing w:after="0" w:line="102" w:lineRule="exact"/>
        <w:rPr>
          <w:sz w:val="20"/>
          <w:szCs w:val="20"/>
          <w:color w:val="auto"/>
        </w:rPr>
      </w:pPr>
    </w:p>
    <w:p>
      <w:pPr>
        <w:ind w:right="40" w:firstLine="621"/>
        <w:spacing w:after="0" w:line="258" w:lineRule="auto"/>
        <w:rPr>
          <w:sz w:val="20"/>
          <w:szCs w:val="20"/>
          <w:color w:val="auto"/>
        </w:rPr>
      </w:pPr>
      <w:r>
        <w:rPr>
          <w:rFonts w:ascii="Arial" w:cs="Arial" w:eastAsia="Arial" w:hAnsi="Arial"/>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has become the dominant method of transacting for desktop and mobile inventory and we expect it to continue to grow as a percentage of CTV advertising.</w:t>
      </w:r>
    </w:p>
    <w:p>
      <w:pPr>
        <w:spacing w:after="0" w:line="6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Convergence of TV and Digital</w:t>
      </w:r>
    </w:p>
    <w:p>
      <w:pPr>
        <w:spacing w:after="0" w:line="89" w:lineRule="exact"/>
        <w:rPr>
          <w:sz w:val="20"/>
          <w:szCs w:val="20"/>
          <w:color w:val="auto"/>
        </w:rPr>
      </w:pPr>
    </w:p>
    <w:p>
      <w:pPr>
        <w:ind w:right="280" w:firstLine="621"/>
        <w:spacing w:after="0" w:line="279" w:lineRule="auto"/>
        <w:rPr>
          <w:sz w:val="20"/>
          <w:szCs w:val="20"/>
          <w:color w:val="auto"/>
        </w:rPr>
      </w:pPr>
      <w:r>
        <w:rPr>
          <w:rFonts w:ascii="Arial" w:cs="Arial" w:eastAsia="Arial" w:hAnsi="Arial"/>
          <w:sz w:val="16"/>
          <w:szCs w:val="16"/>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acquisitions of SpotX and SpringServe to further fuel this growth.</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Identity Solutions</w:t>
      </w:r>
    </w:p>
    <w:p>
      <w:pPr>
        <w:spacing w:after="0" w:line="102"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provide the infrastructure and tools needed for a publisher-centric identity model to succeed, and we are already enabling sellers to create audience segments with their first-party data.</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Supply Path Optimization</w:t>
      </w:r>
    </w:p>
    <w:p>
      <w:pPr>
        <w:spacing w:after="0" w:line="102"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 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Header Bidding and Data Processing</w:t>
      </w:r>
    </w:p>
    <w:p>
      <w:pPr>
        <w:spacing w:after="0" w:line="89" w:lineRule="exact"/>
        <w:rPr>
          <w:sz w:val="20"/>
          <w:szCs w:val="20"/>
          <w:color w:val="auto"/>
        </w:rPr>
      </w:pPr>
    </w:p>
    <w:p>
      <w:pPr>
        <w:ind w:right="40" w:firstLine="621"/>
        <w:spacing w:after="0" w:line="281" w:lineRule="auto"/>
        <w:rPr>
          <w:sz w:val="20"/>
          <w:szCs w:val="20"/>
          <w:color w:val="auto"/>
        </w:rPr>
      </w:pPr>
      <w:r>
        <w:rPr>
          <w:rFonts w:ascii="Arial" w:cs="Arial" w:eastAsia="Arial" w:hAnsi="Arial"/>
          <w:sz w:val="16"/>
          <w:szCs w:val="16"/>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publishers manage their header-bidding inventory.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Privacy Regulation</w:t>
      </w:r>
    </w:p>
    <w:p>
      <w:pPr>
        <w:spacing w:after="0" w:line="89" w:lineRule="exact"/>
        <w:rPr>
          <w:sz w:val="20"/>
          <w:szCs w:val="20"/>
          <w:color w:val="auto"/>
        </w:rPr>
      </w:pPr>
    </w:p>
    <w:p>
      <w:pPr>
        <w:ind w:right="80" w:firstLine="621"/>
        <w:spacing w:after="0" w:line="309" w:lineRule="auto"/>
        <w:rPr>
          <w:sz w:val="20"/>
          <w:szCs w:val="20"/>
          <w:color w:val="auto"/>
        </w:rPr>
      </w:pPr>
      <w:r>
        <w:rPr>
          <w:rFonts w:ascii="Arial" w:cs="Arial" w:eastAsia="Arial" w:hAnsi="Arial"/>
          <w:sz w:val="15"/>
          <w:szCs w:val="15"/>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In particular, this scrutiny has focused on the use of technology (including cookies) to collect or aggregate information about Internet users’ online browsing activity. Because we, and our clients, rely upon large volumes of such data, it is essential that we monitor developments in this area domestically and globally, and engage in responsible privacy practices.</w:t>
      </w:r>
    </w:p>
    <w:p>
      <w:pPr>
        <w:spacing w:after="0" w:line="30" w:lineRule="exact"/>
        <w:rPr>
          <w:sz w:val="20"/>
          <w:szCs w:val="20"/>
          <w:color w:val="auto"/>
        </w:rPr>
      </w:pPr>
    </w:p>
    <w:p>
      <w:pPr>
        <w:ind w:firstLine="621"/>
        <w:spacing w:after="0" w:line="285" w:lineRule="auto"/>
        <w:rPr>
          <w:sz w:val="20"/>
          <w:szCs w:val="20"/>
          <w:color w:val="auto"/>
        </w:rPr>
      </w:pPr>
      <w:r>
        <w:rPr>
          <w:rFonts w:ascii="Arial" w:cs="Arial" w:eastAsia="Arial" w:hAnsi="Arial"/>
          <w:sz w:val="16"/>
          <w:szCs w:val="16"/>
          <w:color w:val="auto"/>
        </w:rPr>
        <w:t>The use of and transfer of personal data in EEA member states and the UK is currently governed by the General Data Protection Regulation (the "GDPR"). The GDPR sets out higher potential liabilities for certain data protection violations and establishes significant new regulatory requirements resulting in a greater compliance burden for us in the course of delivering our solution in the EEA and UK. While data protection authorities have started to clarify certain requirements under GDPR, significant uncertainty remains as to how the regulation will be applied and enforced.</w:t>
      </w:r>
    </w:p>
    <w:p>
      <w:pPr>
        <w:spacing w:after="0" w:line="44"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color w:val="auto"/>
        </w:rPr>
        <w:t>In addition to the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passed as a ballot initiative in California and will impose additional notice and opt out obligations on the digital advertising space. This law, which will take effect in January 2023, is expected to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56" w:lineRule="exact"/>
        <w:rPr>
          <w:sz w:val="20"/>
          <w:szCs w:val="20"/>
          <w:color w:val="auto"/>
        </w:rPr>
      </w:pPr>
    </w:p>
    <w:p>
      <w:pPr>
        <w:ind w:right="120" w:firstLine="621"/>
        <w:spacing w:after="0" w:line="268" w:lineRule="auto"/>
        <w:rPr>
          <w:sz w:val="20"/>
          <w:szCs w:val="20"/>
          <w:color w:val="auto"/>
        </w:rPr>
      </w:pPr>
      <w:r>
        <w:rPr>
          <w:rFonts w:ascii="Arial" w:cs="Arial" w:eastAsia="Arial" w:hAnsi="Arial"/>
          <w:sz w:val="17"/>
          <w:szCs w:val="17"/>
          <w:color w:val="auto"/>
        </w:rPr>
        <w:t>We support privacy initiatives and believe they will be beneficial to consumers' confidence in advertising technology, which will ultimately be positive for the advertising ecosystem in the long term. In the short term, however, until prevailing compliance practices standardize, the impact of worldwide privacy regulations on our business and, consequently, our revenue could be negatively impacted.</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in Our Business</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Telaria Merger, SpotX and SpringServe Acquisitions</w:t>
      </w:r>
    </w:p>
    <w:p>
      <w:pPr>
        <w:spacing w:after="0" w:line="102" w:lineRule="exact"/>
        <w:rPr>
          <w:sz w:val="20"/>
          <w:szCs w:val="20"/>
          <w:color w:val="auto"/>
        </w:rPr>
      </w:pPr>
    </w:p>
    <w:p>
      <w:pPr>
        <w:ind w:right="140" w:firstLine="621"/>
        <w:spacing w:after="0" w:line="264" w:lineRule="auto"/>
        <w:rPr>
          <w:sz w:val="20"/>
          <w:szCs w:val="20"/>
          <w:color w:val="auto"/>
        </w:rPr>
      </w:pPr>
      <w:r>
        <w:rPr>
          <w:rFonts w:ascii="Arial" w:cs="Arial" w:eastAsia="Arial" w:hAnsi="Arial"/>
          <w:sz w:val="17"/>
          <w:szCs w:val="17"/>
          <w:color w:val="auto"/>
        </w:rPr>
        <w:t>On April 1, 2020, we completed the Telaria Merger, on April 30, 2021, we completed the SpotX Acquisition and on July 1, 2021, we completed the SpringServe Acquisition. These transactions were transformative and have resulted in what we believe to be the world’s largest independent sell-side advertising platform, with scale, capabilities, and solutions exceeding those offered by competitors. We offer a single partner for transacting CTV, desktop display, video, audio and mobile inventory across all geographies and auction types.</w:t>
      </w:r>
    </w:p>
    <w:p>
      <w:pPr>
        <w:spacing w:after="0" w:line="58" w:lineRule="exact"/>
        <w:rPr>
          <w:sz w:val="20"/>
          <w:szCs w:val="20"/>
          <w:color w:val="auto"/>
        </w:rPr>
      </w:pPr>
    </w:p>
    <w:p>
      <w:pPr>
        <w:ind w:right="200" w:firstLine="621"/>
        <w:spacing w:after="0" w:line="341" w:lineRule="auto"/>
        <w:rPr>
          <w:sz w:val="20"/>
          <w:szCs w:val="20"/>
          <w:color w:val="auto"/>
        </w:rPr>
      </w:pPr>
      <w:r>
        <w:rPr>
          <w:rFonts w:ascii="Arial" w:cs="Arial" w:eastAsia="Arial" w:hAnsi="Arial"/>
          <w:sz w:val="15"/>
          <w:szCs w:val="15"/>
          <w:color w:val="auto"/>
        </w:rPr>
        <w:t>As CTV viewership is growing rapidly and the pace of adoption is accelerating the shift of advertising budgets from linear television to CTV, these transactions have strategically positioned us to take advantage of this growth trend, and we believe that CTV will be our biggest growth driver in future periods.</w:t>
      </w:r>
    </w:p>
    <w:p>
      <w:pPr>
        <w:spacing w:after="0" w:line="1" w:lineRule="exact"/>
        <w:rPr>
          <w:sz w:val="20"/>
          <w:szCs w:val="20"/>
          <w:color w:val="auto"/>
        </w:rPr>
      </w:pPr>
    </w:p>
    <w:p>
      <w:pPr>
        <w:ind w:right="320" w:firstLine="621"/>
        <w:spacing w:after="0" w:line="298" w:lineRule="auto"/>
        <w:rPr>
          <w:sz w:val="20"/>
          <w:szCs w:val="20"/>
          <w:color w:val="auto"/>
        </w:rPr>
      </w:pPr>
      <w:r>
        <w:rPr>
          <w:rFonts w:ascii="Arial" w:cs="Arial" w:eastAsia="Arial" w:hAnsi="Arial"/>
          <w:sz w:val="15"/>
          <w:szCs w:val="15"/>
          <w:color w:val="auto"/>
        </w:rPr>
        <w:t>The SpotX Acquisition resulted in a significant increase in our revenue and Revenue ex-TAC (as defined in section "Key Operating and Financial Performance Metrics") in particular in CTV and online video. As a result of the transaction, we expect CTV to represent a higher percentage of our overall revenue, and because CTV is largely transacted through reserve auctions, we also expect to see an increase in the percentage of reserve auction transactions transacted on our platform. The acquisition will result in an increase in related operating expenses, primarily associated with costs for personnel, payments to sellers for revenue reported on a gross basis, and other ancillary costs to support the business. We expect some of those increases to be offset by cost saving activities that began in the second quarter of 2021 and continue to be in process. We are targeting in excess of $35 million in run-rate operating cost synergies, over a two year period. As of September 30, 2021, we have achieved more than half of our cost synergy target on a run-rate basis.</w:t>
      </w:r>
    </w:p>
    <w:p>
      <w:pPr>
        <w:spacing w:after="0" w:line="40" w:lineRule="exact"/>
        <w:rPr>
          <w:sz w:val="20"/>
          <w:szCs w:val="20"/>
          <w:color w:val="auto"/>
        </w:rPr>
      </w:pPr>
    </w:p>
    <w:p>
      <w:pPr>
        <w:ind w:right="120" w:firstLine="621"/>
        <w:spacing w:after="0" w:line="301" w:lineRule="auto"/>
        <w:rPr>
          <w:sz w:val="20"/>
          <w:szCs w:val="20"/>
          <w:color w:val="auto"/>
        </w:rPr>
      </w:pPr>
      <w:r>
        <w:rPr>
          <w:rFonts w:ascii="Arial" w:cs="Arial" w:eastAsia="Arial" w:hAnsi="Arial"/>
          <w:sz w:val="15"/>
          <w:szCs w:val="15"/>
          <w:color w:val="auto"/>
        </w:rPr>
        <w:t>The SpringServe Acquisition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Impact of COVID-19 Pandemic and Other Recent Developments</w:t>
      </w:r>
    </w:p>
    <w:p>
      <w:pPr>
        <w:spacing w:after="0" w:line="89" w:lineRule="exact"/>
        <w:rPr>
          <w:sz w:val="20"/>
          <w:szCs w:val="20"/>
          <w:color w:val="auto"/>
        </w:rPr>
      </w:pPr>
    </w:p>
    <w:p>
      <w:pPr>
        <w:ind w:right="20" w:firstLine="621"/>
        <w:spacing w:after="0" w:line="259" w:lineRule="auto"/>
        <w:rPr>
          <w:sz w:val="20"/>
          <w:szCs w:val="20"/>
          <w:color w:val="auto"/>
        </w:rPr>
      </w:pPr>
      <w:r>
        <w:rPr>
          <w:rFonts w:ascii="Arial" w:cs="Arial" w:eastAsia="Arial" w:hAnsi="Arial"/>
          <w:sz w:val="17"/>
          <w:szCs w:val="17"/>
          <w:color w:val="auto"/>
        </w:rPr>
        <w:t>The COVID-19 pandemic and resulting global disruptions have negatively affected our revenue, results of operations, cash flows, and financial condition. Our business depends on the overall demand for advertising and on the economic health of our current and prospective sellers and buyers. In response to the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as our revenue returned to positive growth.</w:t>
      </w:r>
    </w:p>
    <w:p>
      <w:pPr>
        <w:spacing w:after="0" w:line="63" w:lineRule="exact"/>
        <w:rPr>
          <w:sz w:val="20"/>
          <w:szCs w:val="20"/>
          <w:color w:val="auto"/>
        </w:rPr>
      </w:pPr>
    </w:p>
    <w:p>
      <w:pPr>
        <w:ind w:right="40" w:firstLine="621"/>
        <w:spacing w:after="0" w:line="285" w:lineRule="auto"/>
        <w:rPr>
          <w:sz w:val="20"/>
          <w:szCs w:val="20"/>
          <w:color w:val="auto"/>
        </w:rPr>
      </w:pPr>
      <w:r>
        <w:rPr>
          <w:rFonts w:ascii="Arial" w:cs="Arial" w:eastAsia="Arial" w:hAnsi="Arial"/>
          <w:sz w:val="16"/>
          <w:szCs w:val="16"/>
          <w:color w:val="auto"/>
        </w:rPr>
        <w:t>During the first half of 2021, revenue from a number of advertising categories returned to pre-COVID spending levels, while certain categories including travel, auto, and entertainment remain below pre-COVID spending levels. In the third quarter, we continued to see lower levels of spending in travel and auto, in part due to global supply chain disruptions, and also faced challenges due to government stay-at-home orders in certain markets such as Australia. We expect such challenges to persist throughout the remainder of 2021 and it is possible that they will increase in scope.</w:t>
      </w:r>
    </w:p>
    <w:p>
      <w:pPr>
        <w:spacing w:after="0" w:line="44" w:lineRule="exact"/>
        <w:rPr>
          <w:sz w:val="20"/>
          <w:szCs w:val="20"/>
          <w:color w:val="auto"/>
        </w:rPr>
      </w:pPr>
    </w:p>
    <w:p>
      <w:pPr>
        <w:ind w:firstLine="621"/>
        <w:spacing w:after="0" w:line="293" w:lineRule="auto"/>
        <w:rPr>
          <w:sz w:val="20"/>
          <w:szCs w:val="20"/>
          <w:color w:val="auto"/>
        </w:rPr>
      </w:pPr>
      <w:r>
        <w:rPr>
          <w:rFonts w:ascii="Arial" w:cs="Arial" w:eastAsia="Arial" w:hAnsi="Arial"/>
          <w:sz w:val="16"/>
          <w:szCs w:val="16"/>
          <w:color w:val="auto"/>
        </w:rPr>
        <w:t>Due to the substantial uncertainties associated with the COVID-19 pandemic, the extent to which the pandemic (and actions taken in response to it by governments, businesses, and individuals) and other direct and indirect impacts of the pandemic will ultimately impact our business and is currently unknown, and depends on various factors, many of which are outside of our control. Refer to Item 1A. "Risk Factors" for additional information related to this risk.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08" w:lineRule="exact"/>
        <w:rPr>
          <w:sz w:val="20"/>
          <w:szCs w:val="20"/>
          <w:color w:val="auto"/>
        </w:rPr>
      </w:pPr>
    </w:p>
    <w:p>
      <w:pPr>
        <w:ind w:right="500" w:firstLine="621"/>
        <w:spacing w:after="0" w:line="316" w:lineRule="auto"/>
        <w:rPr>
          <w:sz w:val="20"/>
          <w:szCs w:val="20"/>
          <w:color w:val="auto"/>
        </w:rPr>
      </w:pPr>
      <w:r>
        <w:rPr>
          <w:rFonts w:ascii="Arial" w:cs="Arial" w:eastAsia="Arial" w:hAnsi="Arial"/>
          <w:sz w:val="16"/>
          <w:szCs w:val="16"/>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w:t>
      </w:r>
    </w:p>
    <w:p>
      <w:pPr>
        <w:spacing w:after="0" w:line="102" w:lineRule="exact"/>
        <w:rPr>
          <w:sz w:val="20"/>
          <w:szCs w:val="20"/>
          <w:color w:val="auto"/>
        </w:rPr>
      </w:pPr>
    </w:p>
    <w:p>
      <w:pPr>
        <w:ind w:right="100" w:firstLine="621"/>
        <w:spacing w:after="0" w:line="276" w:lineRule="auto"/>
        <w:rPr>
          <w:sz w:val="20"/>
          <w:szCs w:val="20"/>
          <w:color w:val="auto"/>
        </w:rPr>
      </w:pPr>
      <w:r>
        <w:rPr>
          <w:rFonts w:ascii="Arial" w:cs="Arial" w:eastAsia="Arial" w:hAnsi="Arial"/>
          <w:sz w:val="16"/>
          <w:szCs w:val="16"/>
          <w:color w:val="auto"/>
        </w:rPr>
        <w:t>We generate revenue from the purchase and sale of digital advertising inventory through our platform. We also generate revenue from the fee we charge clients for use of our Demand Manager product and SpringServe ad server product, which we acquired on July 1, 2021. Generally, our revenue is based on a percentage of the ad spend that runs through our platform, although for certain clients or transaction types we may receive a fixed CPM for each impression sold.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54" w:lineRule="exact"/>
        <w:rPr>
          <w:sz w:val="20"/>
          <w:szCs w:val="20"/>
          <w:color w:val="auto"/>
        </w:rPr>
      </w:pPr>
    </w:p>
    <w:p>
      <w:pPr>
        <w:jc w:val="both"/>
        <w:ind w:firstLine="621"/>
        <w:spacing w:after="0" w:line="297" w:lineRule="auto"/>
        <w:rPr>
          <w:sz w:val="20"/>
          <w:szCs w:val="20"/>
          <w:color w:val="auto"/>
        </w:rPr>
      </w:pPr>
      <w:r>
        <w:rPr>
          <w:rFonts w:ascii="Arial" w:cs="Arial" w:eastAsia="Arial" w:hAnsi="Arial"/>
          <w:sz w:val="15"/>
          <w:szCs w:val="15"/>
          <w:color w:val="auto"/>
        </w:rPr>
        <w:t>Following the SpotX Acquisition, the percentage of our revenue reported on a gross basis has increased significantly. During the first quarter of 2021 (prior to the SpotX Acquisition), our revenue reported on a gross basis was less than 3% of total revenue. For the three months ended September 30, 2021, our revenue reported on a gross basis increased to 20% of total revenue. As revenue streams acquired in the SpotX Acquisition continue to increase, the percentage of revenue reported on a gross basis may continue to increase in future periods. Any mix shift that causes an increase in the relative percentage of our revenue accounted for on a gross basis would result in a higher revenue contribution and an associated decrease in our gross margin percentage (with no underlying impact on gross profit or Revenue excluding traffic and acquisition cost ("TAC"), as defined in section "Key Operating and Financial Performance Metrics"). Our revenue recognition policies are discussed in more detail in our audited consolidated financial statements and notes thereto for the year ended December 31, 2020 included in our Annual Report on Form 10-K and in Note 3 of the accompanying Notes to the Condensed Consolidated Financial Statements.</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Expenses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classify our expenses into the following categories:</w:t>
      </w:r>
    </w:p>
    <w:p>
      <w:pPr>
        <w:spacing w:after="0" w:line="102" w:lineRule="exact"/>
        <w:rPr>
          <w:sz w:val="20"/>
          <w:szCs w:val="20"/>
          <w:color w:val="auto"/>
        </w:rPr>
      </w:pPr>
    </w:p>
    <w:p>
      <w:pPr>
        <w:ind w:firstLine="621"/>
        <w:spacing w:after="0" w:line="277"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consists primarily of data center costs, bandwidth costs, ad protection costs, depreciation and maintenance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TAC.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0"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Our sales and marketing expenses consist primarily of personnel costs, including salaries, bonuses, and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33"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69" w:lineRule="exact"/>
        <w:rPr>
          <w:sz w:val="20"/>
          <w:szCs w:val="20"/>
          <w:color w:val="auto"/>
        </w:rPr>
      </w:pPr>
    </w:p>
    <w:p>
      <w:pPr>
        <w:ind w:right="180" w:firstLine="621"/>
        <w:spacing w:after="0" w:line="264"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consist primarily of personnel costs, including salaries, bonuses, and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associated with our executive, finance, legal, human resources, compliance, and other administrative personnel, as well as accounting and legal professional services fees, facilities-related costs and depreciation and amortization, and other corporate-related expenses. General and administrative expenses also include amortization of internal</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800"/>
        <w:spacing w:after="0" w:line="283" w:lineRule="auto"/>
        <w:rPr>
          <w:sz w:val="20"/>
          <w:szCs w:val="20"/>
          <w:color w:val="auto"/>
        </w:rPr>
      </w:pPr>
      <w:r>
        <w:rPr>
          <w:rFonts w:ascii="Arial" w:cs="Arial" w:eastAsia="Arial" w:hAnsi="Arial"/>
          <w:sz w:val="17"/>
          <w:szCs w:val="17"/>
          <w:color w:val="auto"/>
        </w:rPr>
        <w:t>use software development costs and acquired intangible assets from our business acquisitions over their estimated useful lives that relate to general and administrative functions.</w:t>
      </w:r>
    </w:p>
    <w:p>
      <w:pPr>
        <w:spacing w:after="0" w:line="31" w:lineRule="exact"/>
        <w:rPr>
          <w:sz w:val="20"/>
          <w:szCs w:val="20"/>
          <w:color w:val="auto"/>
        </w:rPr>
      </w:pPr>
    </w:p>
    <w:p>
      <w:pPr>
        <w:ind w:right="80" w:firstLine="621"/>
        <w:spacing w:after="0" w:line="268" w:lineRule="auto"/>
        <w:rPr>
          <w:sz w:val="20"/>
          <w:szCs w:val="20"/>
          <w:color w:val="auto"/>
        </w:rPr>
      </w:pPr>
      <w:r>
        <w:rPr>
          <w:rFonts w:ascii="Arial" w:cs="Arial" w:eastAsia="Arial" w:hAnsi="Arial"/>
          <w:sz w:val="17"/>
          <w:szCs w:val="17"/>
          <w:i w:val="1"/>
          <w:iCs w:val="1"/>
          <w:color w:val="auto"/>
        </w:rPr>
        <w:t xml:space="preserve">Merger, Acquisition, and Restructuring Costs. </w:t>
      </w:r>
      <w:r>
        <w:rPr>
          <w:rFonts w:ascii="Arial" w:cs="Arial" w:eastAsia="Arial" w:hAnsi="Arial"/>
          <w:sz w:val="17"/>
          <w:szCs w:val="17"/>
          <w:color w:val="auto"/>
        </w:rPr>
        <w:t>Our merger, acquisition, and restructuring costs consist primarily of professional service fees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merger and acquisition activities, including cash-based employee termination costs, stock-based compensation charges, and other restructuring activities, including facility closures, relocation costs, and contract termination costs.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02" w:lineRule="exact"/>
        <w:rPr>
          <w:sz w:val="20"/>
          <w:szCs w:val="20"/>
          <w:color w:val="auto"/>
        </w:rPr>
      </w:pPr>
    </w:p>
    <w:p>
      <w:pPr>
        <w:ind w:firstLine="621"/>
        <w:spacing w:after="0" w:line="316"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Interest expense consists of interest expense associated with our Convertible Senior Notes and credit facility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B Facility"), and their related amortization of debt issuance costs and debt discount. Interest income consists of interest earned on our cash equivalents.</w:t>
      </w:r>
    </w:p>
    <w:p>
      <w:pPr>
        <w:spacing w:after="0" w:line="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114" w:lineRule="exact"/>
        <w:rPr>
          <w:sz w:val="20"/>
          <w:szCs w:val="20"/>
          <w:color w:val="auto"/>
        </w:rPr>
      </w:pPr>
    </w:p>
    <w:p>
      <w:pPr>
        <w:ind w:right="20" w:firstLine="621"/>
        <w:spacing w:after="0" w:line="261" w:lineRule="auto"/>
        <w:rPr>
          <w:sz w:val="20"/>
          <w:szCs w:val="20"/>
          <w:color w:val="auto"/>
        </w:rPr>
      </w:pPr>
      <w:r>
        <w:rPr>
          <w:rFonts w:ascii="Arial" w:cs="Arial" w:eastAsia="Arial" w:hAnsi="Arial"/>
          <w:sz w:val="17"/>
          <w:szCs w:val="17"/>
          <w:i w:val="1"/>
          <w:iCs w:val="1"/>
          <w:color w:val="auto"/>
        </w:rPr>
        <w:t>Foreign Currency Exchange (Gain) Loss, Net</w:t>
      </w:r>
      <w:r>
        <w:rPr>
          <w:rFonts w:ascii="Arial" w:cs="Arial" w:eastAsia="Arial" w:hAnsi="Arial"/>
          <w:sz w:val="17"/>
          <w:szCs w:val="17"/>
          <w:color w:val="auto"/>
        </w:rPr>
        <w:t>. Foreign currency exchange (gain) loss, net consists primarily of gains and losses on foreign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89" w:lineRule="exact"/>
        <w:rPr>
          <w:sz w:val="20"/>
          <w:szCs w:val="20"/>
          <w:color w:val="auto"/>
        </w:rPr>
      </w:pPr>
    </w:p>
    <w:p>
      <w:pPr>
        <w:ind w:right="40" w:firstLine="621"/>
        <w:spacing w:after="0" w:line="275" w:lineRule="auto"/>
        <w:rPr>
          <w:sz w:val="20"/>
          <w:szCs w:val="20"/>
          <w:color w:val="auto"/>
        </w:rPr>
      </w:pPr>
      <w:r>
        <w:rPr>
          <w:rFonts w:ascii="Arial" w:cs="Arial" w:eastAsia="Arial" w:hAnsi="Arial"/>
          <w:sz w:val="16"/>
          <w:szCs w:val="16"/>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sets forth our condensed consolidated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29"/>
        </w:trPr>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24"/>
                <w:szCs w:val="24"/>
                <w:color w:val="auto"/>
              </w:rPr>
            </w:pPr>
          </w:p>
        </w:tc>
        <w:tc>
          <w:tcPr>
            <w:tcW w:w="1300" w:type="dxa"/>
            <w:vAlign w:val="bottom"/>
          </w:tcPr>
          <w:p>
            <w:pPr>
              <w:jc w:val="right"/>
              <w:ind w:right="63"/>
              <w:spacing w:after="0"/>
              <w:rPr>
                <w:sz w:val="20"/>
                <w:szCs w:val="20"/>
                <w:color w:val="auto"/>
              </w:rPr>
            </w:pPr>
            <w:r>
              <w:rPr>
                <w:rFonts w:ascii="Arial" w:cs="Arial" w:eastAsia="Arial" w:hAnsi="Arial"/>
                <w:sz w:val="14"/>
                <w:szCs w:val="14"/>
                <w:b w:val="1"/>
                <w:bCs w:val="1"/>
                <w:color w:val="auto"/>
                <w:w w:val="87"/>
              </w:rPr>
              <w:t>September 30, 2020</w:t>
            </w:r>
          </w:p>
        </w:tc>
        <w:tc>
          <w:tcPr>
            <w:tcW w:w="100" w:type="dxa"/>
            <w:vAlign w:val="bottom"/>
          </w:tcPr>
          <w:p>
            <w:pPr>
              <w:spacing w:after="0"/>
              <w:rPr>
                <w:sz w:val="24"/>
                <w:szCs w:val="24"/>
                <w:color w:val="auto"/>
              </w:rPr>
            </w:pPr>
          </w:p>
        </w:tc>
        <w:tc>
          <w:tcPr>
            <w:tcW w:w="1400" w:type="dxa"/>
            <w:vAlign w:val="bottom"/>
            <w:gridSpan w:val="2"/>
          </w:tcPr>
          <w:p>
            <w:pPr>
              <w:ind w:left="360"/>
              <w:spacing w:after="0"/>
              <w:rPr>
                <w:sz w:val="20"/>
                <w:szCs w:val="20"/>
                <w:color w:val="auto"/>
              </w:rPr>
            </w:pPr>
            <w:r>
              <w:rPr>
                <w:rFonts w:ascii="Arial" w:cs="Arial" w:eastAsia="Arial" w:hAnsi="Arial"/>
                <w:sz w:val="13"/>
                <w:szCs w:val="13"/>
                <w:b w:val="1"/>
                <w:bCs w:val="1"/>
                <w:color w:val="auto"/>
              </w:rPr>
              <w:t>Change %</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September 30, 2021</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September 30, 2020</w:t>
            </w:r>
          </w:p>
        </w:tc>
        <w:tc>
          <w:tcPr>
            <w:tcW w:w="100" w:type="dxa"/>
            <w:vAlign w:val="bottom"/>
          </w:tcPr>
          <w:p>
            <w:pPr>
              <w:spacing w:after="0"/>
              <w:rPr>
                <w:sz w:val="24"/>
                <w:szCs w:val="24"/>
                <w:color w:val="auto"/>
              </w:rPr>
            </w:pPr>
          </w:p>
        </w:tc>
        <w:tc>
          <w:tcPr>
            <w:tcW w:w="1260" w:type="dxa"/>
            <w:vAlign w:val="bottom"/>
          </w:tcPr>
          <w:p>
            <w:pPr>
              <w:jc w:val="right"/>
              <w:ind w:right="275"/>
              <w:spacing w:after="0"/>
              <w:rPr>
                <w:sz w:val="20"/>
                <w:szCs w:val="20"/>
                <w:color w:val="auto"/>
              </w:rPr>
            </w:pPr>
            <w:r>
              <w:rPr>
                <w:rFonts w:ascii="Arial" w:cs="Arial" w:eastAsia="Arial" w:hAnsi="Arial"/>
                <w:sz w:val="13"/>
                <w:szCs w:val="13"/>
                <w:b w:val="1"/>
                <w:bCs w:val="1"/>
                <w:color w:val="auto"/>
              </w:rPr>
              <w:t>Change %</w:t>
            </w:r>
          </w:p>
        </w:tc>
      </w:tr>
      <w:tr>
        <w:trPr>
          <w:trHeight w:val="179"/>
        </w:trPr>
        <w:tc>
          <w:tcPr>
            <w:tcW w:w="28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08"/>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131,871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307,127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3"/>
              </w:rPr>
              <w:t>139,625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207"/>
        </w:trPr>
        <w:tc>
          <w:tcPr>
            <w:tcW w:w="286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Expenses </w:t>
            </w:r>
            <w:r>
              <w:rPr>
                <w:rFonts w:ascii="Arial" w:cs="Arial" w:eastAsia="Arial" w:hAnsi="Arial"/>
                <w:sz w:val="20"/>
                <w:szCs w:val="20"/>
                <w:color w:val="auto"/>
                <w:vertAlign w:val="superscript"/>
              </w:rPr>
              <w:t>(1)(2)</w:t>
            </w: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63,541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202 %</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134,823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56,579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04"/>
        </w:trPr>
        <w:tc>
          <w:tcPr>
            <w:tcW w:w="286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12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52,260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21,761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118,122</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53,059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123 %</w:t>
            </w:r>
          </w:p>
        </w:tc>
      </w:tr>
      <w:tr>
        <w:trPr>
          <w:trHeight w:val="210"/>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Technology and development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53,436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37,318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43 %</w:t>
            </w:r>
          </w:p>
        </w:tc>
      </w:tr>
      <w:tr>
        <w:trPr>
          <w:trHeight w:val="204"/>
        </w:trPr>
        <w:tc>
          <w:tcPr>
            <w:tcW w:w="286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16,535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13,314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47,673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38,221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10"/>
        </w:trPr>
        <w:tc>
          <w:tcPr>
            <w:tcW w:w="28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8"/>
              </w:rPr>
              <w:t>Merger, acquisition, and restructuring costs</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37,778</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16,677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197"/>
        </w:trPr>
        <w:tc>
          <w:tcPr>
            <w:tcW w:w="286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155,819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71,922</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391,832</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3"/>
              </w:rPr>
              <w:t>201,854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94 %</w:t>
            </w: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(84,705)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(62,229)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4"/>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5,079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7,920</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(330)%</w:t>
            </w: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(92,625)</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(58,785)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04"/>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1,156 %</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(92,237)</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17,405 %</w:t>
            </w:r>
          </w:p>
        </w:tc>
      </w:tr>
      <w:tr>
        <w:trPr>
          <w:trHeight w:val="22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(59,318)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 Stock-based compensation expense included in our expenses was as follows:</w:t>
      </w:r>
    </w:p>
    <w:p>
      <w:pPr>
        <w:spacing w:after="0" w:line="177" w:lineRule="exact"/>
        <w:rPr>
          <w:sz w:val="20"/>
          <w:szCs w:val="20"/>
          <w:color w:val="auto"/>
        </w:rPr>
      </w:pPr>
    </w:p>
    <w:p>
      <w:pPr>
        <w:ind w:left="5940"/>
        <w:spacing w:after="0"/>
        <w:tabs>
          <w:tab w:leader="none" w:pos="91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1"/>
          <w:szCs w:val="11"/>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19050</wp:posOffset>
            </wp:positionV>
            <wp:extent cx="39427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427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3" w:lineRule="exact"/>
        <w:rPr>
          <w:sz w:val="20"/>
          <w:szCs w:val="20"/>
          <w:color w:val="auto"/>
        </w:rPr>
      </w:pPr>
    </w:p>
    <w:p>
      <w:pPr>
        <w:ind w:left="5200"/>
        <w:spacing w:after="0"/>
        <w:tabs>
          <w:tab w:leader="none" w:pos="676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19050</wp:posOffset>
            </wp:positionV>
            <wp:extent cx="19386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3"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wp:posOffset>
            </wp:positionV>
            <wp:extent cx="19386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p>
      <w:pPr>
        <w:sectPr>
          <w:pgSz w:w="11900" w:h="16838" w:orient="portrait"/>
          <w:cols w:equalWidth="0" w:num="2">
            <w:col w:w="7920" w:space="440"/>
            <w:col w:w="28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4,583</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2,309</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5,928</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3,828</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w:t>
            </w:r>
          </w:p>
        </w:tc>
      </w:tr>
      <w:tr>
        <w:trPr>
          <w:trHeight w:val="230"/>
        </w:trPr>
        <w:tc>
          <w:tcPr>
            <w:tcW w:w="5040" w:type="dxa"/>
            <w:vAlign w:val="bottom"/>
          </w:tcPr>
          <w:p>
            <w:pPr>
              <w:ind w:left="260"/>
              <w:spacing w:after="0"/>
              <w:rPr>
                <w:sz w:val="20"/>
                <w:szCs w:val="20"/>
                <w:color w:val="auto"/>
              </w:rPr>
            </w:pPr>
            <w:r>
              <w:rPr>
                <w:rFonts w:ascii="Arial" w:cs="Arial" w:eastAsia="Arial" w:hAnsi="Arial"/>
                <w:sz w:val="16"/>
                <w:szCs w:val="16"/>
                <w:color w:val="auto"/>
              </w:rPr>
              <w:t>General and administrative</w:t>
            </w:r>
          </w:p>
        </w:tc>
        <w:tc>
          <w:tcPr>
            <w:tcW w:w="540" w:type="dxa"/>
            <w:vAlign w:val="bottom"/>
          </w:tcPr>
          <w:p>
            <w:pPr>
              <w:spacing w:after="0"/>
              <w:rPr>
                <w:sz w:val="19"/>
                <w:szCs w:val="19"/>
                <w:color w:val="auto"/>
              </w:rPr>
            </w:pPr>
          </w:p>
        </w:tc>
        <w:tc>
          <w:tcPr>
            <w:tcW w:w="940" w:type="dxa"/>
            <w:vAlign w:val="bottom"/>
          </w:tcPr>
          <w:p>
            <w:pPr>
              <w:jc w:val="right"/>
              <w:ind w:right="4"/>
              <w:spacing w:after="0"/>
              <w:rPr>
                <w:sz w:val="20"/>
                <w:szCs w:val="20"/>
                <w:color w:val="auto"/>
              </w:rPr>
            </w:pPr>
            <w:r>
              <w:rPr>
                <w:rFonts w:ascii="Arial" w:cs="Arial" w:eastAsia="Arial" w:hAnsi="Arial"/>
                <w:sz w:val="16"/>
                <w:szCs w:val="16"/>
                <w:color w:val="auto"/>
              </w:rPr>
              <w:t>3,087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8,299</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7,935</w:t>
            </w:r>
          </w:p>
        </w:tc>
      </w:tr>
      <w:tr>
        <w:trPr>
          <w:trHeight w:val="210"/>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Merger, acquisition, and restructuring costs</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w:t>
            </w:r>
          </w:p>
        </w:tc>
      </w:tr>
      <w:tr>
        <w:trPr>
          <w:trHeight w:val="197"/>
        </w:trPr>
        <w:tc>
          <w:tcPr>
            <w:tcW w:w="5040" w:type="dxa"/>
            <w:vAlign w:val="bottom"/>
          </w:tcPr>
          <w:p>
            <w:pPr>
              <w:ind w:left="480"/>
              <w:spacing w:after="0"/>
              <w:rPr>
                <w:sz w:val="20"/>
                <w:szCs w:val="20"/>
                <w:color w:val="auto"/>
              </w:rPr>
            </w:pPr>
            <w:r>
              <w:rPr>
                <w:rFonts w:ascii="Arial" w:cs="Arial" w:eastAsia="Arial" w:hAnsi="Arial"/>
                <w:sz w:val="16"/>
                <w:szCs w:val="16"/>
                <w:color w:val="auto"/>
              </w:rPr>
              <w:t>Total stock-based compensation expense</w:t>
            </w:r>
          </w:p>
        </w:tc>
        <w:tc>
          <w:tcPr>
            <w:tcW w:w="5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11,824</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28,521</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21,298</w:t>
            </w:r>
          </w:p>
        </w:tc>
      </w:tr>
      <w:tr>
        <w:trPr>
          <w:trHeight w:val="22"/>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11"/>
        </w:trPr>
        <w:tc>
          <w:tcPr>
            <w:tcW w:w="5580" w:type="dxa"/>
            <w:vAlign w:val="bottom"/>
            <w:gridSpan w:val="2"/>
          </w:tcPr>
          <w:p>
            <w:pPr>
              <w:ind w:left="20"/>
              <w:spacing w:after="0"/>
              <w:rPr>
                <w:sz w:val="20"/>
                <w:szCs w:val="20"/>
                <w:color w:val="auto"/>
              </w:rPr>
            </w:pPr>
            <w:r>
              <w:rPr>
                <w:rFonts w:ascii="Arial" w:cs="Arial" w:eastAsia="Arial" w:hAnsi="Arial"/>
                <w:sz w:val="16"/>
                <w:szCs w:val="16"/>
                <w:color w:val="auto"/>
                <w:w w:val="93"/>
              </w:rPr>
              <w:t>(2) Depreciation and amortization expense included in our expenses was as follows: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69"/>
        </w:trPr>
        <w:tc>
          <w:tcPr>
            <w:tcW w:w="5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3"/>
          </w:tcPr>
          <w:p>
            <w:pPr>
              <w:jc w:val="right"/>
              <w:ind w:right="162"/>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7620</wp:posOffset>
            </wp:positionV>
            <wp:extent cx="39427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942715"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p>
      <w:pPr>
        <w:spacing w:after="0" w:line="15" w:lineRule="exact"/>
        <w:rPr>
          <w:sz w:val="20"/>
          <w:szCs w:val="20"/>
          <w:color w:val="auto"/>
        </w:rPr>
      </w:pPr>
    </w:p>
    <w:p>
      <w:pPr>
        <w:ind w:left="5200"/>
        <w:spacing w:after="0"/>
        <w:tabs>
          <w:tab w:leader="none" w:pos="676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19050</wp:posOffset>
            </wp:positionV>
            <wp:extent cx="19386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3" w:lineRule="exact"/>
        <w:rPr>
          <w:sz w:val="20"/>
          <w:szCs w:val="20"/>
          <w:color w:val="auto"/>
        </w:rPr>
      </w:pPr>
    </w:p>
    <w:p>
      <w:pPr>
        <w:ind w:left="61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4"/>
          <w:szCs w:val="14"/>
          <w:b w:val="1"/>
          <w:bCs w:val="1"/>
          <w:color w:val="auto"/>
        </w:rPr>
        <w:t>September 30, 2021</w:t>
      </w:r>
      <w:r>
        <w:rPr>
          <w:sz w:val="20"/>
          <w:szCs w:val="20"/>
          <w:color w:val="auto"/>
        </w:rPr>
        <w:tab/>
      </w:r>
      <w:r>
        <w:rPr>
          <w:rFonts w:ascii="Arial" w:cs="Arial" w:eastAsia="Arial" w:hAnsi="Arial"/>
          <w:sz w:val="11"/>
          <w:szCs w:val="11"/>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19050</wp:posOffset>
            </wp:positionV>
            <wp:extent cx="19386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 thousands)</w:t>
      </w:r>
    </w:p>
    <w:p>
      <w:pPr>
        <w:spacing w:after="0" w:line="38" w:lineRule="exact"/>
        <w:rPr>
          <w:sz w:val="20"/>
          <w:szCs w:val="20"/>
          <w:color w:val="auto"/>
        </w:rPr>
      </w:pPr>
    </w:p>
    <w:p>
      <w:pPr>
        <w:sectPr>
          <w:pgSz w:w="11900" w:h="16838" w:orient="portrait"/>
          <w:cols w:equalWidth="0" w:num="2">
            <w:col w:w="7920" w:space="440"/>
            <w:col w:w="28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revenue</w:t>
            </w: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26,407</w:t>
            </w:r>
          </w:p>
        </w:tc>
      </w:tr>
      <w:tr>
        <w:trPr>
          <w:trHeight w:val="204"/>
        </w:trPr>
        <w:tc>
          <w:tcPr>
            <w:tcW w:w="50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54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23,569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4,317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8,962</w:t>
            </w:r>
          </w:p>
        </w:tc>
      </w:tr>
      <w:tr>
        <w:trPr>
          <w:trHeight w:val="236"/>
        </w:trPr>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Technology and development</w:t>
            </w: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30"/>
        </w:trPr>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r>
      <w:tr>
        <w:trPr>
          <w:trHeight w:val="225"/>
        </w:trPr>
        <w:tc>
          <w:tcPr>
            <w:tcW w:w="5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 expense</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48,702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14,076</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97,084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36,157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560" w:firstLine="169"/>
        <w:spacing w:after="0" w:line="283" w:lineRule="auto"/>
        <w:rPr>
          <w:sz w:val="20"/>
          <w:szCs w:val="20"/>
          <w:color w:val="auto"/>
        </w:rPr>
      </w:pPr>
      <w:r>
        <w:rPr>
          <w:rFonts w:ascii="Arial" w:cs="Arial" w:eastAsia="Arial" w:hAnsi="Arial"/>
          <w:sz w:val="17"/>
          <w:szCs w:val="17"/>
          <w:color w:val="auto"/>
        </w:rPr>
        <w:t>The following table sets forth our condensed consolidated results of operations for the specified periods as a percentage of our revenue for those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r>
      <w:tr>
        <w:trPr>
          <w:trHeight w:val="179"/>
        </w:trPr>
        <w:tc>
          <w:tcPr>
            <w:tcW w:w="46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Borders>
              <w:bottom w:val="single" w:sz="8" w:color="auto"/>
            </w:tcBorders>
          </w:tcPr>
          <w:p>
            <w:pPr>
              <w:spacing w:after="0"/>
              <w:rPr>
                <w:sz w:val="15"/>
                <w:szCs w:val="15"/>
                <w:color w:val="auto"/>
              </w:rPr>
            </w:pPr>
          </w:p>
        </w:tc>
      </w:tr>
      <w:tr>
        <w:trPr>
          <w:trHeight w:val="240"/>
        </w:trPr>
        <w:tc>
          <w:tcPr>
            <w:tcW w:w="4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59"/>
        </w:trPr>
        <w:tc>
          <w:tcPr>
            <w:tcW w:w="4660" w:type="dxa"/>
            <w:vAlign w:val="bottom"/>
          </w:tcPr>
          <w:p>
            <w:pPr>
              <w:ind w:left="440"/>
              <w:spacing w:after="0"/>
              <w:rPr>
                <w:sz w:val="20"/>
                <w:szCs w:val="20"/>
                <w:color w:val="auto"/>
              </w:rPr>
            </w:pPr>
            <w:r>
              <w:rPr>
                <w:rFonts w:ascii="Arial" w:cs="Arial" w:eastAsia="Arial" w:hAnsi="Arial"/>
                <w:sz w:val="17"/>
                <w:szCs w:val="17"/>
                <w:color w:val="auto"/>
              </w:rPr>
              <w:t>Cost of revenue</w:t>
            </w:r>
          </w:p>
        </w:tc>
        <w:tc>
          <w:tcPr>
            <w:tcW w:w="1380" w:type="dxa"/>
            <w:vAlign w:val="bottom"/>
          </w:tcPr>
          <w:p>
            <w:pPr>
              <w:jc w:val="right"/>
              <w:spacing w:after="0"/>
              <w:rPr>
                <w:sz w:val="20"/>
                <w:szCs w:val="20"/>
                <w:color w:val="auto"/>
              </w:rPr>
            </w:pPr>
            <w:r>
              <w:rPr>
                <w:rFonts w:ascii="Arial" w:cs="Arial" w:eastAsia="Arial" w:hAnsi="Arial"/>
                <w:sz w:val="17"/>
                <w:szCs w:val="17"/>
                <w:color w:val="auto"/>
              </w:rPr>
              <w:t>48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w:t>
            </w:r>
          </w:p>
        </w:tc>
        <w:tc>
          <w:tcPr>
            <w:tcW w:w="180" w:type="dxa"/>
            <w:vAlign w:val="bottom"/>
          </w:tcPr>
          <w:p>
            <w:pPr>
              <w:spacing w:after="0"/>
              <w:rPr>
                <w:sz w:val="22"/>
                <w:szCs w:val="22"/>
                <w:color w:val="auto"/>
              </w:rPr>
            </w:pPr>
          </w:p>
        </w:tc>
      </w:tr>
      <w:tr>
        <w:trPr>
          <w:trHeight w:val="259"/>
        </w:trPr>
        <w:tc>
          <w:tcPr>
            <w:tcW w:w="4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Sales and marketing</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80" w:type="dxa"/>
            <w:vAlign w:val="bottom"/>
            <w:shd w:val="clear" w:color="auto" w:fill="CCEEFF"/>
          </w:tcPr>
          <w:p>
            <w:pPr>
              <w:spacing w:after="0"/>
              <w:rPr>
                <w:sz w:val="22"/>
                <w:szCs w:val="22"/>
                <w:color w:val="auto"/>
              </w:rPr>
            </w:pPr>
          </w:p>
        </w:tc>
      </w:tr>
      <w:tr>
        <w:trPr>
          <w:trHeight w:val="259"/>
        </w:trPr>
        <w:tc>
          <w:tcPr>
            <w:tcW w:w="4660" w:type="dxa"/>
            <w:vAlign w:val="bottom"/>
          </w:tcPr>
          <w:p>
            <w:pPr>
              <w:ind w:left="440"/>
              <w:spacing w:after="0"/>
              <w:rPr>
                <w:sz w:val="20"/>
                <w:szCs w:val="20"/>
                <w:color w:val="auto"/>
              </w:rPr>
            </w:pPr>
            <w:r>
              <w:rPr>
                <w:rFonts w:ascii="Arial" w:cs="Arial" w:eastAsia="Arial" w:hAnsi="Arial"/>
                <w:sz w:val="17"/>
                <w:szCs w:val="17"/>
                <w:color w:val="auto"/>
              </w:rPr>
              <w:t>Technology and development</w:t>
            </w:r>
          </w:p>
        </w:tc>
        <w:tc>
          <w:tcPr>
            <w:tcW w:w="1380" w:type="dxa"/>
            <w:vAlign w:val="bottom"/>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w:t>
            </w:r>
          </w:p>
        </w:tc>
        <w:tc>
          <w:tcPr>
            <w:tcW w:w="180" w:type="dxa"/>
            <w:vAlign w:val="bottom"/>
          </w:tcPr>
          <w:p>
            <w:pPr>
              <w:spacing w:after="0"/>
              <w:rPr>
                <w:sz w:val="22"/>
                <w:szCs w:val="22"/>
                <w:color w:val="auto"/>
              </w:rPr>
            </w:pPr>
          </w:p>
        </w:tc>
      </w:tr>
      <w:tr>
        <w:trPr>
          <w:trHeight w:val="220"/>
        </w:trPr>
        <w:tc>
          <w:tcPr>
            <w:tcW w:w="4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General and administrative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80" w:type="dxa"/>
            <w:vAlign w:val="bottom"/>
            <w:shd w:val="clear" w:color="auto" w:fill="CCEEFF"/>
          </w:tcPr>
          <w:p>
            <w:pPr>
              <w:spacing w:after="0"/>
              <w:rPr>
                <w:sz w:val="19"/>
                <w:szCs w:val="19"/>
                <w:color w:val="auto"/>
              </w:rPr>
            </w:pPr>
          </w:p>
        </w:tc>
      </w:tr>
      <w:tr>
        <w:trPr>
          <w:trHeight w:val="220"/>
        </w:trPr>
        <w:tc>
          <w:tcPr>
            <w:tcW w:w="466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Merger, acquisition, and restructuring costs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bottom w:val="single" w:sz="8" w:color="auto"/>
            </w:tcBorders>
          </w:tcPr>
          <w:p>
            <w:pPr>
              <w:spacing w:after="0"/>
              <w:rPr>
                <w:sz w:val="19"/>
                <w:szCs w:val="19"/>
                <w:color w:val="auto"/>
              </w:rPr>
            </w:pPr>
          </w:p>
        </w:tc>
      </w:tr>
      <w:tr>
        <w:trPr>
          <w:trHeight w:val="239"/>
        </w:trPr>
        <w:tc>
          <w:tcPr>
            <w:tcW w:w="46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expenses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7"/>
                <w:szCs w:val="17"/>
                <w:color w:val="auto"/>
              </w:rPr>
              <w:t>Loss from operations</w:t>
            </w:r>
          </w:p>
        </w:tc>
        <w:tc>
          <w:tcPr>
            <w:tcW w:w="138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(45)</w:t>
            </w:r>
          </w:p>
        </w:tc>
        <w:tc>
          <w:tcPr>
            <w:tcW w:w="180" w:type="dxa"/>
            <w:vAlign w:val="bottom"/>
          </w:tcPr>
          <w:p>
            <w:pPr>
              <w:spacing w:after="0"/>
              <w:rPr>
                <w:sz w:val="18"/>
                <w:szCs w:val="18"/>
                <w:color w:val="auto"/>
              </w:rPr>
            </w:pPr>
          </w:p>
        </w:tc>
      </w:tr>
      <w:tr>
        <w:trPr>
          <w:trHeight w:val="220"/>
        </w:trPr>
        <w:tc>
          <w:tcPr>
            <w:tcW w:w="4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(income) expense, net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660" w:type="dxa"/>
            <w:vAlign w:val="bottom"/>
          </w:tcPr>
          <w:p>
            <w:pPr>
              <w:ind w:left="260"/>
              <w:spacing w:after="0"/>
              <w:rPr>
                <w:sz w:val="20"/>
                <w:szCs w:val="20"/>
                <w:color w:val="auto"/>
              </w:rPr>
            </w:pPr>
            <w:r>
              <w:rPr>
                <w:rFonts w:ascii="Arial" w:cs="Arial" w:eastAsia="Arial" w:hAnsi="Arial"/>
                <w:sz w:val="17"/>
                <w:szCs w:val="17"/>
                <w:color w:val="auto"/>
              </w:rPr>
              <w:t>Loss before income taxes</w:t>
            </w:r>
          </w:p>
        </w:tc>
        <w:tc>
          <w:tcPr>
            <w:tcW w:w="1380" w:type="dxa"/>
            <w:vAlign w:val="bottom"/>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r>
      <w:tr>
        <w:trPr>
          <w:trHeight w:val="220"/>
        </w:trPr>
        <w:tc>
          <w:tcPr>
            <w:tcW w:w="4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Provision (benefit) for income taxes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7"/>
                <w:szCs w:val="17"/>
                <w:color w:val="auto"/>
              </w:rPr>
              <w:t>Net loss</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7"/>
                <w:szCs w:val="17"/>
                <w:color w:val="auto"/>
              </w:rPr>
              <w:t>— %</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(42) %</w:t>
            </w:r>
          </w:p>
        </w:tc>
      </w:tr>
      <w:tr>
        <w:trPr>
          <w:trHeight w:val="20"/>
        </w:trPr>
        <w:tc>
          <w:tcPr>
            <w:tcW w:w="46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and Nine Months Ended September 30, 2021 and 2020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Revenue</w:t>
      </w:r>
    </w:p>
    <w:p>
      <w:pPr>
        <w:spacing w:after="0" w:line="115" w:lineRule="exact"/>
        <w:rPr>
          <w:sz w:val="20"/>
          <w:szCs w:val="20"/>
          <w:color w:val="auto"/>
        </w:rPr>
      </w:pPr>
    </w:p>
    <w:p>
      <w:pPr>
        <w:ind w:right="140" w:firstLine="621"/>
        <w:spacing w:after="0" w:line="261" w:lineRule="auto"/>
        <w:rPr>
          <w:sz w:val="20"/>
          <w:szCs w:val="20"/>
          <w:color w:val="auto"/>
        </w:rPr>
      </w:pPr>
      <w:r>
        <w:rPr>
          <w:rFonts w:ascii="Arial" w:cs="Arial" w:eastAsia="Arial" w:hAnsi="Arial"/>
          <w:sz w:val="17"/>
          <w:szCs w:val="17"/>
          <w:color w:val="auto"/>
        </w:rPr>
        <w:t>Revenue increased $70.9 million, or 116%, for the three months ended September 30, 2021 compared to the three months ended September 30, 2020. Our revenue growth was driven primarily by increases in our core business as well as incremental revenue from the SpotX Acquisition, which was completed on April 30, 2021. On a pro forma basis, including SpotX and SpringServe revenue for the three months ended September 30, 2020, revenue increased 27% for the three months ended September 30, 2021 compared to the prior period, primarily due to the growth in all channels, mainly driven by CTV and mobile, and a rebound from impacts of the COVID-19 pandemic.</w:t>
      </w:r>
    </w:p>
    <w:p>
      <w:pPr>
        <w:spacing w:after="0" w:line="63"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Revenue increased $167.5 million, or 120%, for the nine months ended September 30, 2021 compared to the prior year period, for the same reasons above plus incremental contributions from the Telaria Merger, which was completed on April 1, 2020. On a pro forma basis, including revenue for SpringServe, SpotX, and Telaria during the relevant pre-acquisition period, revenue increased 47%, for the nine months ended September 30, 2021 compared to the prior year period.</w:t>
      </w:r>
    </w:p>
    <w:p>
      <w:pPr>
        <w:spacing w:after="0" w:line="45" w:lineRule="exact"/>
        <w:rPr>
          <w:sz w:val="20"/>
          <w:szCs w:val="20"/>
          <w:color w:val="auto"/>
        </w:rPr>
      </w:pPr>
    </w:p>
    <w:p>
      <w:pPr>
        <w:ind w:right="100" w:firstLine="621"/>
        <w:spacing w:after="0" w:line="275" w:lineRule="auto"/>
        <w:rPr>
          <w:sz w:val="20"/>
          <w:szCs w:val="20"/>
          <w:color w:val="auto"/>
        </w:rPr>
      </w:pPr>
      <w:r>
        <w:rPr>
          <w:rFonts w:ascii="Arial" w:cs="Arial" w:eastAsia="Arial" w:hAnsi="Arial"/>
          <w:sz w:val="16"/>
          <w:szCs w:val="16"/>
          <w:color w:val="auto"/>
        </w:rPr>
        <w:t>We expect our revenue will substantially increase through the remainder of 2021 as a result of our recent Acquisitions and from continued growth in other areas of our business, in particular CTV.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For instance, an increase in reserve auction transactions as a percentage of the transactions on our platform could also result in reduced revenue, if not offset by increased advertising spend, because reserve auction transactions can carry lower take rates than open auction transactions. We believe that contributions to revenue from reserve auction, in particular with respect to CTV which is largely transacted on a reserved basis, will continue to grow as a percentage of our total revenue. In general, we expect this shift will result in an overall increase in advertising spend through our platform and in revenue due to both an increase in volume and average CPM which will be partially offset by a decrease in our average take rate.</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89" w:lineRule="exact"/>
        <w:rPr>
          <w:sz w:val="20"/>
          <w:szCs w:val="20"/>
          <w:color w:val="auto"/>
        </w:rPr>
      </w:pPr>
    </w:p>
    <w:p>
      <w:pPr>
        <w:ind w:right="220" w:firstLine="621"/>
        <w:spacing w:after="0" w:line="261" w:lineRule="auto"/>
        <w:rPr>
          <w:sz w:val="20"/>
          <w:szCs w:val="20"/>
          <w:color w:val="auto"/>
        </w:rPr>
      </w:pPr>
      <w:r>
        <w:rPr>
          <w:rFonts w:ascii="Arial" w:cs="Arial" w:eastAsia="Arial" w:hAnsi="Arial"/>
          <w:sz w:val="17"/>
          <w:szCs w:val="17"/>
          <w:color w:val="auto"/>
        </w:rPr>
        <w:t>Cost of revenue increased $42.5 million, or 202%, for the three months ended September 30, 2021 compared to the three months ended September 30, 2020, primarily due to costs associated with our revenue growth, and an increase in traffic acquisition cost driven by the increase in revenue reported on a gross basis as a result of the SpotX Acquisition. Cost of revenue increased by $17.0 million in traffic acquisition costs associated with revenue recognized on a gross basis, $15.2 million in depreciation and amortization, and $6.6 million in data and bandwidth expenses during the three months ended September 30, 2021 compared to the same period in the prior year.</w:t>
      </w:r>
    </w:p>
    <w:p>
      <w:pPr>
        <w:spacing w:after="0" w:line="63" w:lineRule="exact"/>
        <w:rPr>
          <w:sz w:val="20"/>
          <w:szCs w:val="20"/>
          <w:color w:val="auto"/>
        </w:rPr>
      </w:pPr>
    </w:p>
    <w:p>
      <w:pPr>
        <w:ind w:right="60" w:firstLine="621"/>
        <w:spacing w:after="0" w:line="268" w:lineRule="auto"/>
        <w:rPr>
          <w:sz w:val="20"/>
          <w:szCs w:val="20"/>
          <w:color w:val="auto"/>
        </w:rPr>
      </w:pPr>
      <w:r>
        <w:rPr>
          <w:rFonts w:ascii="Arial" w:cs="Arial" w:eastAsia="Arial" w:hAnsi="Arial"/>
          <w:sz w:val="17"/>
          <w:szCs w:val="17"/>
          <w:color w:val="auto"/>
        </w:rPr>
        <w:t>For the nine months ended September 30, 2021, cost of revenue increased $78.2 million, or 138%, compared to the prior year period primarily due to the same reasons above, as well as increased costs from the Telaria Merger, which was completed on April 1, 2020. Cost of revenue increased by $31.6 million in traffic acquisition costs associated with revenue recognized on a gross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basis, $25.7 million in depreciation and amortization, and $15.1 million in data and bandwidth expenses during the nine months ended September 30, 2021 compared to the same period in the prior year.</w:t>
      </w:r>
    </w:p>
    <w:p>
      <w:pPr>
        <w:spacing w:after="0" w:line="31" w:lineRule="exact"/>
        <w:rPr>
          <w:sz w:val="20"/>
          <w:szCs w:val="20"/>
          <w:color w:val="auto"/>
        </w:rPr>
      </w:pPr>
    </w:p>
    <w:p>
      <w:pPr>
        <w:ind w:right="100" w:firstLine="621"/>
        <w:spacing w:after="0" w:line="293" w:lineRule="auto"/>
        <w:rPr>
          <w:sz w:val="20"/>
          <w:szCs w:val="20"/>
          <w:color w:val="auto"/>
        </w:rPr>
      </w:pPr>
      <w:r>
        <w:rPr>
          <w:rFonts w:ascii="Arial" w:cs="Arial" w:eastAsia="Arial" w:hAnsi="Arial"/>
          <w:sz w:val="16"/>
          <w:szCs w:val="16"/>
          <w:color w:val="auto"/>
        </w:rPr>
        <w:t>Our cost of revenue will continue to increase in future periods as a result of our recent acquisitions. In addition, excluding the impact of recent acquisitions, we expect our cost of revenue to increase on a year-over-year basis through the remainder of 2021 due primarily to the increase in expenses due to a full year of amortization of intangible assets resulting from the Telaria Merger and higher cloud service costs to support the growth of our business.</w:t>
      </w:r>
    </w:p>
    <w:p>
      <w:pPr>
        <w:spacing w:after="0" w:line="38" w:lineRule="exact"/>
        <w:rPr>
          <w:sz w:val="20"/>
          <w:szCs w:val="20"/>
          <w:color w:val="auto"/>
        </w:rPr>
      </w:pPr>
    </w:p>
    <w:p>
      <w:pPr>
        <w:ind w:right="200" w:firstLine="621"/>
        <w:spacing w:after="0" w:line="268" w:lineRule="auto"/>
        <w:rPr>
          <w:sz w:val="20"/>
          <w:szCs w:val="20"/>
          <w:color w:val="auto"/>
        </w:rPr>
      </w:pPr>
      <w:r>
        <w:rPr>
          <w:rFonts w:ascii="Arial" w:cs="Arial" w:eastAsia="Arial" w:hAnsi="Arial"/>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02" w:lineRule="exact"/>
        <w:rPr>
          <w:sz w:val="20"/>
          <w:szCs w:val="20"/>
          <w:color w:val="auto"/>
        </w:rPr>
      </w:pPr>
    </w:p>
    <w:p>
      <w:pPr>
        <w:ind w:right="160" w:firstLine="621"/>
        <w:spacing w:after="0" w:line="264" w:lineRule="auto"/>
        <w:rPr>
          <w:sz w:val="20"/>
          <w:szCs w:val="20"/>
          <w:color w:val="auto"/>
        </w:rPr>
      </w:pPr>
      <w:r>
        <w:rPr>
          <w:rFonts w:ascii="Arial" w:cs="Arial" w:eastAsia="Arial" w:hAnsi="Arial"/>
          <w:sz w:val="17"/>
          <w:szCs w:val="17"/>
          <w:color w:val="auto"/>
        </w:rPr>
        <w:t>Sales and marketing expenses increased $30.5 million, or 140%, for the three months ended September 30, 2021 compared to the three months ended September 30, 2020, primarily due to the SpotX Acquisition and associated increases in headcount and the amortization of acquired intangibles and other assets. Sales and marketing expenses increased by $19.3 million related to depreciation and amortization and by $10.5 million related to personnel expenses, both increases associated with the SpotX Acquisition.</w:t>
      </w:r>
    </w:p>
    <w:p>
      <w:pPr>
        <w:spacing w:after="0" w:line="58" w:lineRule="exact"/>
        <w:rPr>
          <w:sz w:val="20"/>
          <w:szCs w:val="20"/>
          <w:color w:val="auto"/>
        </w:rPr>
      </w:pPr>
    </w:p>
    <w:p>
      <w:pPr>
        <w:ind w:right="240" w:firstLine="621"/>
        <w:spacing w:after="0" w:line="268" w:lineRule="auto"/>
        <w:rPr>
          <w:sz w:val="20"/>
          <w:szCs w:val="20"/>
          <w:color w:val="auto"/>
        </w:rPr>
      </w:pPr>
      <w:r>
        <w:rPr>
          <w:rFonts w:ascii="Arial" w:cs="Arial" w:eastAsia="Arial" w:hAnsi="Arial"/>
          <w:sz w:val="17"/>
          <w:szCs w:val="17"/>
          <w:color w:val="auto"/>
        </w:rPr>
        <w:t>For the nine months ended September 30, 2021, sales and marketing expenses increased $65.1 million, or 123%, compared to the prior year period for the same reasons above. Sales and marketing expenses increased by $35.1 million related to depreciation and amortization and by $27.9 million related to personnel expenses, both increases associated with the SpotX Acquisition and the Telaria Merger.</w:t>
      </w:r>
    </w:p>
    <w:p>
      <w:pPr>
        <w:spacing w:after="0" w:line="44" w:lineRule="exact"/>
        <w:rPr>
          <w:sz w:val="20"/>
          <w:szCs w:val="20"/>
          <w:color w:val="auto"/>
        </w:rPr>
      </w:pPr>
    </w:p>
    <w:p>
      <w:pPr>
        <w:ind w:right="20" w:firstLine="621"/>
        <w:spacing w:after="0" w:line="264" w:lineRule="auto"/>
        <w:rPr>
          <w:sz w:val="20"/>
          <w:szCs w:val="20"/>
          <w:color w:val="auto"/>
        </w:rPr>
      </w:pPr>
      <w:r>
        <w:rPr>
          <w:rFonts w:ascii="Arial" w:cs="Arial" w:eastAsia="Arial" w:hAnsi="Arial"/>
          <w:sz w:val="17"/>
          <w:szCs w:val="17"/>
          <w:color w:val="auto"/>
        </w:rPr>
        <w:t>We expect sales and marketing expenses will continue to increase on a year-over-year basis through the remainder of 2021 due to increase in our headcount associated with our recent acquisitions, increases in travel and entertainment related expenses, as well as a full year of amortization of intangible assets resulting from the Telaria Merger, and amortization of acquired intangible assets as a result of the SpotX Acquisition, partially offset by reductions associated with cost synergies.</w:t>
      </w:r>
    </w:p>
    <w:p>
      <w:pPr>
        <w:spacing w:after="0" w:line="58"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Technology and Development</w:t>
      </w:r>
    </w:p>
    <w:p>
      <w:pPr>
        <w:spacing w:after="0" w:line="102" w:lineRule="exact"/>
        <w:rPr>
          <w:sz w:val="20"/>
          <w:szCs w:val="20"/>
          <w:color w:val="auto"/>
        </w:rPr>
      </w:pPr>
    </w:p>
    <w:p>
      <w:pPr>
        <w:ind w:right="300" w:firstLine="621"/>
        <w:spacing w:after="0" w:line="268" w:lineRule="auto"/>
        <w:rPr>
          <w:sz w:val="20"/>
          <w:szCs w:val="20"/>
          <w:color w:val="auto"/>
        </w:rPr>
      </w:pPr>
      <w:r>
        <w:rPr>
          <w:rFonts w:ascii="Arial" w:cs="Arial" w:eastAsia="Arial" w:hAnsi="Arial"/>
          <w:sz w:val="17"/>
          <w:szCs w:val="17"/>
          <w:color w:val="auto"/>
        </w:rPr>
        <w:t>Technology and development expenses increased $7.5 million, or 55%, for the three months ended September 30, 2021 compared to the three months ended September 30, 2020, due primarily to an increase of $7.1 million in personnel costs as a result of the increased headcount associated with the SpotX Acquisition.</w:t>
      </w:r>
    </w:p>
    <w:p>
      <w:pPr>
        <w:spacing w:after="0" w:line="57" w:lineRule="exact"/>
        <w:rPr>
          <w:sz w:val="20"/>
          <w:szCs w:val="20"/>
          <w:color w:val="auto"/>
        </w:rPr>
      </w:pPr>
    </w:p>
    <w:p>
      <w:pPr>
        <w:ind w:right="440" w:firstLine="621"/>
        <w:spacing w:after="0" w:line="283" w:lineRule="auto"/>
        <w:rPr>
          <w:sz w:val="20"/>
          <w:szCs w:val="20"/>
          <w:color w:val="auto"/>
        </w:rPr>
      </w:pPr>
      <w:r>
        <w:rPr>
          <w:rFonts w:ascii="Arial" w:cs="Arial" w:eastAsia="Arial" w:hAnsi="Arial"/>
          <w:sz w:val="17"/>
          <w:szCs w:val="17"/>
          <w:color w:val="auto"/>
        </w:rPr>
        <w:t>For the nine months ended September 30, 2021, technology and development expenses increased $16.1 million, or 43%, compared to the prior year period, due to an increase of $15.5 million in personnel costs primarily for the same reasons above as well as the Telaria Merger.</w:t>
      </w:r>
    </w:p>
    <w:p>
      <w:pPr>
        <w:spacing w:after="0" w:line="31" w:lineRule="exact"/>
        <w:rPr>
          <w:sz w:val="20"/>
          <w:szCs w:val="20"/>
          <w:color w:val="auto"/>
        </w:rPr>
      </w:pPr>
    </w:p>
    <w:p>
      <w:pPr>
        <w:ind w:right="140" w:firstLine="621"/>
        <w:spacing w:after="0" w:line="283" w:lineRule="auto"/>
        <w:rPr>
          <w:sz w:val="20"/>
          <w:szCs w:val="20"/>
          <w:color w:val="auto"/>
        </w:rPr>
      </w:pPr>
      <w:r>
        <w:rPr>
          <w:rFonts w:ascii="Arial" w:cs="Arial" w:eastAsia="Arial" w:hAnsi="Arial"/>
          <w:sz w:val="17"/>
          <w:szCs w:val="17"/>
          <w:color w:val="auto"/>
        </w:rPr>
        <w:t>We expect technology and development expenses to continue to increase on a year-over-year basis through the remainder of 2021 due to increase in our headcount associated with our recent acquisitions, partially offset by reductions associated with cost synergies.</w:t>
      </w:r>
    </w:p>
    <w:p>
      <w:pPr>
        <w:spacing w:after="0" w:line="43"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93" w:lineRule="exact"/>
        <w:rPr>
          <w:sz w:val="20"/>
          <w:szCs w:val="20"/>
          <w:color w:val="auto"/>
        </w:rPr>
      </w:pPr>
    </w:p>
    <w:p>
      <w:pPr>
        <w:ind w:right="240" w:firstLine="621"/>
        <w:spacing w:after="0" w:line="316" w:lineRule="auto"/>
        <w:rPr>
          <w:sz w:val="20"/>
          <w:szCs w:val="20"/>
          <w:color w:val="auto"/>
        </w:rPr>
      </w:pPr>
      <w:r>
        <w:rPr>
          <w:rFonts w:ascii="Arial" w:cs="Arial" w:eastAsia="Arial" w:hAnsi="Arial"/>
          <w:sz w:val="16"/>
          <w:szCs w:val="16"/>
          <w:color w:val="auto"/>
        </w:rPr>
        <w:t>General and administrative expenses increased by $3.2 million, or 24%, for the three months ended September 30, 2021 compared to the three months ended September 30, 2020, primarily due to increases of $1.6 million in personnel expenses primarily associated with the SpotX Acquisition.</w:t>
      </w:r>
    </w:p>
    <w:p>
      <w:pPr>
        <w:spacing w:after="0" w:line="7" w:lineRule="exact"/>
        <w:rPr>
          <w:sz w:val="20"/>
          <w:szCs w:val="20"/>
          <w:color w:val="auto"/>
        </w:rPr>
      </w:pPr>
    </w:p>
    <w:p>
      <w:pPr>
        <w:jc w:val="both"/>
        <w:ind w:right="100" w:firstLine="621"/>
        <w:spacing w:after="0" w:line="268" w:lineRule="auto"/>
        <w:rPr>
          <w:sz w:val="20"/>
          <w:szCs w:val="20"/>
          <w:color w:val="auto"/>
        </w:rPr>
      </w:pPr>
      <w:r>
        <w:rPr>
          <w:rFonts w:ascii="Arial" w:cs="Arial" w:eastAsia="Arial" w:hAnsi="Arial"/>
          <w:sz w:val="17"/>
          <w:szCs w:val="17"/>
          <w:color w:val="auto"/>
        </w:rPr>
        <w:t>For the nine months ended September 30, 2021, general and administrative expenses increased $9.5 million, or 25%, compared to the prior year period, primarily due to increases of $4.6 million in personnel expenses, $2.0 million in professional services, and $0.9 million in software licenses, for the same reasons above.</w:t>
      </w:r>
    </w:p>
    <w:p>
      <w:pPr>
        <w:spacing w:after="0" w:line="57" w:lineRule="exact"/>
        <w:rPr>
          <w:sz w:val="20"/>
          <w:szCs w:val="20"/>
          <w:color w:val="auto"/>
        </w:rPr>
      </w:pPr>
    </w:p>
    <w:p>
      <w:pPr>
        <w:ind w:right="680" w:firstLine="621"/>
        <w:spacing w:after="0" w:line="283" w:lineRule="auto"/>
        <w:rPr>
          <w:sz w:val="20"/>
          <w:szCs w:val="20"/>
          <w:color w:val="auto"/>
        </w:rPr>
      </w:pPr>
      <w:r>
        <w:rPr>
          <w:rFonts w:ascii="Arial" w:cs="Arial" w:eastAsia="Arial" w:hAnsi="Arial"/>
          <w:sz w:val="17"/>
          <w:szCs w:val="17"/>
          <w:color w:val="auto"/>
        </w:rPr>
        <w:t>We expect general and administrative expenses will continue to increase on a year-over-year basis through the remainder of 2021 due our recent acquisitions, partially offset by reductions associated with cost synergies.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60" w:firstLine="621"/>
        <w:spacing w:after="0" w:line="353" w:lineRule="auto"/>
        <w:rPr>
          <w:sz w:val="20"/>
          <w:szCs w:val="20"/>
          <w:color w:val="auto"/>
        </w:rPr>
      </w:pPr>
      <w:r>
        <w:rPr>
          <w:rFonts w:ascii="Arial" w:cs="Arial" w:eastAsia="Arial" w:hAnsi="Arial"/>
          <w:sz w:val="15"/>
          <w:szCs w:val="15"/>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Merger, Acquisition, and Restructuring Costs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8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2860" w:type="dxa"/>
            <w:vAlign w:val="bottom"/>
            <w:gridSpan w:val="4"/>
          </w:tcPr>
          <w:p>
            <w:pPr>
              <w:jc w:val="right"/>
              <w:ind w:right="757"/>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8"/>
              </w:rPr>
              <w:t>September 30, 2020</w:t>
            </w:r>
          </w:p>
        </w:tc>
        <w:tc>
          <w:tcPr>
            <w:tcW w:w="8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8"/>
              </w:rPr>
              <w:t>September 30, 2020</w:t>
            </w:r>
          </w:p>
        </w:tc>
        <w:tc>
          <w:tcPr>
            <w:tcW w:w="0" w:type="dxa"/>
            <w:vAlign w:val="bottom"/>
          </w:tcPr>
          <w:p>
            <w:pPr>
              <w:spacing w:after="0"/>
              <w:rPr>
                <w:sz w:val="1"/>
                <w:szCs w:val="1"/>
                <w:color w:val="auto"/>
              </w:rPr>
            </w:pPr>
          </w:p>
        </w:tc>
      </w:tr>
      <w:tr>
        <w:trPr>
          <w:trHeight w:val="174"/>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8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w w:val="98"/>
              </w:rPr>
              <w:t>Professional Services (investment banking advisory, legal and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1,064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28,032</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9,533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services)</w:t>
            </w:r>
          </w:p>
        </w:tc>
        <w:tc>
          <w:tcPr>
            <w:tcW w:w="14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w w:val="96"/>
              </w:rPr>
              <w:t>Personnel related (severance and one-time termination benefit costs)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5,590</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Non-cash stock-based compensation (double-trigger acceleration and</w:t>
            </w:r>
          </w:p>
        </w:tc>
        <w:tc>
          <w:tcPr>
            <w:tcW w:w="14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1,554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w:t>
            </w:r>
          </w:p>
        </w:tc>
        <w:tc>
          <w:tcPr>
            <w:tcW w:w="14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ind w:left="20"/>
              <w:spacing w:after="0"/>
              <w:rPr>
                <w:sz w:val="20"/>
                <w:szCs w:val="20"/>
                <w:color w:val="auto"/>
              </w:rPr>
            </w:pPr>
            <w:r>
              <w:rPr>
                <w:rFonts w:ascii="Arial" w:cs="Arial" w:eastAsia="Arial" w:hAnsi="Arial"/>
                <w:sz w:val="17"/>
                <w:szCs w:val="17"/>
                <w:color w:val="auto"/>
              </w:rPr>
              <w:t>Loss contracts (lease related)</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merger, acquisition, and restructuring costs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16,677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80" w:firstLine="621"/>
        <w:spacing w:after="0" w:line="277" w:lineRule="auto"/>
        <w:rPr>
          <w:sz w:val="20"/>
          <w:szCs w:val="20"/>
          <w:color w:val="auto"/>
        </w:rPr>
      </w:pPr>
      <w:r>
        <w:rPr>
          <w:rFonts w:ascii="Arial" w:cs="Arial" w:eastAsia="Arial" w:hAnsi="Arial"/>
          <w:sz w:val="16"/>
          <w:szCs w:val="16"/>
          <w:color w:val="auto"/>
        </w:rPr>
        <w:t>Merger, acquisition, and restructuring costs increased by $0.2 million, or 8%, for the three months ended September 30, 2021 compared to the three months ended September 30, 2020. Costs incurred during the three months ended September 30, 2021 of $2.4 million were primarily due to the SpotX and SpringServe Acquisitions, which were completed on April 30, 2021 and July 1, 2021, respectively, which costs included investment banking advisory, legal, and other professional services fees, one-time cash-based employee termination benefit costs, and non-cash stock-based compensation expense associated with equity accelerations due to severance benefits. Costs incurred during the three months ended September 30, 2020 of $2.3 million were primarily due to the Telaria Merger, which was completed on April 1, 2020, which costs included investment banking advisory, legal, and other professional services fees, one-time cash-based employee termination benefit costs, and non-cash stock-based compensation expense associated with double-trigger accelerations.</w:t>
      </w:r>
    </w:p>
    <w:p>
      <w:pPr>
        <w:spacing w:after="0" w:line="143"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Merger, acquisition, and restructuring costs increased by $21.1 million, or 127%, for the nine months ended September 30, 2021 compared to the prior year period for the same reasons above as well as facility closure costs associated with office space restructuring activities.</w:t>
      </w:r>
    </w:p>
    <w:p>
      <w:pPr>
        <w:spacing w:after="0" w:line="31" w:lineRule="exact"/>
        <w:rPr>
          <w:sz w:val="20"/>
          <w:szCs w:val="20"/>
          <w:color w:val="auto"/>
        </w:rPr>
      </w:pPr>
    </w:p>
    <w:p>
      <w:pPr>
        <w:ind w:right="360" w:firstLine="621"/>
        <w:spacing w:after="0" w:line="283" w:lineRule="auto"/>
        <w:rPr>
          <w:sz w:val="20"/>
          <w:szCs w:val="20"/>
          <w:color w:val="auto"/>
        </w:rPr>
      </w:pPr>
      <w:r>
        <w:rPr>
          <w:rFonts w:ascii="Arial" w:cs="Arial" w:eastAsia="Arial" w:hAnsi="Arial"/>
          <w:sz w:val="17"/>
          <w:szCs w:val="17"/>
          <w:color w:val="auto"/>
        </w:rPr>
        <w:t>We expect to continue to incur merger, acquisition, and restructuring costs to continue to increase on a year-over-year basis through the remainder of 2021 as a result of the SpotX and SpringServe Acquisitions and related restructuring activities.</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6"/>
                <w:szCs w:val="16"/>
                <w:color w:val="auto"/>
              </w:rPr>
            </w:pPr>
          </w:p>
        </w:tc>
        <w:tc>
          <w:tcPr>
            <w:tcW w:w="2760" w:type="dxa"/>
            <w:vAlign w:val="bottom"/>
            <w:gridSpan w:val="4"/>
          </w:tcPr>
          <w:p>
            <w:pPr>
              <w:jc w:val="right"/>
              <w:ind w:right="757"/>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464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4"/>
              </w:rPr>
              <w:t>September 30, 2020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5"/>
              </w:rPr>
              <w:t>September 30, 2020</w:t>
            </w:r>
          </w:p>
        </w:tc>
      </w:tr>
      <w:tr>
        <w:trPr>
          <w:trHeight w:val="168"/>
        </w:trPr>
        <w:tc>
          <w:tcPr>
            <w:tcW w:w="4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4"/>
                <w:szCs w:val="14"/>
                <w:color w:val="auto"/>
              </w:rPr>
            </w:pPr>
          </w:p>
        </w:tc>
        <w:tc>
          <w:tcPr>
            <w:tcW w:w="2760" w:type="dxa"/>
            <w:vAlign w:val="bottom"/>
            <w:gridSpan w:val="4"/>
          </w:tcPr>
          <w:p>
            <w:pPr>
              <w:jc w:val="right"/>
              <w:ind w:right="957"/>
              <w:spacing w:after="0"/>
              <w:rPr>
                <w:sz w:val="20"/>
                <w:szCs w:val="20"/>
                <w:color w:val="auto"/>
              </w:rPr>
            </w:pPr>
            <w:r>
              <w:rPr>
                <w:rFonts w:ascii="Arial" w:cs="Arial" w:eastAsia="Arial" w:hAnsi="Arial"/>
                <w:sz w:val="13"/>
                <w:szCs w:val="13"/>
                <w:b w:val="1"/>
                <w:bCs w:val="1"/>
                <w:color w:val="auto"/>
              </w:rPr>
              <w:t>(in thousands)</w:t>
            </w:r>
          </w:p>
        </w:tc>
      </w:tr>
      <w:tr>
        <w:trPr>
          <w:trHeight w:val="227"/>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expense, net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7,280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12,595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20"/>
        </w:trPr>
        <w:tc>
          <w:tcPr>
            <w:tcW w:w="4640" w:type="dxa"/>
            <w:vAlign w:val="bottom"/>
          </w:tcPr>
          <w:p>
            <w:pPr>
              <w:ind w:left="20"/>
              <w:spacing w:after="0"/>
              <w:rPr>
                <w:sz w:val="20"/>
                <w:szCs w:val="20"/>
                <w:color w:val="auto"/>
              </w:rPr>
            </w:pPr>
            <w:r>
              <w:rPr>
                <w:rFonts w:ascii="Arial" w:cs="Arial" w:eastAsia="Arial" w:hAnsi="Arial"/>
                <w:sz w:val="17"/>
                <w:szCs w:val="17"/>
                <w:color w:val="auto"/>
              </w:rPr>
              <w:t>Other income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(1,194)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(2,487)</w:t>
            </w: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(gain) loss, net</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r>
      <w:tr>
        <w:trPr>
          <w:trHeight w:val="213"/>
        </w:trPr>
        <w:tc>
          <w:tcPr>
            <w:tcW w:w="4640" w:type="dxa"/>
            <w:vAlign w:val="bottom"/>
          </w:tcPr>
          <w:p>
            <w:pPr>
              <w:ind w:left="20"/>
              <w:spacing w:after="0"/>
              <w:rPr>
                <w:sz w:val="20"/>
                <w:szCs w:val="20"/>
                <w:color w:val="auto"/>
              </w:rPr>
            </w:pPr>
            <w:r>
              <w:rPr>
                <w:rFonts w:ascii="Arial" w:cs="Arial" w:eastAsia="Arial" w:hAnsi="Arial"/>
                <w:sz w:val="17"/>
                <w:szCs w:val="17"/>
                <w:color w:val="auto"/>
              </w:rPr>
              <w:t>Total other (income) expense,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5,079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7,920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(3,444)</w:t>
            </w: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Interest (income) expense, net increased by $7.3 million and $12.7 million during the three and nine months ended September 30, 2021, respectively, compared to the same periods in the prior year, mainly due to interest expense associated with the Convertible Senior Notes (defined below), which the Company entered into during March 2021, and interest expense associated with the Term Loan B Facility (defined below), which the Company entered into during April 2021.</w:t>
      </w:r>
    </w:p>
    <w:p>
      <w:pPr>
        <w:spacing w:after="0" w:line="58" w:lineRule="exact"/>
        <w:rPr>
          <w:sz w:val="20"/>
          <w:szCs w:val="20"/>
          <w:color w:val="auto"/>
        </w:rPr>
      </w:pPr>
    </w:p>
    <w:p>
      <w:pPr>
        <w:ind w:right="120" w:firstLine="621"/>
        <w:spacing w:after="0" w:line="283" w:lineRule="auto"/>
        <w:rPr>
          <w:sz w:val="20"/>
          <w:szCs w:val="20"/>
          <w:color w:val="auto"/>
        </w:rPr>
      </w:pPr>
      <w:r>
        <w:rPr>
          <w:rFonts w:ascii="Arial" w:cs="Arial" w:eastAsia="Arial" w:hAnsi="Arial"/>
          <w:sz w:val="17"/>
          <w:szCs w:val="17"/>
          <w:color w:val="auto"/>
        </w:rPr>
        <w:t>We expect interest expense to increase in 2021 compared to 2020 significantly as a result of increase in interest expense associated with our Convertible Senior Notes and Term Loan B Facility.</w:t>
      </w:r>
    </w:p>
    <w:p>
      <w:pPr>
        <w:spacing w:after="0" w:line="31" w:lineRule="exact"/>
        <w:rPr>
          <w:sz w:val="20"/>
          <w:szCs w:val="20"/>
          <w:color w:val="auto"/>
        </w:rPr>
      </w:pPr>
    </w:p>
    <w:p>
      <w:pPr>
        <w:ind w:right="80" w:firstLine="621"/>
        <w:spacing w:after="0" w:line="264" w:lineRule="auto"/>
        <w:rPr>
          <w:sz w:val="20"/>
          <w:szCs w:val="20"/>
          <w:color w:val="auto"/>
        </w:rPr>
      </w:pPr>
      <w:r>
        <w:rPr>
          <w:rFonts w:ascii="Arial" w:cs="Arial" w:eastAsia="Arial" w:hAnsi="Arial"/>
          <w:sz w:val="17"/>
          <w:szCs w:val="17"/>
          <w:color w:val="auto"/>
        </w:rPr>
        <w:t>Foreign exchange (gain) loss, net is impacted by movements in exchange rates and the amount of foreign currency-denominated cash, receivables, payables, and intercompany balances, which are impacted by our billings to buyers and payments to sellers. During the three and nine months ended September 30, 2021, the net foreign exchange gain was primarily attributable to the currency movements between the British Pound, Australian Dollar, Canadian Dollar, and the Euro relative to the U.S. Dollar.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(Benefit) for Income Taxes</w:t>
      </w:r>
    </w:p>
    <w:p>
      <w:pPr>
        <w:spacing w:after="0" w:line="193" w:lineRule="exact"/>
        <w:rPr>
          <w:sz w:val="20"/>
          <w:szCs w:val="20"/>
          <w:color w:val="auto"/>
        </w:rPr>
      </w:pPr>
    </w:p>
    <w:p>
      <w:pPr>
        <w:ind w:right="40" w:firstLine="172"/>
        <w:spacing w:after="0" w:line="277" w:lineRule="auto"/>
        <w:rPr>
          <w:sz w:val="20"/>
          <w:szCs w:val="20"/>
          <w:color w:val="auto"/>
        </w:rPr>
      </w:pPr>
      <w:r>
        <w:rPr>
          <w:rFonts w:ascii="Arial" w:cs="Arial" w:eastAsia="Arial" w:hAnsi="Arial"/>
          <w:sz w:val="16"/>
          <w:szCs w:val="16"/>
          <w:color w:val="auto"/>
        </w:rPr>
        <w:t>We recorded an income tax benefit of $4.7 million and expense of $0.4 million for the three months ended September 30, 2021 and 2020, respectively and an income tax benefit of $92.2 million and expense of $0.5 million for the nine months ended September 30, 2021 and 2020, respectively. The tax benefit for the three and nine months ended September 30, 2021 is primarily the result of the partial release of the domestic valuation allowance of $56.2 million related to the SpotX Acquisition, as well as the income tax benefit of a portion of our current year projected loss. The net deferred tax liabilities recorded in connection with the SpotX and SpringServe Acquisitions provided an additional source of taxable income to support the realizability of pre-existing deferred tax assets, and, as a result, we released a portion of our domestic valuation allowance and recognized current benefit for a portion of our projected losses. We continue to maintain a partial valuation allowance for our domestic deferred tax assets.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Performance Metrics</w:t>
      </w:r>
    </w:p>
    <w:p>
      <w:pPr>
        <w:spacing w:after="0" w:line="108" w:lineRule="exact"/>
        <w:rPr>
          <w:sz w:val="20"/>
          <w:szCs w:val="20"/>
          <w:color w:val="auto"/>
        </w:rPr>
      </w:pPr>
    </w:p>
    <w:p>
      <w:pPr>
        <w:ind w:right="80" w:firstLine="621"/>
        <w:spacing w:after="0" w:line="285" w:lineRule="auto"/>
        <w:rPr>
          <w:sz w:val="20"/>
          <w:szCs w:val="20"/>
          <w:color w:val="auto"/>
        </w:rPr>
      </w:pPr>
      <w:r>
        <w:rPr>
          <w:rFonts w:ascii="Arial" w:cs="Arial" w:eastAsia="Arial" w:hAnsi="Arial"/>
          <w:sz w:val="16"/>
          <w:szCs w:val="16"/>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Nine Months Ended</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September 30, 2020</w:t>
            </w:r>
          </w:p>
        </w:tc>
        <w:tc>
          <w:tcPr>
            <w:tcW w:w="100" w:type="dxa"/>
            <w:vAlign w:val="bottom"/>
            <w:vMerge w:val="restart"/>
          </w:tcPr>
          <w:p>
            <w:pPr>
              <w:spacing w:after="0"/>
              <w:rPr>
                <w:sz w:val="11"/>
                <w:szCs w:val="11"/>
                <w:color w:val="auto"/>
              </w:rPr>
            </w:pPr>
          </w:p>
        </w:tc>
        <w:tc>
          <w:tcPr>
            <w:tcW w:w="12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Favorable/</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September 30, 2020</w:t>
            </w:r>
          </w:p>
        </w:tc>
        <w:tc>
          <w:tcPr>
            <w:tcW w:w="100" w:type="dxa"/>
            <w:vAlign w:val="bottom"/>
            <w:vMerge w:val="restart"/>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Favorable/</w:t>
            </w:r>
          </w:p>
        </w:tc>
        <w:tc>
          <w:tcPr>
            <w:tcW w:w="0" w:type="dxa"/>
            <w:vAlign w:val="bottom"/>
          </w:tcPr>
          <w:p>
            <w:pPr>
              <w:spacing w:after="0"/>
              <w:rPr>
                <w:sz w:val="1"/>
                <w:szCs w:val="1"/>
                <w:color w:val="auto"/>
              </w:rPr>
            </w:pPr>
          </w:p>
        </w:tc>
      </w:tr>
      <w:tr>
        <w:trPr>
          <w:trHeight w:val="180"/>
        </w:trPr>
        <w:tc>
          <w:tcPr>
            <w:tcW w:w="3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(Unfavorable)</w:t>
            </w:r>
          </w:p>
        </w:tc>
        <w:tc>
          <w:tcPr>
            <w:tcW w:w="0" w:type="dxa"/>
            <w:vAlign w:val="bottom"/>
          </w:tcPr>
          <w:p>
            <w:pPr>
              <w:spacing w:after="0"/>
              <w:rPr>
                <w:sz w:val="1"/>
                <w:szCs w:val="1"/>
                <w:color w:val="auto"/>
              </w:rPr>
            </w:pPr>
          </w:p>
        </w:tc>
      </w:tr>
      <w:tr>
        <w:trPr>
          <w:trHeight w:val="214"/>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ind w:left="174"/>
              <w:spacing w:after="0"/>
              <w:rPr>
                <w:sz w:val="20"/>
                <w:szCs w:val="20"/>
                <w:color w:val="auto"/>
              </w:rPr>
            </w:pPr>
            <w:r>
              <w:rPr>
                <w:rFonts w:ascii="Arial" w:cs="Arial" w:eastAsia="Arial" w:hAnsi="Arial"/>
                <w:sz w:val="17"/>
                <w:szCs w:val="17"/>
                <w:color w:val="auto"/>
                <w:w w:val="92"/>
              </w:rPr>
              <w:t>60,982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440" w:type="dxa"/>
            <w:vAlign w:val="bottom"/>
            <w:gridSpan w:val="2"/>
            <w:shd w:val="clear" w:color="auto" w:fill="CCEEFF"/>
          </w:tcPr>
          <w:p>
            <w:pPr>
              <w:jc w:val="right"/>
              <w:ind w:right="171"/>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139,625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120%</w:t>
            </w:r>
          </w:p>
        </w:tc>
        <w:tc>
          <w:tcPr>
            <w:tcW w:w="0" w:type="dxa"/>
            <w:vAlign w:val="bottom"/>
          </w:tcPr>
          <w:p>
            <w:pPr>
              <w:spacing w:after="0"/>
              <w:rPr>
                <w:sz w:val="1"/>
                <w:szCs w:val="1"/>
                <w:color w:val="auto"/>
              </w:rPr>
            </w:pPr>
          </w:p>
        </w:tc>
      </w:tr>
      <w:tr>
        <w:trPr>
          <w:trHeight w:val="220"/>
        </w:trPr>
        <w:tc>
          <w:tcPr>
            <w:tcW w:w="3580" w:type="dxa"/>
            <w:vAlign w:val="bottom"/>
          </w:tcPr>
          <w:p>
            <w:pPr>
              <w:ind w:left="20"/>
              <w:spacing w:after="0"/>
              <w:rPr>
                <w:sz w:val="20"/>
                <w:szCs w:val="20"/>
                <w:color w:val="auto"/>
              </w:rPr>
            </w:pPr>
            <w:r>
              <w:rPr>
                <w:rFonts w:ascii="Arial" w:cs="Arial" w:eastAsia="Arial" w:hAnsi="Arial"/>
                <w:sz w:val="17"/>
                <w:szCs w:val="17"/>
                <w:color w:val="auto"/>
              </w:rPr>
              <w:t>Revenue ex-TAC</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114,064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60,302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3"/>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274,356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138,647</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8"/>
              </w:rPr>
              <w:t>98%</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34"/>
              <w:spacing w:after="0"/>
              <w:rPr>
                <w:sz w:val="20"/>
                <w:szCs w:val="20"/>
                <w:color w:val="auto"/>
              </w:rPr>
            </w:pPr>
            <w:r>
              <w:rPr>
                <w:rFonts w:ascii="Arial" w:cs="Arial" w:eastAsia="Arial" w:hAnsi="Arial"/>
                <w:sz w:val="17"/>
                <w:szCs w:val="17"/>
                <w:color w:val="auto"/>
                <w:w w:val="94"/>
              </w:rPr>
              <w:t>(10,515)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99%</w:t>
            </w:r>
          </w:p>
        </w:tc>
        <w:tc>
          <w:tcPr>
            <w:tcW w:w="0" w:type="dxa"/>
            <w:vAlign w:val="bottom"/>
          </w:tcPr>
          <w:p>
            <w:pPr>
              <w:spacing w:after="0"/>
              <w:rPr>
                <w:sz w:val="1"/>
                <w:szCs w:val="1"/>
                <w:color w:val="auto"/>
              </w:rPr>
            </w:pPr>
          </w:p>
        </w:tc>
      </w:tr>
      <w:tr>
        <w:trPr>
          <w:trHeight w:val="220"/>
        </w:trPr>
        <w:tc>
          <w:tcPr>
            <w:tcW w:w="358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center"/>
              <w:ind w:left="174"/>
              <w:spacing w:after="0"/>
              <w:rPr>
                <w:sz w:val="20"/>
                <w:szCs w:val="20"/>
                <w:color w:val="auto"/>
              </w:rPr>
            </w:pPr>
            <w:r>
              <w:rPr>
                <w:rFonts w:ascii="Arial" w:cs="Arial" w:eastAsia="Arial" w:hAnsi="Arial"/>
                <w:sz w:val="17"/>
                <w:szCs w:val="17"/>
                <w:color w:val="auto"/>
                <w:w w:val="92"/>
              </w:rPr>
              <w:t>13,749</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81,121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13,054</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6"/>
              </w:rPr>
              <w:t>521%</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Revenue ex-TAC:</w:t>
      </w:r>
    </w:p>
    <w:p>
      <w:pPr>
        <w:spacing w:after="0" w:line="95" w:lineRule="exact"/>
        <w:rPr>
          <w:sz w:val="20"/>
          <w:szCs w:val="20"/>
          <w:color w:val="auto"/>
        </w:rPr>
      </w:pPr>
    </w:p>
    <w:p>
      <w:pPr>
        <w:ind w:right="80" w:firstLine="621"/>
        <w:spacing w:after="0" w:line="304" w:lineRule="auto"/>
        <w:rPr>
          <w:sz w:val="20"/>
          <w:szCs w:val="20"/>
          <w:color w:val="auto"/>
        </w:rPr>
      </w:pPr>
      <w:r>
        <w:rPr>
          <w:rFonts w:ascii="Arial" w:cs="Arial" w:eastAsia="Arial" w:hAnsi="Arial"/>
          <w:sz w:val="15"/>
          <w:szCs w:val="15"/>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We believe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33" w:lineRule="exact"/>
        <w:rPr>
          <w:sz w:val="20"/>
          <w:szCs w:val="20"/>
          <w:color w:val="auto"/>
        </w:rPr>
      </w:pPr>
    </w:p>
    <w:p>
      <w:pPr>
        <w:ind w:right="100" w:firstLine="621"/>
        <w:spacing w:after="0" w:line="257" w:lineRule="auto"/>
        <w:rPr>
          <w:sz w:val="20"/>
          <w:szCs w:val="20"/>
          <w:color w:val="auto"/>
        </w:rPr>
      </w:pPr>
      <w:r>
        <w:rPr>
          <w:rFonts w:ascii="Arial" w:cs="Arial" w:eastAsia="Arial" w:hAnsi="Arial"/>
          <w:sz w:val="17"/>
          <w:szCs w:val="17"/>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calculation of gross profit and reconciliation of gross profit to Revenue ex-TAC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 respectively: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w w:val="88"/>
              </w:rPr>
              <w:t>Nine Months Ended</w:t>
            </w:r>
          </w:p>
        </w:tc>
        <w:tc>
          <w:tcPr>
            <w:tcW w:w="1080" w:type="dxa"/>
            <w:vAlign w:val="bottom"/>
            <w:tcBorders>
              <w:bottom w:val="single" w:sz="8" w:color="auto"/>
            </w:tcBorders>
          </w:tcPr>
          <w:p>
            <w:pPr>
              <w:spacing w:after="0"/>
              <w:rPr>
                <w:sz w:val="16"/>
                <w:szCs w:val="16"/>
                <w:color w:val="auto"/>
              </w:rPr>
            </w:pPr>
          </w:p>
        </w:tc>
      </w:tr>
      <w:tr>
        <w:trPr>
          <w:trHeight w:val="200"/>
        </w:trPr>
        <w:tc>
          <w:tcPr>
            <w:tcW w:w="37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September 30, 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September 30, 2020</w:t>
            </w:r>
          </w:p>
        </w:tc>
        <w:tc>
          <w:tcPr>
            <w:tcW w:w="1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Change %</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September 30, 2021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September 30, 2020</w:t>
            </w:r>
          </w:p>
        </w:tc>
        <w:tc>
          <w:tcPr>
            <w:tcW w:w="1080" w:type="dxa"/>
            <w:vAlign w:val="bottom"/>
            <w:tcBorders>
              <w:bottom w:val="single" w:sz="8" w:color="CCEEFF"/>
            </w:tcBorders>
          </w:tcPr>
          <w:p>
            <w:pPr>
              <w:jc w:val="right"/>
              <w:ind w:right="137"/>
              <w:spacing w:after="0"/>
              <w:rPr>
                <w:sz w:val="20"/>
                <w:szCs w:val="20"/>
                <w:color w:val="auto"/>
              </w:rPr>
            </w:pPr>
            <w:r>
              <w:rPr>
                <w:rFonts w:ascii="Arial" w:cs="Arial" w:eastAsia="Arial" w:hAnsi="Arial"/>
                <w:sz w:val="14"/>
                <w:szCs w:val="14"/>
                <w:b w:val="1"/>
                <w:bCs w:val="1"/>
                <w:color w:val="auto"/>
              </w:rPr>
              <w:t>Change %</w:t>
            </w: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131,871</w:t>
            </w:r>
          </w:p>
        </w:tc>
        <w:tc>
          <w:tcPr>
            <w:tcW w:w="4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60,982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307,127</w:t>
            </w:r>
          </w:p>
        </w:tc>
        <w:tc>
          <w:tcPr>
            <w:tcW w:w="46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139,625</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120 %</w:t>
            </w:r>
          </w:p>
        </w:tc>
      </w:tr>
      <w:tr>
        <w:trPr>
          <w:trHeight w:val="220"/>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Less: Cost of revenue</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21,031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202 %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134,823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56,579</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138 %</w:t>
            </w:r>
          </w:p>
        </w:tc>
      </w:tr>
      <w:tr>
        <w:trPr>
          <w:trHeight w:val="21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39,951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71 %</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172,304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83,046</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107 %</w:t>
            </w:r>
          </w:p>
        </w:tc>
      </w:tr>
      <w:tr>
        <w:trPr>
          <w:trHeight w:val="213"/>
        </w:trPr>
        <w:tc>
          <w:tcPr>
            <w:tcW w:w="3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Add back: Cost of revenue, excluding TAC</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20,351</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125 %</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102,052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55,601</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84 %</w:t>
            </w:r>
          </w:p>
        </w:tc>
      </w:tr>
      <w:tr>
        <w:trPr>
          <w:trHeight w:val="233"/>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ex-TAC</w:t>
            </w: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114,064</w:t>
            </w:r>
          </w:p>
        </w:tc>
        <w:tc>
          <w:tcPr>
            <w:tcW w:w="40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274,356</w:t>
            </w:r>
          </w:p>
        </w:tc>
        <w:tc>
          <w:tcPr>
            <w:tcW w:w="46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138,647</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813"/>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494"/>
              <w:spacing w:after="0"/>
              <w:rPr>
                <w:sz w:val="20"/>
                <w:szCs w:val="20"/>
                <w:color w:val="auto"/>
              </w:rPr>
            </w:pPr>
            <w:r>
              <w:rPr>
                <w:rFonts w:ascii="Arial" w:cs="Arial" w:eastAsia="Arial" w:hAnsi="Arial"/>
                <w:sz w:val="17"/>
                <w:szCs w:val="17"/>
                <w:color w:val="auto"/>
              </w:rPr>
              <w:t>44</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9"/>
        </w:trPr>
        <w:tc>
          <w:tcPr>
            <w:tcW w:w="3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firstLine="621"/>
        <w:spacing w:after="0" w:line="264" w:lineRule="auto"/>
        <w:rPr>
          <w:sz w:val="20"/>
          <w:szCs w:val="20"/>
          <w:color w:val="auto"/>
        </w:rPr>
      </w:pPr>
      <w:r>
        <w:rPr>
          <w:rFonts w:ascii="Arial" w:cs="Arial" w:eastAsia="Arial" w:hAnsi="Arial"/>
          <w:sz w:val="17"/>
          <w:szCs w:val="17"/>
          <w:color w:val="auto"/>
        </w:rPr>
        <w:t>Sellers use our technology to monetize their content across all digital channels, including CTV, mobile and desktop, and each of these channels will continue to represent a meaningful portion of our revenue in future periods. 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1017"/>
              <w:spacing w:after="0"/>
              <w:rPr>
                <w:sz w:val="20"/>
                <w:szCs w:val="20"/>
                <w:color w:val="auto"/>
              </w:rPr>
            </w:pPr>
            <w:r>
              <w:rPr>
                <w:rFonts w:ascii="Arial" w:cs="Arial" w:eastAsia="Arial" w:hAnsi="Arial"/>
                <w:sz w:val="14"/>
                <w:szCs w:val="14"/>
                <w:b w:val="1"/>
                <w:bCs w:val="1"/>
                <w:color w:val="auto"/>
              </w:rPr>
              <w:t>Revenue ex-TAC</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9"/>
        </w:trPr>
        <w:tc>
          <w:tcPr>
            <w:tcW w:w="2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89"/>
              </w:rPr>
              <w:t>Three Months Ended</w:t>
            </w: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w w:val="93"/>
              </w:rPr>
              <w:t>Nine Months Ended</w:t>
            </w:r>
          </w:p>
        </w:tc>
        <w:tc>
          <w:tcPr>
            <w:tcW w:w="1160" w:type="dxa"/>
            <w:vAlign w:val="bottom"/>
            <w:tcBorders>
              <w:bottom w:val="single" w:sz="8" w:color="auto"/>
            </w:tcBorders>
          </w:tcPr>
          <w:p>
            <w:pPr>
              <w:spacing w:after="0"/>
              <w:rPr>
                <w:sz w:val="15"/>
                <w:szCs w:val="15"/>
                <w:color w:val="auto"/>
              </w:rPr>
            </w:pPr>
          </w:p>
        </w:tc>
      </w:tr>
      <w:tr>
        <w:trPr>
          <w:trHeight w:val="174"/>
        </w:trPr>
        <w:tc>
          <w:tcPr>
            <w:tcW w:w="2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September 30, 2020</w:t>
            </w:r>
          </w:p>
        </w:tc>
        <w:tc>
          <w:tcPr>
            <w:tcW w:w="12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Change %</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September 30, 2021</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September 30, 2020</w:t>
            </w: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Change %</w:t>
            </w:r>
          </w:p>
        </w:tc>
      </w:tr>
      <w:tr>
        <w:trPr>
          <w:trHeight w:val="188"/>
        </w:trPr>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Channel: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0"/>
        </w:trPr>
        <w:tc>
          <w:tcPr>
            <w:tcW w:w="2320" w:type="dxa"/>
            <w:vAlign w:val="bottom"/>
          </w:tcPr>
          <w:p>
            <w:pPr>
              <w:ind w:left="340"/>
              <w:spacing w:after="0"/>
              <w:rPr>
                <w:sz w:val="20"/>
                <w:szCs w:val="20"/>
                <w:color w:val="auto"/>
              </w:rPr>
            </w:pPr>
            <w:r>
              <w:rPr>
                <w:rFonts w:ascii="Arial" w:cs="Arial" w:eastAsia="Arial" w:hAnsi="Arial"/>
                <w:sz w:val="17"/>
                <w:szCs w:val="17"/>
                <w:color w:val="auto"/>
              </w:rPr>
              <w:t>CTV</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43,142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11,059</w:t>
            </w:r>
          </w:p>
        </w:tc>
        <w:tc>
          <w:tcPr>
            <w:tcW w:w="1200" w:type="dxa"/>
            <w:vAlign w:val="bottom"/>
          </w:tcPr>
          <w:p>
            <w:pPr>
              <w:jc w:val="right"/>
              <w:spacing w:after="0"/>
              <w:rPr>
                <w:sz w:val="20"/>
                <w:szCs w:val="20"/>
                <w:color w:val="auto"/>
              </w:rPr>
            </w:pPr>
            <w:r>
              <w:rPr>
                <w:rFonts w:ascii="Arial" w:cs="Arial" w:eastAsia="Arial" w:hAnsi="Arial"/>
                <w:sz w:val="17"/>
                <w:szCs w:val="17"/>
                <w:color w:val="auto"/>
              </w:rPr>
              <w:t>290 %</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89,382</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18,978</w:t>
            </w:r>
          </w:p>
        </w:tc>
        <w:tc>
          <w:tcPr>
            <w:tcW w:w="1160" w:type="dxa"/>
            <w:vAlign w:val="bottom"/>
          </w:tcPr>
          <w:p>
            <w:pPr>
              <w:jc w:val="right"/>
              <w:spacing w:after="0"/>
              <w:rPr>
                <w:sz w:val="20"/>
                <w:szCs w:val="20"/>
                <w:color w:val="auto"/>
              </w:rPr>
            </w:pPr>
            <w:r>
              <w:rPr>
                <w:rFonts w:ascii="Arial" w:cs="Arial" w:eastAsia="Arial" w:hAnsi="Arial"/>
                <w:sz w:val="17"/>
                <w:szCs w:val="17"/>
                <w:color w:val="auto"/>
              </w:rPr>
              <w:t>371 %</w:t>
            </w:r>
          </w:p>
        </w:tc>
      </w:tr>
      <w:tr>
        <w:trPr>
          <w:trHeight w:val="220"/>
        </w:trPr>
        <w:tc>
          <w:tcPr>
            <w:tcW w:w="2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Desktop</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50,490</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r>
      <w:tr>
        <w:trPr>
          <w:trHeight w:val="220"/>
        </w:trPr>
        <w:tc>
          <w:tcPr>
            <w:tcW w:w="232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29,021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44 %</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108,408</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69,179</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57 %</w:t>
            </w:r>
          </w:p>
        </w:tc>
      </w:tr>
      <w:tr>
        <w:trPr>
          <w:trHeight w:val="233"/>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60,302</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274,356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138,647</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Revenue ex-TAC increased $53.8 million, or 89%, for the three months ended September 30, 2021 compared to the three months ended September 30, 2020. The increase in Revenue ex-TAC is due to increases across all channels, a rebound from COVID-19 advertising lows, and includes increases associated with the SpotX Acquisition, which was completed on April 30 2021.</w:t>
      </w:r>
    </w:p>
    <w:p>
      <w:pPr>
        <w:spacing w:after="0" w:line="57" w:lineRule="exact"/>
        <w:rPr>
          <w:sz w:val="20"/>
          <w:szCs w:val="20"/>
          <w:color w:val="auto"/>
        </w:rPr>
      </w:pPr>
    </w:p>
    <w:p>
      <w:pPr>
        <w:ind w:right="220" w:firstLine="621"/>
        <w:spacing w:after="0" w:line="283" w:lineRule="auto"/>
        <w:rPr>
          <w:sz w:val="20"/>
          <w:szCs w:val="20"/>
          <w:color w:val="auto"/>
        </w:rPr>
      </w:pPr>
      <w:r>
        <w:rPr>
          <w:rFonts w:ascii="Arial" w:cs="Arial" w:eastAsia="Arial" w:hAnsi="Arial"/>
          <w:sz w:val="17"/>
          <w:szCs w:val="17"/>
          <w:color w:val="auto"/>
        </w:rPr>
        <w:t>Revenue ex-TAC increased $135.7 million, or 98%, for the nine months ended September 30, 2021 compared to the nine months ended September 30, 2020. The increase in Revenue ex-TAC is attributable to the same reasons above.</w:t>
      </w:r>
    </w:p>
    <w:p>
      <w:pPr>
        <w:spacing w:after="0" w:line="43" w:lineRule="exact"/>
        <w:rPr>
          <w:sz w:val="20"/>
          <w:szCs w:val="20"/>
          <w:color w:val="auto"/>
        </w:rPr>
      </w:pPr>
    </w:p>
    <w:p>
      <w:pPr>
        <w:ind w:right="20" w:firstLine="621"/>
        <w:spacing w:after="0" w:line="268" w:lineRule="auto"/>
        <w:rPr>
          <w:sz w:val="20"/>
          <w:szCs w:val="20"/>
          <w:color w:val="auto"/>
        </w:rPr>
      </w:pPr>
      <w:r>
        <w:rPr>
          <w:rFonts w:ascii="Arial" w:cs="Arial" w:eastAsia="Arial" w:hAnsi="Arial"/>
          <w:sz w:val="17"/>
          <w:szCs w:val="17"/>
          <w:color w:val="auto"/>
        </w:rPr>
        <w:t>We expect Revenue ex-TAC to increase through the remainder of 2021 as compared to the same period in the prior year. We believe that CTV will be our biggest growth driver in future periods and with the recently completed SpotX Acquisition, we expect CTV Revenue ex-TAC to represent a significantly higher percentage of our overall Revenue ex-TAC.</w:t>
      </w:r>
    </w:p>
    <w:p>
      <w:pPr>
        <w:spacing w:after="0" w:line="44" w:lineRule="exact"/>
        <w:rPr>
          <w:sz w:val="20"/>
          <w:szCs w:val="20"/>
          <w:color w:val="auto"/>
        </w:rPr>
      </w:pPr>
    </w:p>
    <w:p>
      <w:pPr>
        <w:ind w:right="60" w:firstLine="621"/>
        <w:spacing w:after="0" w:line="264" w:lineRule="auto"/>
        <w:rPr>
          <w:sz w:val="20"/>
          <w:szCs w:val="20"/>
          <w:color w:val="auto"/>
        </w:rPr>
      </w:pPr>
      <w:r>
        <w:rPr>
          <w:rFonts w:ascii="Arial" w:cs="Arial" w:eastAsia="Arial" w:hAnsi="Arial"/>
          <w:sz w:val="17"/>
          <w:szCs w:val="17"/>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video.</w:t>
      </w:r>
    </w:p>
    <w:p>
      <w:pPr>
        <w:spacing w:after="0" w:line="58" w:lineRule="exact"/>
        <w:rPr>
          <w:sz w:val="20"/>
          <w:szCs w:val="20"/>
          <w:color w:val="auto"/>
        </w:rPr>
      </w:pPr>
    </w:p>
    <w:p>
      <w:pPr>
        <w:ind w:right="20" w:firstLine="621"/>
        <w:spacing w:after="0" w:line="285" w:lineRule="auto"/>
        <w:rPr>
          <w:sz w:val="20"/>
          <w:szCs w:val="20"/>
          <w:color w:val="auto"/>
        </w:rPr>
      </w:pPr>
      <w:r>
        <w:rPr>
          <w:rFonts w:ascii="Arial" w:cs="Arial" w:eastAsia="Arial" w:hAnsi="Arial"/>
          <w:sz w:val="16"/>
          <w:szCs w:val="16"/>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the mix of our desktop business will continue to dampen our overall growth rate.</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Adjusted EBITDA:</w:t>
      </w:r>
    </w:p>
    <w:p>
      <w:pPr>
        <w:spacing w:after="0" w:line="250" w:lineRule="exact"/>
        <w:rPr>
          <w:sz w:val="20"/>
          <w:szCs w:val="20"/>
          <w:color w:val="auto"/>
        </w:rPr>
      </w:pPr>
    </w:p>
    <w:p>
      <w:pPr>
        <w:ind w:right="40" w:firstLine="621"/>
        <w:spacing w:after="0" w:line="261" w:lineRule="auto"/>
        <w:rPr>
          <w:sz w:val="20"/>
          <w:szCs w:val="20"/>
          <w:color w:val="auto"/>
        </w:rPr>
      </w:pPr>
      <w:r>
        <w:rPr>
          <w:rFonts w:ascii="Arial" w:cs="Arial" w:eastAsia="Arial" w:hAnsi="Arial"/>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believe Adjusted EBITDA is useful to investors in evaluating our performance for the following reasons:</w:t>
      </w:r>
    </w:p>
    <w:p>
      <w:pPr>
        <w:spacing w:after="0" w:line="50" w:lineRule="exact"/>
        <w:rPr>
          <w:sz w:val="20"/>
          <w:szCs w:val="20"/>
          <w:color w:val="auto"/>
        </w:rPr>
      </w:pPr>
    </w:p>
    <w:p>
      <w:pPr>
        <w:ind w:left="620" w:right="180" w:hanging="306"/>
        <w:spacing w:after="0" w:line="26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56" w:lineRule="exact"/>
        <w:rPr>
          <w:rFonts w:ascii="Arial" w:cs="Arial" w:eastAsia="Arial" w:hAnsi="Arial"/>
          <w:sz w:val="17"/>
          <w:szCs w:val="17"/>
          <w:color w:val="auto"/>
        </w:rPr>
      </w:pPr>
    </w:p>
    <w:p>
      <w:pPr>
        <w:ind w:left="620" w:right="200" w:hanging="306"/>
        <w:spacing w:after="0" w:line="293"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7" w:lineRule="exact"/>
        <w:rPr>
          <w:rFonts w:ascii="Arial" w:cs="Arial" w:eastAsia="Arial" w:hAnsi="Arial"/>
          <w:sz w:val="16"/>
          <w:szCs w:val="16"/>
          <w:color w:val="auto"/>
        </w:rPr>
      </w:pPr>
    </w:p>
    <w:p>
      <w:pPr>
        <w:jc w:val="both"/>
        <w:ind w:left="620" w:right="80" w:hanging="306"/>
        <w:spacing w:after="0" w:line="26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21"/>
        <w:spacing w:after="0" w:line="268" w:lineRule="auto"/>
        <w:rPr>
          <w:sz w:val="20"/>
          <w:szCs w:val="20"/>
          <w:color w:val="auto"/>
        </w:rPr>
      </w:pPr>
      <w:r>
        <w:rPr>
          <w:rFonts w:ascii="Arial" w:cs="Arial" w:eastAsia="Arial" w:hAnsi="Arial"/>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57" w:lineRule="exact"/>
        <w:rPr>
          <w:sz w:val="20"/>
          <w:szCs w:val="20"/>
          <w:color w:val="auto"/>
        </w:rPr>
      </w:pPr>
    </w:p>
    <w:p>
      <w:pPr>
        <w:ind w:left="620" w:right="100" w:hanging="306"/>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43" w:lineRule="exact"/>
        <w:rPr>
          <w:rFonts w:ascii="Arial" w:cs="Arial" w:eastAsia="Arial" w:hAnsi="Arial"/>
          <w:sz w:val="17"/>
          <w:szCs w:val="17"/>
          <w:color w:val="auto"/>
        </w:rPr>
      </w:pPr>
    </w:p>
    <w:p>
      <w:pPr>
        <w:ind w:left="620" w:right="540" w:hanging="306"/>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Arial" w:cs="Arial" w:eastAsia="Arial" w:hAnsi="Arial"/>
          <w:sz w:val="17"/>
          <w:szCs w:val="17"/>
          <w:color w:val="auto"/>
        </w:rPr>
      </w:pPr>
    </w:p>
    <w:p>
      <w:pPr>
        <w:ind w:left="620" w:hanging="306"/>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Impairment charges are non-cash charges related to goodwill, intangible assets and/or long-lived assets.</w:t>
      </w:r>
    </w:p>
    <w:p>
      <w:pPr>
        <w:spacing w:after="0" w:line="102" w:lineRule="exact"/>
        <w:rPr>
          <w:rFonts w:ascii="Arial" w:cs="Arial" w:eastAsia="Arial" w:hAnsi="Arial"/>
          <w:sz w:val="17"/>
          <w:szCs w:val="17"/>
          <w:color w:val="auto"/>
        </w:rPr>
      </w:pPr>
    </w:p>
    <w:p>
      <w:pPr>
        <w:ind w:left="620" w:right="200" w:hanging="306"/>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non-cash charges related to acquisition and related items, such as amortization of acquired intangible assets, merger related severance costs, and changes in the fair value of contingent consideration.</w:t>
      </w:r>
    </w:p>
    <w:p>
      <w:pPr>
        <w:spacing w:after="0" w:line="43" w:lineRule="exact"/>
        <w:rPr>
          <w:rFonts w:ascii="Arial" w:cs="Arial" w:eastAsia="Arial" w:hAnsi="Arial"/>
          <w:sz w:val="17"/>
          <w:szCs w:val="17"/>
          <w:color w:val="auto"/>
        </w:rPr>
      </w:pPr>
    </w:p>
    <w:p>
      <w:pPr>
        <w:ind w:left="620" w:right="360" w:hanging="306"/>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30" w:lineRule="exact"/>
        <w:rPr>
          <w:rFonts w:ascii="Arial" w:cs="Arial" w:eastAsia="Arial" w:hAnsi="Arial"/>
          <w:sz w:val="17"/>
          <w:szCs w:val="17"/>
          <w:color w:val="auto"/>
        </w:rPr>
      </w:pPr>
    </w:p>
    <w:p>
      <w:pPr>
        <w:ind w:left="620" w:right="600" w:hanging="306"/>
        <w:spacing w:after="0" w:line="283"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changes in our working capital needs, capital expenditures, non-operational real estate expenses or income, or contractual commitments.</w:t>
      </w:r>
    </w:p>
    <w:p>
      <w:pPr>
        <w:spacing w:after="0" w:line="43" w:lineRule="exact"/>
        <w:rPr>
          <w:rFonts w:ascii="Arial" w:cs="Arial" w:eastAsia="Arial" w:hAnsi="Arial"/>
          <w:sz w:val="17"/>
          <w:szCs w:val="17"/>
          <w:color w:val="auto"/>
        </w:rPr>
      </w:pPr>
    </w:p>
    <w:p>
      <w:pPr>
        <w:ind w:left="620" w:hanging="306"/>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Adjusted EBITDA does not reflect cash requirements for income taxes and the cash impact of other income or expense.</w:t>
      </w:r>
    </w:p>
    <w:p>
      <w:pPr>
        <w:spacing w:after="0" w:line="102" w:lineRule="exact"/>
        <w:rPr>
          <w:rFonts w:ascii="Arial" w:cs="Arial" w:eastAsia="Arial" w:hAnsi="Arial"/>
          <w:sz w:val="17"/>
          <w:szCs w:val="17"/>
          <w:color w:val="auto"/>
        </w:rPr>
      </w:pPr>
    </w:p>
    <w:p>
      <w:pPr>
        <w:ind w:left="620" w:hanging="306"/>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companies may calculate Adjusted EBITDA differently than we do, limiting its usefulness as a comparative measure.</w:t>
      </w:r>
    </w:p>
    <w:p>
      <w:pPr>
        <w:spacing w:after="0" w:line="180" w:lineRule="exact"/>
        <w:rPr>
          <w:sz w:val="20"/>
          <w:szCs w:val="20"/>
          <w:color w:val="auto"/>
        </w:rPr>
      </w:pPr>
    </w:p>
    <w:p>
      <w:pPr>
        <w:jc w:val="both"/>
        <w:ind w:right="80" w:firstLine="621"/>
        <w:spacing w:after="0" w:line="268" w:lineRule="auto"/>
        <w:rPr>
          <w:sz w:val="20"/>
          <w:szCs w:val="20"/>
          <w:color w:val="auto"/>
        </w:rPr>
      </w:pPr>
      <w:r>
        <w:rPr>
          <w:rFonts w:ascii="Arial" w:cs="Arial" w:eastAsia="Arial" w:hAnsi="Arial"/>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7"/>
                <w:szCs w:val="17"/>
                <w:color w:val="auto"/>
              </w:rPr>
            </w:pPr>
          </w:p>
        </w:tc>
        <w:tc>
          <w:tcPr>
            <w:tcW w:w="126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September 30, 2020</w:t>
            </w:r>
          </w:p>
        </w:tc>
        <w:tc>
          <w:tcPr>
            <w:tcW w:w="0" w:type="dxa"/>
            <w:vAlign w:val="bottom"/>
          </w:tcPr>
          <w:p>
            <w:pPr>
              <w:spacing w:after="0"/>
              <w:rPr>
                <w:sz w:val="1"/>
                <w:szCs w:val="1"/>
                <w:color w:val="auto"/>
              </w:rPr>
            </w:pPr>
          </w:p>
        </w:tc>
      </w:tr>
      <w:tr>
        <w:trPr>
          <w:trHeight w:val="21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(59,318)</w:t>
            </w:r>
          </w:p>
        </w:tc>
        <w:tc>
          <w:tcPr>
            <w:tcW w:w="0" w:type="dxa"/>
            <w:vAlign w:val="bottom"/>
          </w:tcPr>
          <w:p>
            <w:pPr>
              <w:spacing w:after="0"/>
              <w:rPr>
                <w:sz w:val="1"/>
                <w:szCs w:val="1"/>
                <w:color w:val="auto"/>
              </w:rPr>
            </w:pPr>
          </w:p>
        </w:tc>
      </w:tr>
      <w:tr>
        <w:trPr>
          <w:trHeight w:val="220"/>
        </w:trPr>
        <w:tc>
          <w:tcPr>
            <w:tcW w:w="5400" w:type="dxa"/>
            <w:vAlign w:val="bottom"/>
          </w:tcPr>
          <w:p>
            <w:pPr>
              <w:ind w:left="20"/>
              <w:spacing w:after="0"/>
              <w:rPr>
                <w:sz w:val="20"/>
                <w:szCs w:val="20"/>
                <w:color w:val="auto"/>
              </w:rPr>
            </w:pPr>
            <w:r>
              <w:rPr>
                <w:rFonts w:ascii="Arial" w:cs="Arial" w:eastAsia="Arial" w:hAnsi="Arial"/>
                <w:sz w:val="17"/>
                <w:szCs w:val="17"/>
                <w:color w:val="auto"/>
              </w:rPr>
              <w:t>Add back (deduct):</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CEEFF"/>
          </w:tcPr>
          <w:p>
            <w:pPr>
              <w:ind w:left="340"/>
              <w:spacing w:after="0" w:line="169" w:lineRule="exact"/>
              <w:rPr>
                <w:sz w:val="20"/>
                <w:szCs w:val="20"/>
                <w:color w:val="auto"/>
              </w:rPr>
            </w:pPr>
            <w:r>
              <w:rPr>
                <w:rFonts w:ascii="Arial" w:cs="Arial" w:eastAsia="Arial" w:hAnsi="Arial"/>
                <w:sz w:val="17"/>
                <w:szCs w:val="17"/>
                <w:color w:val="auto"/>
              </w:rPr>
              <w:t>Depreciation and amortization expense, excluding amortization of</w:t>
            </w: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6,254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17,771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19,253</w:t>
            </w: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acquired intangible assets</w:t>
            </w: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Amortization of acquired intangibles</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7,822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79,313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16,904</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21,298</w:t>
            </w:r>
          </w:p>
        </w:tc>
        <w:tc>
          <w:tcPr>
            <w:tcW w:w="0" w:type="dxa"/>
            <w:vAlign w:val="bottom"/>
          </w:tcPr>
          <w:p>
            <w:pPr>
              <w:spacing w:after="0"/>
              <w:rPr>
                <w:sz w:val="1"/>
                <w:szCs w:val="1"/>
                <w:color w:val="auto"/>
              </w:rPr>
            </w:pPr>
          </w:p>
        </w:tc>
      </w:tr>
      <w:tr>
        <w:trPr>
          <w:trHeight w:val="169"/>
        </w:trPr>
        <w:tc>
          <w:tcPr>
            <w:tcW w:w="5400" w:type="dxa"/>
            <w:vAlign w:val="bottom"/>
          </w:tcPr>
          <w:p>
            <w:pPr>
              <w:ind w:left="340"/>
              <w:spacing w:after="0" w:line="169" w:lineRule="exact"/>
              <w:rPr>
                <w:sz w:val="20"/>
                <w:szCs w:val="20"/>
                <w:color w:val="auto"/>
              </w:rPr>
            </w:pPr>
            <w:r>
              <w:rPr>
                <w:rFonts w:ascii="Arial" w:cs="Arial" w:eastAsia="Arial" w:hAnsi="Arial"/>
                <w:sz w:val="17"/>
                <w:szCs w:val="17"/>
                <w:color w:val="auto"/>
              </w:rPr>
              <w:t>Merger, acquisition, and restructuring costs, excluding stock-based</w:t>
            </w: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2,376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1,900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36,707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15,123</w:t>
            </w:r>
          </w:p>
        </w:tc>
        <w:tc>
          <w:tcPr>
            <w:tcW w:w="0" w:type="dxa"/>
            <w:vAlign w:val="bottom"/>
          </w:tcPr>
          <w:p>
            <w:pPr>
              <w:spacing w:after="0"/>
              <w:rPr>
                <w:sz w:val="1"/>
                <w:szCs w:val="1"/>
                <w:color w:val="auto"/>
              </w:rPr>
            </w:pPr>
          </w:p>
        </w:tc>
      </w:tr>
      <w:tr>
        <w:trPr>
          <w:trHeight w:val="219"/>
        </w:trPr>
        <w:tc>
          <w:tcPr>
            <w:tcW w:w="5400" w:type="dxa"/>
            <w:vAlign w:val="bottom"/>
          </w:tcPr>
          <w:p>
            <w:pPr>
              <w:ind w:left="340"/>
              <w:spacing w:after="0"/>
              <w:rPr>
                <w:sz w:val="20"/>
                <w:szCs w:val="20"/>
                <w:color w:val="auto"/>
              </w:rPr>
            </w:pPr>
            <w:r>
              <w:rPr>
                <w:rFonts w:ascii="Arial" w:cs="Arial" w:eastAsia="Arial" w:hAnsi="Arial"/>
                <w:sz w:val="17"/>
                <w:szCs w:val="17"/>
                <w:color w:val="auto"/>
              </w:rPr>
              <w:t>compensation expense</w:t>
            </w:r>
          </w:p>
        </w:tc>
        <w:tc>
          <w:tcPr>
            <w:tcW w:w="1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Non-operational real estate expense (income),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 (income), net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12,595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exchange (gain) loss, net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0" w:type="dxa"/>
            <w:vAlign w:val="bottom"/>
          </w:tcPr>
          <w:p>
            <w:pPr>
              <w:spacing w:after="0"/>
              <w:rPr>
                <w:sz w:val="1"/>
                <w:szCs w:val="1"/>
                <w:color w:val="auto"/>
              </w:rPr>
            </w:pPr>
          </w:p>
        </w:tc>
      </w:tr>
      <w:tr>
        <w:trPr>
          <w:trHeight w:val="220"/>
        </w:trPr>
        <w:tc>
          <w:tcPr>
            <w:tcW w:w="5400" w:type="dxa"/>
            <w:vAlign w:val="bottom"/>
          </w:tcPr>
          <w:p>
            <w:pPr>
              <w:ind w:left="340"/>
              <w:spacing w:after="0"/>
              <w:rPr>
                <w:sz w:val="20"/>
                <w:szCs w:val="20"/>
                <w:color w:val="auto"/>
              </w:rPr>
            </w:pPr>
            <w:r>
              <w:rPr>
                <w:rFonts w:ascii="Arial" w:cs="Arial" w:eastAsia="Arial" w:hAnsi="Arial"/>
                <w:sz w:val="17"/>
                <w:szCs w:val="17"/>
                <w:color w:val="auto"/>
              </w:rPr>
              <w:t>Other non-operating (income) expense, net</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Provision (benefit)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39,966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13,054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right="60" w:firstLine="621"/>
        <w:spacing w:after="0" w:line="320" w:lineRule="auto"/>
        <w:rPr>
          <w:sz w:val="20"/>
          <w:szCs w:val="20"/>
          <w:color w:val="auto"/>
        </w:rPr>
      </w:pPr>
      <w:r>
        <w:rPr>
          <w:rFonts w:ascii="Arial" w:cs="Arial" w:eastAsia="Arial" w:hAnsi="Arial"/>
          <w:sz w:val="15"/>
          <w:szCs w:val="15"/>
          <w:color w:val="auto"/>
        </w:rPr>
        <w:t>Adjusted EBITDA increased by $26.2 million during the three months ended September 30, 2021 compared to the three months ended September 30, 2020, primarily due to increase in revenue from both organic growth and the SpotX and SpringServe Acquisitions, which are discussed in section "Comparison of the "Three and Nine Months Ended September 30, 2021 and 2020," and improved operating leverage from our increased scale and related cost synergies.</w:t>
      </w:r>
    </w:p>
    <w:p>
      <w:pPr>
        <w:spacing w:after="0" w:line="112" w:lineRule="exact"/>
        <w:rPr>
          <w:sz w:val="20"/>
          <w:szCs w:val="20"/>
          <w:color w:val="auto"/>
        </w:rPr>
      </w:pPr>
    </w:p>
    <w:p>
      <w:pPr>
        <w:ind w:right="380" w:firstLine="621"/>
        <w:spacing w:after="0" w:line="283" w:lineRule="auto"/>
        <w:rPr>
          <w:sz w:val="20"/>
          <w:szCs w:val="20"/>
          <w:color w:val="auto"/>
        </w:rPr>
      </w:pPr>
      <w:r>
        <w:rPr>
          <w:rFonts w:ascii="Arial" w:cs="Arial" w:eastAsia="Arial" w:hAnsi="Arial"/>
          <w:sz w:val="17"/>
          <w:szCs w:val="17"/>
          <w:color w:val="auto"/>
        </w:rPr>
        <w:t>Adjusted EBITDA increased by $68.1 million during the nine months ended September 30, 2021 compared to the nine months ended September 30, 2020, for the same reasons above.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expect Adjusted EBITDA to continue to increase as a result of continued growth in revenue and the realization of additional cost synergies.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w:t>
      </w:r>
    </w:p>
    <w:p>
      <w:pPr>
        <w:spacing w:after="0" w:line="95" w:lineRule="exact"/>
        <w:rPr>
          <w:sz w:val="20"/>
          <w:szCs w:val="20"/>
          <w:color w:val="auto"/>
        </w:rPr>
      </w:pPr>
    </w:p>
    <w:p>
      <w:pPr>
        <w:ind w:right="20" w:firstLine="621"/>
        <w:spacing w:after="0" w:line="298" w:lineRule="auto"/>
        <w:rPr>
          <w:sz w:val="20"/>
          <w:szCs w:val="20"/>
          <w:color w:val="auto"/>
        </w:rPr>
      </w:pPr>
      <w:r>
        <w:rPr>
          <w:rFonts w:ascii="Arial" w:cs="Arial" w:eastAsia="Arial" w:hAnsi="Arial"/>
          <w:sz w:val="15"/>
          <w:szCs w:val="15"/>
          <w:color w:val="auto"/>
        </w:rPr>
        <w:t>As of September 30, 2021, we had an aggregate gross principal amount of $759.1 million of indebtedness outstanding that will mature in 2021 through 2028, and approximately $59.9 million of availability to borrow under our Revolving Credit Facility. See Note 14 "Convertible Senior Notes and Capped Call Transactions" and Note 15 "Credit Facility" in the notes to unaudited condensed consolidated financial statements included in this Quarterly Report for further information about our outstanding debt. Our ability to meet expenses, remain in compliance with the covenants under our debt instruments, pay interest, repay principal for our level of indebtedness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 Additionally, our cash flows may not be sufficient to allow us to pay interest or repay principal on our outstanding indebtedness.</w:t>
      </w:r>
    </w:p>
    <w:p>
      <w:pPr>
        <w:spacing w:after="0" w:line="40" w:lineRule="exact"/>
        <w:rPr>
          <w:sz w:val="20"/>
          <w:szCs w:val="20"/>
          <w:color w:val="auto"/>
        </w:rPr>
      </w:pPr>
    </w:p>
    <w:p>
      <w:pPr>
        <w:ind w:right="20" w:firstLine="621"/>
        <w:spacing w:after="0" w:line="296" w:lineRule="auto"/>
        <w:rPr>
          <w:sz w:val="20"/>
          <w:szCs w:val="20"/>
          <w:color w:val="auto"/>
        </w:rPr>
      </w:pPr>
      <w:r>
        <w:rPr>
          <w:rFonts w:ascii="Arial" w:cs="Arial" w:eastAsia="Arial" w:hAnsi="Arial"/>
          <w:sz w:val="15"/>
          <w:szCs w:val="15"/>
          <w:color w:val="auto"/>
        </w:rPr>
        <w:t>We have historically relied upon cash and cash equivalents, cash generated from operations, borrowings under credit facilities and issuance of debt for our liquidity needs. As of September 30, 2021, we had cash and cash equivalents of $188.2 million, of which $34.2 million was held in foreign currency denominated cash accounts. Our cash and cash equivalents are managed with the objective of preserving principal and maintaining liquidity while minimizing risk. We also have an undrawn Revolving Credit Facility of $65.0 million, of which approximately $5.1 million is assigned to outstanding but undrawn letters of credit. Our principal cash requirements are to fund business operations and working capital needs, taxes, interest and principal payments, and capital expenditures. Our working capital needs and cash conversion cycle, which is influenced by seasonality and may be negatively impacted as a result of COVID-19, can have large fluctuations due to the timing of receipts from buyers and timing of disbursements to sellers. Additionally, we must continue to reinvest in our business by making capital expenditure investments which tend to be higher in the second half of the year. These impacts from working capital, cash conversion cycle and capital expenditures can significantly impact our cash flows from operating and investing activities and therefore, our liquidity during any period presented.</w:t>
      </w:r>
    </w:p>
    <w:p>
      <w:pPr>
        <w:spacing w:after="0" w:line="39" w:lineRule="exact"/>
        <w:rPr>
          <w:sz w:val="20"/>
          <w:szCs w:val="20"/>
          <w:color w:val="auto"/>
        </w:rPr>
      </w:pPr>
    </w:p>
    <w:p>
      <w:pPr>
        <w:ind w:right="20" w:firstLine="621"/>
        <w:spacing w:after="0" w:line="276" w:lineRule="auto"/>
        <w:rPr>
          <w:sz w:val="20"/>
          <w:szCs w:val="20"/>
          <w:color w:val="auto"/>
        </w:rPr>
      </w:pPr>
      <w:r>
        <w:rPr>
          <w:rFonts w:ascii="Arial" w:cs="Arial" w:eastAsia="Arial" w:hAnsi="Arial"/>
          <w:sz w:val="16"/>
          <w:szCs w:val="16"/>
          <w:color w:val="auto"/>
        </w:rPr>
        <w:t>We believe our existing cash and cash equivalents, investment balances, cash generated from operating activities, and available borrowings under our Revolving Credit Facility will be sufficient to meet our working capital requirements for at least the next twelve months from the issuance of our financial statements. However, there are multiple factors that could impact our cash balances in the future. For example, we typically collect from buyers in advance of payments to sellers, and our collection and payment cycle can vary from period to period depending upon various circumstances, including seasonality. In addition, in the event a buyer defaults on payment, we may still be required to pay sellers for the inventory purchased even if we are unable to collect from buyers. To date, these actions have not had a material negative impact on our cash flow or liquidity. The future capital requirements and the adequacy of available funds will depend on many factors, including the duration and severity of the COVID-19 pandemic and its impact on buyers and sellers and the factors and those set forth in Part II, Item 1A: "Risk Factors" of our Annual Report on Form 10-K for the year ended December 31, 2020.</w:t>
      </w:r>
    </w:p>
    <w:p>
      <w:pPr>
        <w:spacing w:after="0" w:line="3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Capital Resources</w:t>
      </w:r>
    </w:p>
    <w:p>
      <w:pPr>
        <w:spacing w:after="0" w:line="108"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On April 30, 2021, we completed the SpotX Acquisition, which included cash consideration of $640.0 million, and on July 1, 2021, we completed the SpringServe Acquisition, which included cash consideration of $31.1 million, excluding indemnification holdback.</w:t>
      </w:r>
    </w:p>
    <w:p>
      <w:pPr>
        <w:spacing w:after="0" w:line="43" w:lineRule="exact"/>
        <w:rPr>
          <w:sz w:val="20"/>
          <w:szCs w:val="20"/>
          <w:color w:val="auto"/>
        </w:rPr>
      </w:pPr>
    </w:p>
    <w:p>
      <w:pPr>
        <w:ind w:firstLine="621"/>
        <w:spacing w:after="0" w:line="279" w:lineRule="auto"/>
        <w:rPr>
          <w:sz w:val="20"/>
          <w:szCs w:val="20"/>
          <w:color w:val="auto"/>
        </w:rPr>
      </w:pPr>
      <w:r>
        <w:rPr>
          <w:rFonts w:ascii="Arial" w:cs="Arial" w:eastAsia="Arial" w:hAnsi="Arial"/>
          <w:sz w:val="16"/>
          <w:szCs w:val="16"/>
          <w:color w:val="auto"/>
        </w:rPr>
        <w:t>In March 2021, we sold convertible senior notes ("Convertible Senior Notes") for gross proceeds of $400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September 30, 2021, the balance of the Convertible Debt was $389.8 million, net of unamortized debt issuance costs of $10.2 million. Accrued interest at September 30, 2021 was $0.5 million.</w:t>
      </w:r>
    </w:p>
    <w:p>
      <w:pPr>
        <w:spacing w:after="0" w:line="36" w:lineRule="exact"/>
        <w:rPr>
          <w:sz w:val="20"/>
          <w:szCs w:val="20"/>
          <w:color w:val="auto"/>
        </w:rPr>
      </w:pPr>
    </w:p>
    <w:p>
      <w:pPr>
        <w:ind w:right="80" w:firstLine="621"/>
        <w:spacing w:after="0" w:line="277" w:lineRule="auto"/>
        <w:rPr>
          <w:sz w:val="20"/>
          <w:szCs w:val="20"/>
          <w:color w:val="auto"/>
        </w:rPr>
      </w:pPr>
      <w:r>
        <w:rPr>
          <w:rFonts w:ascii="Arial" w:cs="Arial" w:eastAsia="Arial" w:hAnsi="Arial"/>
          <w:sz w:val="16"/>
          <w:szCs w:val="16"/>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14 "Convertible Senior Notes and Capped Call Transactions" in the notes to unaudited condensed consolidated financial statements included in this Quarterly Report for more information regarding terms and conditions of the Convertible Senior Notes and the capped call transactions.</w:t>
      </w:r>
    </w:p>
    <w:p>
      <w:pPr>
        <w:spacing w:after="0" w:line="53" w:lineRule="exact"/>
        <w:rPr>
          <w:sz w:val="20"/>
          <w:szCs w:val="20"/>
          <w:color w:val="auto"/>
        </w:rPr>
      </w:pPr>
    </w:p>
    <w:p>
      <w:pPr>
        <w:ind w:right="300" w:firstLine="621"/>
        <w:spacing w:after="0" w:line="283" w:lineRule="auto"/>
        <w:rPr>
          <w:sz w:val="20"/>
          <w:szCs w:val="20"/>
          <w:color w:val="auto"/>
        </w:rPr>
      </w:pPr>
      <w:r>
        <w:rPr>
          <w:rFonts w:ascii="Arial" w:cs="Arial" w:eastAsia="Arial" w:hAnsi="Arial"/>
          <w:sz w:val="17"/>
          <w:szCs w:val="17"/>
          <w:color w:val="auto"/>
        </w:rPr>
        <w:t>On April 30, 2021, and in conjunction with the SpotX Acquisition, we entered into a credit agreement (the "Credit Agreement") with Goldman Sachs Bank USA as administrative and collateral agent, and other lending parties thereto for a $360.0</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w:t>
      </w:r>
    </w:p>
    <w:p>
      <w:pPr>
        <w:spacing w:after="0" w:line="44" w:lineRule="exact"/>
        <w:rPr>
          <w:sz w:val="20"/>
          <w:szCs w:val="20"/>
          <w:color w:val="auto"/>
        </w:rPr>
      </w:pPr>
    </w:p>
    <w:p>
      <w:pPr>
        <w:ind w:firstLine="621"/>
        <w:spacing w:after="0" w:line="285" w:lineRule="auto"/>
        <w:rPr>
          <w:sz w:val="20"/>
          <w:szCs w:val="20"/>
          <w:color w:val="auto"/>
        </w:rPr>
      </w:pPr>
      <w:r>
        <w:rPr>
          <w:rFonts w:ascii="Arial" w:cs="Arial" w:eastAsia="Arial" w:hAnsi="Arial"/>
          <w:sz w:val="16"/>
          <w:szCs w:val="16"/>
          <w:color w:val="auto"/>
        </w:rPr>
        <w:t>On June 28, 2021, we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to $65.0 million total, and the letter of credit sublimit under the Credit Agreement was increased by $5.0 million. At September 30, 2021, amounts available under the Revolving Credit Facility were $59.9 million, net of letters of credit outstanding in the amount of $5.1 million.</w:t>
      </w:r>
    </w:p>
    <w:p>
      <w:pPr>
        <w:spacing w:after="0" w:line="44" w:lineRule="exact"/>
        <w:rPr>
          <w:sz w:val="20"/>
          <w:szCs w:val="20"/>
          <w:color w:val="auto"/>
        </w:rPr>
      </w:pPr>
    </w:p>
    <w:p>
      <w:pPr>
        <w:jc w:val="both"/>
        <w:ind w:right="80" w:firstLine="621"/>
        <w:spacing w:after="0" w:line="261"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63" w:lineRule="exact"/>
        <w:rPr>
          <w:sz w:val="20"/>
          <w:szCs w:val="20"/>
          <w:color w:val="auto"/>
        </w:rPr>
      </w:pPr>
    </w:p>
    <w:p>
      <w:pPr>
        <w:ind w:right="340" w:firstLine="621"/>
        <w:spacing w:after="0" w:line="316" w:lineRule="auto"/>
        <w:rPr>
          <w:sz w:val="20"/>
          <w:szCs w:val="20"/>
          <w:color w:val="auto"/>
        </w:rPr>
      </w:pPr>
      <w:r>
        <w:rPr>
          <w:rFonts w:ascii="Arial" w:cs="Arial" w:eastAsia="Arial" w:hAnsi="Arial"/>
          <w:sz w:val="16"/>
          <w:szCs w:val="16"/>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7"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Cash Flows</w:t>
      </w:r>
    </w:p>
    <w:p>
      <w:pPr>
        <w:spacing w:after="0" w:line="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31"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7"/>
              <w:spacing w:after="0"/>
              <w:rPr>
                <w:sz w:val="20"/>
                <w:szCs w:val="20"/>
                <w:color w:val="auto"/>
              </w:rPr>
            </w:pPr>
            <w:r>
              <w:rPr>
                <w:rFonts w:ascii="Arial" w:cs="Arial" w:eastAsia="Arial" w:hAnsi="Arial"/>
                <w:sz w:val="14"/>
                <w:szCs w:val="14"/>
                <w:b w:val="1"/>
                <w:bCs w:val="1"/>
                <w:color w:val="auto"/>
              </w:rPr>
              <w:t>Nine Months Ended</w:t>
            </w:r>
          </w:p>
        </w:tc>
      </w:tr>
      <w:tr>
        <w:trPr>
          <w:trHeight w:val="179"/>
        </w:trPr>
        <w:tc>
          <w:tcPr>
            <w:tcW w:w="7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1"/>
              </w:rPr>
              <w:t>September 30, 2020</w:t>
            </w:r>
          </w:p>
        </w:tc>
      </w:tr>
      <w:tr>
        <w:trPr>
          <w:trHeight w:val="174"/>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gridSpan w:val="4"/>
          </w:tcPr>
          <w:p>
            <w:pPr>
              <w:jc w:val="right"/>
              <w:ind w:right="1217"/>
              <w:spacing w:after="0"/>
              <w:rPr>
                <w:sz w:val="20"/>
                <w:szCs w:val="20"/>
                <w:color w:val="auto"/>
              </w:rPr>
            </w:pPr>
            <w:r>
              <w:rPr>
                <w:rFonts w:ascii="Arial" w:cs="Arial" w:eastAsia="Arial" w:hAnsi="Arial"/>
                <w:sz w:val="14"/>
                <w:szCs w:val="14"/>
                <w:b w:val="1"/>
                <w:bCs w:val="1"/>
                <w:color w:val="auto"/>
              </w:rPr>
              <w:t>(in thousands)</w:t>
            </w:r>
          </w:p>
        </w:tc>
      </w:tr>
      <w:tr>
        <w:trPr>
          <w:trHeight w:val="221"/>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(24,038)</w:t>
            </w:r>
          </w:p>
        </w:tc>
      </w:tr>
      <w:tr>
        <w:trPr>
          <w:trHeight w:val="220"/>
        </w:trPr>
        <w:tc>
          <w:tcPr>
            <w:tcW w:w="7600" w:type="dxa"/>
            <w:vAlign w:val="bottom"/>
          </w:tcPr>
          <w:p>
            <w:pPr>
              <w:ind w:left="20"/>
              <w:spacing w:after="0"/>
              <w:rPr>
                <w:sz w:val="20"/>
                <w:szCs w:val="20"/>
                <w:color w:val="auto"/>
              </w:rPr>
            </w:pPr>
            <w:r>
              <w:rPr>
                <w:rFonts w:ascii="Arial" w:cs="Arial" w:eastAsia="Arial" w:hAnsi="Arial"/>
                <w:sz w:val="17"/>
                <w:szCs w:val="17"/>
                <w:color w:val="auto"/>
              </w:rPr>
              <w:t>Cash flows (used in) provided by investing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(675,570)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43,490</w:t>
            </w:r>
          </w:p>
        </w:tc>
      </w:tr>
      <w:tr>
        <w:trPr>
          <w:trHeight w:val="22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provided by (used in) financing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(3,280)</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16,213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02" w:lineRule="exact"/>
        <w:rPr>
          <w:sz w:val="20"/>
          <w:szCs w:val="20"/>
          <w:color w:val="auto"/>
        </w:rPr>
      </w:pPr>
    </w:p>
    <w:p>
      <w:pPr>
        <w:jc w:val="both"/>
        <w:ind w:right="80" w:firstLine="621"/>
        <w:spacing w:after="0" w:line="268" w:lineRule="auto"/>
        <w:rPr>
          <w:sz w:val="20"/>
          <w:szCs w:val="20"/>
          <w:color w:val="auto"/>
        </w:rPr>
      </w:pPr>
      <w:r>
        <w:rPr>
          <w:rFonts w:ascii="Arial" w:cs="Arial" w:eastAsia="Arial" w:hAnsi="Arial"/>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4" w:lineRule="exact"/>
        <w:rPr>
          <w:sz w:val="20"/>
          <w:szCs w:val="20"/>
          <w:color w:val="auto"/>
        </w:rPr>
      </w:pPr>
    </w:p>
    <w:p>
      <w:pPr>
        <w:ind w:right="260" w:firstLine="621"/>
        <w:spacing w:after="0" w:line="301" w:lineRule="auto"/>
        <w:rPr>
          <w:sz w:val="20"/>
          <w:szCs w:val="20"/>
          <w:color w:val="auto"/>
        </w:rPr>
      </w:pPr>
      <w:r>
        <w:rPr>
          <w:rFonts w:ascii="Arial" w:cs="Arial" w:eastAsia="Arial" w:hAnsi="Arial"/>
          <w:sz w:val="15"/>
          <w:szCs w:val="15"/>
          <w:color w:val="auto"/>
        </w:rPr>
        <w:t>For the nine months ended September 30, 2021, net cash provided by operating activities was $58.0 million compared to net cash used in operating activities of $24.0 million for the nine months ended September 30, 2020. Our operating activities included our net loss of $0.4 million and net loss of $59.3 million for the nine months ended September 30, 2021 and 2020, respectively, which were offset by non-cash adjustments of $36.8 million and $55.6 million, respectively. In the nine months ended September 30, 2021, cash provided by operating activities increased by a net decrease in our working capital of $21.6 million. Net cash used in operating activities for the nine months ended September 30, 2020 was increased by a net increase in our working capital of $20.3 million. The net changes in working capital for both periods are primarily due to the timing of cash receipts from buyers and the timing of payments to sellers.</w:t>
      </w:r>
    </w:p>
    <w:p>
      <w:pPr>
        <w:spacing w:after="0" w:line="34" w:lineRule="exact"/>
        <w:rPr>
          <w:sz w:val="20"/>
          <w:szCs w:val="20"/>
          <w:color w:val="auto"/>
        </w:rPr>
      </w:pPr>
    </w:p>
    <w:p>
      <w:pPr>
        <w:ind w:left="180" w:right="780" w:firstLine="449"/>
        <w:spacing w:after="0" w:line="412" w:lineRule="auto"/>
        <w:rPr>
          <w:sz w:val="20"/>
          <w:szCs w:val="20"/>
          <w:color w:val="auto"/>
        </w:rPr>
      </w:pPr>
      <w:r>
        <w:rPr>
          <w:rFonts w:ascii="Arial" w:cs="Arial" w:eastAsia="Arial" w:hAnsi="Arial"/>
          <w:sz w:val="17"/>
          <w:szCs w:val="17"/>
          <w:color w:val="auto"/>
        </w:rPr>
        <w:t xml:space="preserve">We believe that cash flows from operations will continue to fluctuate, but in general will increase over time as our business continues to grow. </w:t>
      </w:r>
      <w:r>
        <w:rPr>
          <w:rFonts w:ascii="Arial" w:cs="Arial" w:eastAsia="Arial" w:hAnsi="Arial"/>
          <w:sz w:val="17"/>
          <w:szCs w:val="17"/>
          <w:b w:val="1"/>
          <w:bCs w:val="1"/>
          <w:i w:val="1"/>
          <w:iCs w:val="1"/>
          <w:color w:val="auto"/>
        </w:rPr>
        <w:t>Investing Activities</w:t>
      </w:r>
    </w:p>
    <w:p>
      <w:pPr>
        <w:spacing w:after="0" w:line="2" w:lineRule="exact"/>
        <w:rPr>
          <w:sz w:val="20"/>
          <w:szCs w:val="20"/>
          <w:color w:val="auto"/>
        </w:rPr>
      </w:pPr>
    </w:p>
    <w:p>
      <w:pPr>
        <w:ind w:right="160" w:firstLine="621"/>
        <w:spacing w:after="0" w:line="283" w:lineRule="auto"/>
        <w:rPr>
          <w:sz w:val="20"/>
          <w:szCs w:val="20"/>
          <w:color w:val="auto"/>
        </w:rPr>
      </w:pPr>
      <w:r>
        <w:rPr>
          <w:rFonts w:ascii="Arial" w:cs="Arial" w:eastAsia="Arial" w:hAnsi="Arial"/>
          <w:sz w:val="17"/>
          <w:szCs w:val="17"/>
          <w:color w:val="auto"/>
        </w:rPr>
        <w:t>Our primary investing activities have consisted of acquisitions of businesses, purchases of property and equipment, capital expenditures to develop our internal use software in support of creating and enhancing our technology infrastructure, and</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2020.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27" w:lineRule="exact"/>
        <w:rPr>
          <w:sz w:val="20"/>
          <w:szCs w:val="20"/>
          <w:color w:val="auto"/>
        </w:rPr>
      </w:pPr>
    </w:p>
    <w:p>
      <w:pPr>
        <w:ind w:right="60" w:firstLine="621"/>
        <w:spacing w:after="0" w:line="261" w:lineRule="auto"/>
        <w:rPr>
          <w:sz w:val="20"/>
          <w:szCs w:val="20"/>
          <w:color w:val="auto"/>
        </w:rPr>
      </w:pPr>
      <w:r>
        <w:rPr>
          <w:rFonts w:ascii="Arial" w:cs="Arial" w:eastAsia="Arial" w:hAnsi="Arial"/>
          <w:sz w:val="17"/>
          <w:szCs w:val="17"/>
          <w:color w:val="auto"/>
        </w:rPr>
        <w:t>During the nine months ended September 30, 2021 and 2020, our investing activities used net cash of $675.6 million and provided net cash of $43.5 million, respectively. During the nine months ended September 30, 2021 and 2020, we used cash for purchases of property and equipment of $14.0 million and $4.2 million, respectively, and used cash for investments in our internally developed software of $8.5 million and $6.9 million, respectively. During the nine months ended September 30, 2021, we used net cash of $653.1 million to acquire SpotX and SpringServe. During the nine months ended September 30, 2020, we acquired $54.6 million cash in the Telaria Merger.</w:t>
      </w:r>
    </w:p>
    <w:p>
      <w:pPr>
        <w:spacing w:after="0" w:line="63" w:lineRule="exact"/>
        <w:rPr>
          <w:sz w:val="20"/>
          <w:szCs w:val="20"/>
          <w:color w:val="auto"/>
        </w:rPr>
      </w:pPr>
    </w:p>
    <w:p>
      <w:pPr>
        <w:ind w:right="420" w:firstLine="621"/>
        <w:spacing w:after="0" w:line="283" w:lineRule="auto"/>
        <w:rPr>
          <w:sz w:val="20"/>
          <w:szCs w:val="20"/>
          <w:color w:val="auto"/>
        </w:rPr>
      </w:pPr>
      <w:r>
        <w:rPr>
          <w:rFonts w:ascii="Arial" w:cs="Arial" w:eastAsia="Arial" w:hAnsi="Arial"/>
          <w:sz w:val="17"/>
          <w:szCs w:val="17"/>
          <w:color w:val="auto"/>
        </w:rPr>
        <w:t>We believe that cash flows used in our investing activities will continue to increase as a result of investments associated with supporting our overall growth, primarily property and equipment, and internally developed software.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02" w:lineRule="exact"/>
        <w:rPr>
          <w:sz w:val="20"/>
          <w:szCs w:val="20"/>
          <w:color w:val="auto"/>
        </w:rPr>
      </w:pPr>
    </w:p>
    <w:p>
      <w:pPr>
        <w:ind w:right="40" w:firstLine="621"/>
        <w:spacing w:after="0" w:line="283" w:lineRule="auto"/>
        <w:rPr>
          <w:sz w:val="20"/>
          <w:szCs w:val="20"/>
          <w:color w:val="auto"/>
        </w:rPr>
      </w:pPr>
      <w:r>
        <w:rPr>
          <w:rFonts w:ascii="Arial" w:cs="Arial" w:eastAsia="Arial" w:hAnsi="Arial"/>
          <w:sz w:val="17"/>
          <w:szCs w:val="17"/>
          <w:color w:val="auto"/>
        </w:rPr>
        <w:t>Our financing activities consisted of our Convertible Senior Notes offering, amounts borrowed against our Term Loan B Facility, and transactions related to our equity plans.</w:t>
      </w:r>
    </w:p>
    <w:p>
      <w:pPr>
        <w:spacing w:after="0" w:line="43" w:lineRule="exact"/>
        <w:rPr>
          <w:sz w:val="20"/>
          <w:szCs w:val="20"/>
          <w:color w:val="auto"/>
        </w:rPr>
      </w:pPr>
    </w:p>
    <w:p>
      <w:pPr>
        <w:ind w:right="20" w:firstLine="621"/>
        <w:spacing w:after="0" w:line="258" w:lineRule="auto"/>
        <w:rPr>
          <w:sz w:val="20"/>
          <w:szCs w:val="20"/>
          <w:color w:val="auto"/>
        </w:rPr>
      </w:pPr>
      <w:r>
        <w:rPr>
          <w:rFonts w:ascii="Arial" w:cs="Arial" w:eastAsia="Arial" w:hAnsi="Arial"/>
          <w:sz w:val="17"/>
          <w:szCs w:val="17"/>
          <w:color w:val="auto"/>
        </w:rPr>
        <w:t>For the nine months ended September 30, 2021 and 2020, we received net cash of $688.9 million and we used net cash of $3.3 million, respectively, for financing activities. Cash inflows from financing activities for the nine months ended September 30, 2021 included an increase of $400.0 million in proceeds from our Convertible Senior Notes offering, $349.2 million in net proceeds from our Term Loan B Facility, cash proceeds from stock options exercised of $8.7 million and $1.2 million cash proceeds from issuance of common stock from the employee stock purchase plan. These increases for the nine months ended September 30, 2021 were partially offset by a $39.0 million payment for capped call transactions entered into in connection with the Convertible Senior Notes offering, debt issuance cost payments of $30.4 million and $0.9 million repayment of Term Loan B. Cash outflows from financing activities for the nine months ended September 30, 2020 included payments of $7.8 million for income tax deposits paid in respect of vesting of stock-based compensation awards that were reimbursed by the award recipients through surrender of shares.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08" w:lineRule="exact"/>
        <w:rPr>
          <w:sz w:val="20"/>
          <w:szCs w:val="20"/>
          <w:color w:val="auto"/>
        </w:rPr>
      </w:pPr>
    </w:p>
    <w:p>
      <w:pPr>
        <w:ind w:firstLine="621"/>
        <w:spacing w:after="0" w:line="320" w:lineRule="auto"/>
        <w:rPr>
          <w:sz w:val="20"/>
          <w:szCs w:val="20"/>
          <w:color w:val="auto"/>
        </w:rPr>
      </w:pPr>
      <w:r>
        <w:rPr>
          <w:rFonts w:ascii="Arial" w:cs="Arial" w:eastAsia="Arial" w:hAnsi="Arial"/>
          <w:sz w:val="15"/>
          <w:szCs w:val="15"/>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September 30, 2021 other than the short-term operating leases and the indemnification agreements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Known Future Cash Requirements</w:t>
      </w:r>
    </w:p>
    <w:p>
      <w:pPr>
        <w:spacing w:after="0" w:line="108" w:lineRule="exact"/>
        <w:rPr>
          <w:sz w:val="20"/>
          <w:szCs w:val="20"/>
          <w:color w:val="auto"/>
        </w:rPr>
      </w:pPr>
    </w:p>
    <w:p>
      <w:pPr>
        <w:ind w:right="200" w:firstLine="621"/>
        <w:spacing w:after="0" w:line="264" w:lineRule="auto"/>
        <w:rPr>
          <w:sz w:val="20"/>
          <w:szCs w:val="20"/>
          <w:color w:val="auto"/>
        </w:rPr>
      </w:pPr>
      <w:r>
        <w:rPr>
          <w:rFonts w:ascii="Arial" w:cs="Arial" w:eastAsia="Arial" w:hAnsi="Arial"/>
          <w:sz w:val="17"/>
          <w:szCs w:val="17"/>
          <w:color w:val="auto"/>
        </w:rPr>
        <w:t>As of September 30, 2021, our principal commitments consist of obligations under our Convertible Senior Notes, Term Loan B Facility, Revolving Credit Facility, leases for our various office facilities, operating lease agreements including data centers and cloud managed services that expire at various times through 2030, and indemnification holdback associated with the SpringServe Acquisition. In certain cases, the terms of the lease agreements provide for rental payments on a graduated basis.</w:t>
      </w:r>
    </w:p>
    <w:p>
      <w:pPr>
        <w:spacing w:after="0" w:line="45" w:lineRule="exact"/>
        <w:rPr>
          <w:sz w:val="20"/>
          <w:szCs w:val="20"/>
          <w:color w:val="auto"/>
        </w:rPr>
      </w:pPr>
    </w:p>
    <w:p>
      <w:pPr>
        <w:ind w:right="780" w:firstLine="621"/>
        <w:spacing w:after="0" w:line="316" w:lineRule="auto"/>
        <w:rPr>
          <w:sz w:val="20"/>
          <w:szCs w:val="20"/>
          <w:color w:val="auto"/>
        </w:rPr>
      </w:pPr>
      <w:r>
        <w:rPr>
          <w:rFonts w:ascii="Arial" w:cs="Arial" w:eastAsia="Arial" w:hAnsi="Arial"/>
          <w:sz w:val="16"/>
          <w:szCs w:val="16"/>
          <w:color w:val="auto"/>
        </w:rPr>
        <w:t>During the three and nine months ended September 30, 2021, we received rental income from subleases totaling $1.0 million and $3.3 million, respectively, and an $1.2 million and $2.5 million amount during the three and nine months ended September 30, 2020, respectively.</w:t>
      </w:r>
    </w:p>
    <w:p>
      <w:pPr>
        <w:spacing w:after="0" w:line="20" w:lineRule="exact"/>
        <w:rPr>
          <w:sz w:val="20"/>
          <w:szCs w:val="20"/>
          <w:color w:val="auto"/>
        </w:rPr>
      </w:pPr>
    </w:p>
    <w:p>
      <w:pPr>
        <w:ind w:right="200" w:firstLine="621"/>
        <w:spacing w:after="0" w:line="283" w:lineRule="auto"/>
        <w:rPr>
          <w:sz w:val="20"/>
          <w:szCs w:val="20"/>
          <w:color w:val="auto"/>
        </w:rPr>
      </w:pPr>
      <w:r>
        <w:rPr>
          <w:rFonts w:ascii="Arial" w:cs="Arial" w:eastAsia="Arial" w:hAnsi="Arial"/>
          <w:sz w:val="17"/>
          <w:szCs w:val="17"/>
          <w:color w:val="auto"/>
        </w:rPr>
        <w:t>The following table summarizes our future lease obligations, payments of principal and interest under our debt agreements, sublease income, and other future payments due under non-cancelable agreements at September 30,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288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7"/>
        </w:trPr>
        <w:tc>
          <w:tcPr>
            <w:tcW w:w="1220" w:type="dxa"/>
            <w:vAlign w:val="bottom"/>
            <w:tcBorders>
              <w:top w:val="single" w:sz="8" w:color="0000FF"/>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2025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7"/>
                <w:szCs w:val="17"/>
                <w:color w:val="auto"/>
                <w:w w:val="97"/>
              </w:rPr>
              <w:t>Lease liabilities associated with leases</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8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7"/>
                <w:szCs w:val="17"/>
                <w:color w:val="auto"/>
              </w:rPr>
              <w:t>included Right of Use Asset as of</w:t>
            </w: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18,645</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15,193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7,286</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25,921</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84,006</w:t>
            </w:r>
          </w:p>
        </w:tc>
        <w:tc>
          <w:tcPr>
            <w:tcW w:w="0" w:type="dxa"/>
            <w:vAlign w:val="bottom"/>
          </w:tcPr>
          <w:p>
            <w:pPr>
              <w:spacing w:after="0"/>
              <w:rPr>
                <w:sz w:val="1"/>
                <w:szCs w:val="1"/>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September 30, 2021</w:t>
            </w: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Convertible Senior Notes</w:t>
            </w:r>
          </w:p>
        </w:tc>
        <w:tc>
          <w:tcPr>
            <w:tcW w:w="2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400,000</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Convertible Senior Notes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4,458</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Term Loan B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343,800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359,100</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Interest, Term Loan B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133,506</w:t>
            </w:r>
          </w:p>
        </w:tc>
        <w:tc>
          <w:tcPr>
            <w:tcW w:w="0" w:type="dxa"/>
            <w:vAlign w:val="bottom"/>
          </w:tcPr>
          <w:p>
            <w:pPr>
              <w:spacing w:after="0"/>
              <w:rPr>
                <w:sz w:val="1"/>
                <w:szCs w:val="1"/>
                <w:color w:val="auto"/>
              </w:rPr>
            </w:pPr>
          </w:p>
        </w:tc>
      </w:tr>
      <w:tr>
        <w:trPr>
          <w:trHeight w:val="220"/>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Operating sublease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(10,672)</w:t>
            </w:r>
          </w:p>
        </w:tc>
        <w:tc>
          <w:tcPr>
            <w:tcW w:w="0" w:type="dxa"/>
            <w:vAlign w:val="bottom"/>
          </w:tcPr>
          <w:p>
            <w:pPr>
              <w:spacing w:after="0"/>
              <w:rPr>
                <w:sz w:val="1"/>
                <w:szCs w:val="1"/>
                <w:color w:val="auto"/>
              </w:rPr>
            </w:pPr>
          </w:p>
        </w:tc>
      </w:tr>
      <w:tr>
        <w:trPr>
          <w:trHeight w:val="220"/>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non-cancelable obligations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14,236</w:t>
            </w:r>
          </w:p>
        </w:tc>
        <w:tc>
          <w:tcPr>
            <w:tcW w:w="0" w:type="dxa"/>
            <w:vAlign w:val="bottom"/>
          </w:tcPr>
          <w:p>
            <w:pPr>
              <w:spacing w:after="0"/>
              <w:rPr>
                <w:sz w:val="1"/>
                <w:szCs w:val="1"/>
                <w:color w:val="auto"/>
              </w:rPr>
            </w:pPr>
          </w:p>
        </w:tc>
      </w:tr>
      <w:tr>
        <w:trPr>
          <w:trHeight w:val="236"/>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49,190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35,095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31,807</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816,148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984,634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-14605</wp:posOffset>
            </wp:positionV>
            <wp:extent cx="53060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ind w:left="160" w:hanging="139"/>
        <w:spacing w:after="0" w:line="223" w:lineRule="auto"/>
        <w:tabs>
          <w:tab w:leader="none" w:pos="16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Includes only scheduled amortization of payments and excludes currently unknown prepayment amounts that will be required, per terms of the Credit Agreement, after the end of each fiscal year.</w:t>
      </w:r>
    </w:p>
    <w:p>
      <w:pPr>
        <w:spacing w:after="0" w:line="18" w:lineRule="exact"/>
        <w:rPr>
          <w:rFonts w:ascii="Arial" w:cs="Arial" w:eastAsia="Arial" w:hAnsi="Arial"/>
          <w:sz w:val="16"/>
          <w:szCs w:val="16"/>
          <w:color w:val="auto"/>
          <w:vertAlign w:val="superscript"/>
        </w:rPr>
      </w:pPr>
    </w:p>
    <w:p>
      <w:pPr>
        <w:ind w:left="160" w:hanging="139"/>
        <w:spacing w:after="0" w:line="199" w:lineRule="auto"/>
        <w:tabs>
          <w:tab w:leader="none" w:pos="16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Interest payments are based on an assumed rate of 5.75%, which was the rate used as of September 30, 2021 for the associated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-213360</wp:posOffset>
            </wp:positionV>
            <wp:extent cx="5306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148" w:lineRule="exact"/>
        <w:rPr>
          <w:sz w:val="20"/>
          <w:szCs w:val="20"/>
          <w:color w:val="auto"/>
        </w:rPr>
      </w:pPr>
    </w:p>
    <w:p>
      <w:pPr>
        <w:ind w:right="640" w:firstLine="621"/>
        <w:spacing w:after="0" w:line="283" w:lineRule="auto"/>
        <w:rPr>
          <w:sz w:val="20"/>
          <w:szCs w:val="20"/>
          <w:color w:val="auto"/>
        </w:rPr>
      </w:pPr>
      <w:r>
        <w:rPr>
          <w:rFonts w:ascii="Arial" w:cs="Arial" w:eastAsia="Arial" w:hAnsi="Arial"/>
          <w:sz w:val="17"/>
          <w:szCs w:val="17"/>
          <w:color w:val="auto"/>
        </w:rPr>
        <w:t>Payments associated with our Convertible Senior Notes are based on contractual terms and intended timing of repayments of long-term debt and associated interest and do not assume conversion prior to the maturity date.</w:t>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non-cancelable obligations include agreements in the normal course of business and purchase consideration that extend beyond a year.</w:t>
      </w:r>
    </w:p>
    <w:p>
      <w:pPr>
        <w:spacing w:after="0" w:line="101" w:lineRule="exact"/>
        <w:rPr>
          <w:sz w:val="20"/>
          <w:szCs w:val="20"/>
          <w:color w:val="auto"/>
        </w:rPr>
      </w:pPr>
    </w:p>
    <w:p>
      <w:pPr>
        <w:ind w:right="180" w:firstLine="621"/>
        <w:spacing w:after="0" w:line="283" w:lineRule="auto"/>
        <w:rPr>
          <w:sz w:val="20"/>
          <w:szCs w:val="20"/>
          <w:color w:val="auto"/>
        </w:rPr>
      </w:pPr>
      <w:r>
        <w:rPr>
          <w:rFonts w:ascii="Arial" w:cs="Arial" w:eastAsia="Arial" w:hAnsi="Arial"/>
          <w:sz w:val="17"/>
          <w:szCs w:val="17"/>
          <w:color w:val="auto"/>
        </w:rPr>
        <w:t>There was no material change to the Company's unrecognized tax benefits in the three months ended September 30, 2021 and we do not expect to have any material changes to unrecognized tax benefits through December 31, 2021.</w:t>
      </w:r>
    </w:p>
    <w:p>
      <w:pPr>
        <w:spacing w:after="0" w:line="43" w:lineRule="exact"/>
        <w:rPr>
          <w:sz w:val="20"/>
          <w:szCs w:val="20"/>
          <w:color w:val="auto"/>
        </w:rPr>
      </w:pPr>
    </w:p>
    <w:p>
      <w:pPr>
        <w:ind w:firstLine="621"/>
        <w:spacing w:after="0" w:line="257"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September 30, 2021.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8"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62" w:lineRule="exact"/>
        <w:rPr>
          <w:sz w:val="20"/>
          <w:szCs w:val="20"/>
          <w:color w:val="auto"/>
        </w:rPr>
      </w:pPr>
    </w:p>
    <w:p>
      <w:pPr>
        <w:ind w:right="120" w:firstLine="621"/>
        <w:spacing w:after="0" w:line="276" w:lineRule="auto"/>
        <w:rPr>
          <w:sz w:val="20"/>
          <w:szCs w:val="20"/>
          <w:color w:val="auto"/>
        </w:rPr>
      </w:pPr>
      <w:r>
        <w:rPr>
          <w:rFonts w:ascii="Arial" w:cs="Arial" w:eastAsia="Arial" w:hAnsi="Arial"/>
          <w:sz w:val="16"/>
          <w:szCs w:val="16"/>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2020 included in our Annual Report on Form 10-K.</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95" w:lineRule="exact"/>
        <w:rPr>
          <w:sz w:val="20"/>
          <w:szCs w:val="20"/>
          <w:color w:val="auto"/>
        </w:rPr>
      </w:pPr>
    </w:p>
    <w:p>
      <w:pPr>
        <w:ind w:right="320" w:firstLine="621"/>
        <w:spacing w:after="0" w:line="283" w:lineRule="auto"/>
        <w:rPr>
          <w:sz w:val="20"/>
          <w:szCs w:val="20"/>
          <w:color w:val="auto"/>
        </w:rPr>
      </w:pPr>
      <w:r>
        <w:rPr>
          <w:rFonts w:ascii="Arial" w:cs="Arial" w:eastAsia="Arial" w:hAnsi="Arial"/>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 About Market Risk</w:t>
      </w:r>
    </w:p>
    <w:p>
      <w:pPr>
        <w:spacing w:after="0" w:line="108" w:lineRule="exact"/>
        <w:rPr>
          <w:sz w:val="20"/>
          <w:szCs w:val="20"/>
          <w:color w:val="auto"/>
        </w:rPr>
      </w:pPr>
    </w:p>
    <w:p>
      <w:pPr>
        <w:ind w:right="160" w:firstLine="621"/>
        <w:spacing w:after="0" w:line="268" w:lineRule="auto"/>
        <w:rPr>
          <w:sz w:val="20"/>
          <w:szCs w:val="20"/>
          <w:color w:val="auto"/>
        </w:rPr>
      </w:pPr>
      <w:r>
        <w:rPr>
          <w:rFonts w:ascii="Arial" w:cs="Arial" w:eastAsia="Arial" w:hAnsi="Arial"/>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02" w:lineRule="exact"/>
        <w:rPr>
          <w:sz w:val="20"/>
          <w:szCs w:val="20"/>
          <w:color w:val="auto"/>
        </w:rPr>
      </w:pPr>
    </w:p>
    <w:p>
      <w:pPr>
        <w:ind w:firstLine="621"/>
        <w:spacing w:after="0" w:line="261" w:lineRule="auto"/>
        <w:rPr>
          <w:sz w:val="20"/>
          <w:szCs w:val="20"/>
          <w:color w:val="auto"/>
        </w:rPr>
      </w:pPr>
      <w:r>
        <w:rPr>
          <w:rFonts w:ascii="Arial" w:cs="Arial" w:eastAsia="Arial" w:hAnsi="Arial"/>
          <w:sz w:val="17"/>
          <w:szCs w:val="17"/>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relatively short maturity, our portfolio’s fair value is relatively insensitive to interest rate changes, however, interest income earned will vary as interest rates change.</w:t>
      </w:r>
    </w:p>
    <w:p>
      <w:pPr>
        <w:spacing w:after="0" w:line="63" w:lineRule="exact"/>
        <w:rPr>
          <w:sz w:val="20"/>
          <w:szCs w:val="20"/>
          <w:color w:val="auto"/>
        </w:rPr>
      </w:pPr>
    </w:p>
    <w:p>
      <w:pPr>
        <w:ind w:right="40" w:firstLine="621"/>
        <w:spacing w:after="0" w:line="264" w:lineRule="auto"/>
        <w:rPr>
          <w:sz w:val="20"/>
          <w:szCs w:val="20"/>
          <w:color w:val="auto"/>
        </w:rPr>
      </w:pPr>
      <w:r>
        <w:rPr>
          <w:rFonts w:ascii="Arial" w:cs="Arial" w:eastAsia="Arial" w:hAnsi="Arial"/>
          <w:sz w:val="17"/>
          <w:szCs w:val="17"/>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45" w:lineRule="exact"/>
        <w:rPr>
          <w:sz w:val="20"/>
          <w:szCs w:val="20"/>
          <w:color w:val="auto"/>
        </w:rPr>
      </w:pPr>
    </w:p>
    <w:p>
      <w:pPr>
        <w:ind w:right="40" w:firstLine="621"/>
        <w:spacing w:after="0" w:line="260" w:lineRule="auto"/>
        <w:rPr>
          <w:sz w:val="20"/>
          <w:szCs w:val="20"/>
          <w:color w:val="auto"/>
        </w:rPr>
      </w:pPr>
      <w:r>
        <w:rPr>
          <w:rFonts w:ascii="Arial" w:cs="Arial" w:eastAsia="Arial" w:hAnsi="Arial"/>
          <w:sz w:val="17"/>
          <w:szCs w:val="17"/>
          <w:color w:val="auto"/>
        </w:rPr>
        <w:t>We have Term Loan B loans under the Credit Agreement which have a floating rate of interest that resets periodically, subject to a 0.75% floor on that floating rate, according to the terms of the agreement. Our financial results would be exposed to potential changes in the underlying base interest rate on that debt if the underlying base interest rate were to reset above the floor on such underlying interest rate.Similarly, the fair value of Term Loan B loans may fluctuate when the underlying base interest rate fluctuates below the floor. As of September 30, 2021,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62" w:lineRule="exact"/>
        <w:rPr>
          <w:sz w:val="20"/>
          <w:szCs w:val="20"/>
          <w:color w:val="auto"/>
        </w:rPr>
      </w:pPr>
    </w:p>
    <w:p>
      <w:pPr>
        <w:ind w:right="320" w:firstLine="621"/>
        <w:spacing w:after="0" w:line="268" w:lineRule="auto"/>
        <w:rPr>
          <w:sz w:val="20"/>
          <w:szCs w:val="20"/>
          <w:color w:val="auto"/>
        </w:rPr>
      </w:pPr>
      <w:r>
        <w:rPr>
          <w:rFonts w:ascii="Arial" w:cs="Arial" w:eastAsia="Arial" w:hAnsi="Arial"/>
          <w:sz w:val="17"/>
          <w:szCs w:val="17"/>
          <w:color w:val="auto"/>
        </w:rPr>
        <w:t>We do not believe that an increase or decrease in interest rates of 100 basis points would have a material effect on our operating results or financial condition. With regard to all debt currently outstanding, the company is potentially exposed to refinancing risk, should the Company seek to refinance or raise debt in the future, and the prevailing price or terms for debt differs from terms in our current debt agreements.</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89"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September 30, 2021, including intercompany balances, would result in a foreign currency loss of approximately $3.9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Inflation Risk</w:t>
      </w:r>
    </w:p>
    <w:p>
      <w:pPr>
        <w:spacing w:after="0" w:line="102" w:lineRule="exact"/>
        <w:rPr>
          <w:sz w:val="20"/>
          <w:szCs w:val="20"/>
          <w:color w:val="auto"/>
        </w:rPr>
      </w:pPr>
    </w:p>
    <w:p>
      <w:pPr>
        <w:jc w:val="both"/>
        <w:ind w:right="20" w:firstLine="621"/>
        <w:spacing w:after="0" w:line="268"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02" w:lineRule="exact"/>
        <w:rPr>
          <w:sz w:val="20"/>
          <w:szCs w:val="20"/>
          <w:color w:val="auto"/>
        </w:rPr>
      </w:pPr>
    </w:p>
    <w:p>
      <w:pPr>
        <w:ind w:right="40" w:firstLine="621"/>
        <w:spacing w:after="0" w:line="298"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September 30, 2021, our disclosure controls and procedures were effective at the reasonable assurance level.</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2" w:lineRule="exact"/>
        <w:rPr>
          <w:sz w:val="20"/>
          <w:szCs w:val="20"/>
          <w:color w:val="auto"/>
        </w:rPr>
      </w:pPr>
    </w:p>
    <w:p>
      <w:pPr>
        <w:ind w:right="260" w:firstLine="621"/>
        <w:spacing w:after="0" w:line="283"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three months ended September 30, 2021 that have materially affected, or are reasonably likely to materially affect, our internal control over financial reporting, except as noted below.</w:t>
      </w:r>
    </w:p>
    <w:p>
      <w:pPr>
        <w:spacing w:after="0" w:line="43" w:lineRule="exact"/>
        <w:rPr>
          <w:sz w:val="20"/>
          <w:szCs w:val="20"/>
          <w:color w:val="auto"/>
        </w:rPr>
      </w:pPr>
    </w:p>
    <w:p>
      <w:pPr>
        <w:jc w:val="both"/>
        <w:ind w:right="200" w:firstLine="621"/>
        <w:spacing w:after="0" w:line="293" w:lineRule="auto"/>
        <w:rPr>
          <w:sz w:val="20"/>
          <w:szCs w:val="20"/>
          <w:color w:val="auto"/>
        </w:rPr>
      </w:pPr>
      <w:r>
        <w:rPr>
          <w:rFonts w:ascii="Arial" w:cs="Arial" w:eastAsia="Arial" w:hAnsi="Arial"/>
          <w:sz w:val="15"/>
          <w:szCs w:val="15"/>
          <w:color w:val="auto"/>
        </w:rPr>
        <w:t>We completed the SpotX Acquisition on April 30, 2021. See Note 7 of "Notes to Condensed Consolidated Financial Statements" for more information. We are currently integrating SpotX into our operations and internal control processes. As we complete this integration, we are analyzing, evaluating, and where necessary, making changes in control and procedures related to the SpotX business, which we expect to complete within one year after the date of acquisition.</w:t>
      </w:r>
    </w:p>
    <w:p>
      <w:pPr>
        <w:spacing w:after="0" w:line="2"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Pursuant to the SEC’s guidance that an assessment of a recently acquired business may be omitted from the scope of an assessment in the year of acquisition, the scope of our assessment of the effectiveness of our internal controls over financial reporting at December 31, 2021 may exclude SpotX to the extent that they are not yet integrated into our internal controls environment.</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02" w:lineRule="exact"/>
        <w:rPr>
          <w:sz w:val="20"/>
          <w:szCs w:val="20"/>
          <w:color w:val="auto"/>
        </w:rPr>
      </w:pPr>
    </w:p>
    <w:p>
      <w:pPr>
        <w:ind w:firstLine="621"/>
        <w:spacing w:after="0" w:line="275"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6" w:lineRule="exact"/>
        <w:rPr>
          <w:sz w:val="20"/>
          <w:szCs w:val="20"/>
          <w:color w:val="auto"/>
        </w:rPr>
      </w:pPr>
    </w:p>
    <w:p>
      <w:pPr>
        <w:ind w:right="20" w:firstLine="621"/>
        <w:spacing w:after="0" w:line="258"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September 30, 2021. However, based on our knowledge as of September 30, 2021,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Refer to Note 12—"Commitments and Contingencies" for additional information related to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9" w:lineRule="exact"/>
        <w:rPr>
          <w:sz w:val="20"/>
          <w:szCs w:val="20"/>
          <w:color w:val="auto"/>
        </w:rPr>
      </w:pPr>
    </w:p>
    <w:p>
      <w:pPr>
        <w:ind w:firstLine="621"/>
        <w:spacing w:after="0" w:line="258" w:lineRule="auto"/>
        <w:rPr>
          <w:sz w:val="20"/>
          <w:szCs w:val="20"/>
          <w:color w:val="auto"/>
        </w:rPr>
      </w:pPr>
      <w:r>
        <w:rPr>
          <w:rFonts w:ascii="Arial" w:cs="Arial" w:eastAsia="Arial" w:hAnsi="Arial"/>
          <w:sz w:val="17"/>
          <w:szCs w:val="17"/>
          <w:color w:val="auto"/>
        </w:rPr>
        <w:t>Investing in our common stock involves a high degree of risk. We describe risks associated with our business below and in Part I, Item 1A: "Risk Factors" of our Annual Report on Form 10-K for the year ended December 31, 2020 and in Part II, Item 1A "Risk Factors" of our Quarterly Reports on Form 10-Q for the periods ended March 31, 2021 and June 30, 2021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52" w:lineRule="exact"/>
        <w:rPr>
          <w:sz w:val="20"/>
          <w:szCs w:val="20"/>
          <w:color w:val="auto"/>
        </w:rPr>
      </w:pPr>
    </w:p>
    <w:p>
      <w:pPr>
        <w:ind w:right="100" w:firstLine="621"/>
        <w:spacing w:after="0" w:line="268" w:lineRule="auto"/>
        <w:rPr>
          <w:sz w:val="20"/>
          <w:szCs w:val="20"/>
          <w:color w:val="auto"/>
        </w:rPr>
      </w:pPr>
      <w:r>
        <w:rPr>
          <w:rFonts w:ascii="Arial" w:cs="Arial" w:eastAsia="Arial" w:hAnsi="Arial"/>
          <w:sz w:val="17"/>
          <w:szCs w:val="17"/>
          <w:color w:val="auto"/>
        </w:rPr>
        <w:t>The following risk factors supplement the Risk Factors contained in our Annual Report on Form 10-K for the year ended December 31, 2020 and in our Quarterly Reports on Form 10-Q for the periods ended March 31, 2021 and June 30, 2021. The following disclosures do not address all risks that may be important to you as a Magnite stockholder.</w:t>
      </w:r>
    </w:p>
    <w:p>
      <w:pPr>
        <w:spacing w:after="0" w:line="57" w:lineRule="exact"/>
        <w:rPr>
          <w:sz w:val="20"/>
          <w:szCs w:val="20"/>
          <w:color w:val="auto"/>
        </w:rPr>
      </w:pPr>
    </w:p>
    <w:p>
      <w:pPr>
        <w:ind w:right="100" w:firstLine="621"/>
        <w:spacing w:after="0" w:line="285" w:lineRule="auto"/>
        <w:rPr>
          <w:sz w:val="20"/>
          <w:szCs w:val="20"/>
          <w:color w:val="auto"/>
        </w:rPr>
      </w:pPr>
      <w:r>
        <w:rPr>
          <w:rFonts w:ascii="Arial" w:cs="Arial" w:eastAsia="Arial" w:hAnsi="Arial"/>
          <w:sz w:val="16"/>
          <w:szCs w:val="16"/>
          <w:color w:val="auto"/>
        </w:rPr>
        <w:t>Except as set forth below, 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our common stock by the former owner of SpotX may have an adverse effect on the price of our common stock.</w:t>
      </w:r>
    </w:p>
    <w:p>
      <w:pPr>
        <w:spacing w:after="0" w:line="76" w:lineRule="exact"/>
        <w:rPr>
          <w:sz w:val="20"/>
          <w:szCs w:val="20"/>
          <w:color w:val="auto"/>
        </w:rPr>
      </w:pPr>
    </w:p>
    <w:p>
      <w:pPr>
        <w:ind w:right="120" w:firstLine="621"/>
        <w:spacing w:after="0" w:line="279" w:lineRule="auto"/>
        <w:rPr>
          <w:sz w:val="20"/>
          <w:szCs w:val="20"/>
          <w:color w:val="auto"/>
        </w:rPr>
      </w:pPr>
      <w:r>
        <w:rPr>
          <w:rFonts w:ascii="Arial" w:cs="Arial" w:eastAsia="Arial" w:hAnsi="Arial"/>
          <w:sz w:val="16"/>
          <w:szCs w:val="16"/>
          <w:color w:val="auto"/>
        </w:rPr>
        <w:t>As part of the consideration for the SpotX Acquisition, we issued to the seller of SpotX 12,374,315 shares of our common stock. In accordance with the terms of a registration rights agreement entered into at the closing of the SpotX Acquisition, the holder of such shares previously elected to require the Company to file a registration statement in order to register such shares for resale by such holder. This request was subsequently withdrawn, but given that the contractual lockup period applicable to such shares has expired, the holder could sell some or all of such shares under available exemptions from registration under federal securities laws. Sales by the former owner of SpotX of its shares of our common stock, or the possibility of such sales, pursuant to an underwritten offering or otherwise, may have an adverse effect on the per share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elimination of LIBOR after June 2023 may affect our financial results.</w:t>
      </w:r>
    </w:p>
    <w:p>
      <w:pPr>
        <w:spacing w:after="0" w:line="89" w:lineRule="exact"/>
        <w:rPr>
          <w:sz w:val="20"/>
          <w:szCs w:val="20"/>
          <w:color w:val="auto"/>
        </w:rPr>
      </w:pPr>
    </w:p>
    <w:p>
      <w:pPr>
        <w:ind w:firstLine="621"/>
        <w:spacing w:after="0" w:line="274" w:lineRule="auto"/>
        <w:rPr>
          <w:sz w:val="20"/>
          <w:szCs w:val="20"/>
          <w:color w:val="auto"/>
        </w:rPr>
      </w:pPr>
      <w:r>
        <w:rPr>
          <w:rFonts w:ascii="Arial" w:cs="Arial" w:eastAsia="Arial" w:hAnsi="Arial"/>
          <w:sz w:val="16"/>
          <w:szCs w:val="16"/>
          <w:color w:val="auto"/>
        </w:rPr>
        <w:t>On March 5, 2021, the United Kingdom Financial Conduct Authority, which regulates LIBOR, announced that all LIBOR tenors relevant to us will cease to be published or will no longer be representative after June 30, 2023. This means that any of our LIBOR-based borrowings that extend beyond June 30, 2023 will need to be converted to a replacement rate. In the U.S., the Alternative Reference Rates Committee, or ARRC, a committee of private sector entities with ex-officio official sector members convened by the Federal Reserve Board and the Federal Reserve Bank of New York, has recommended the Secured Overnight Financing Rate ("SOFR") plus a recommended spread adjustment as LIBOR's replacement. There are significant differences between LIBOR and SOFR, such as LIBOR being an unsecured lending rate while SOFR is a secured lending rate, and SOFR is an overnight rate while LIBOR reflects term rates at different maturities. If our LIBOR-based borrowings are converted to SOFR, the differences between LIBOR and SOFR, plus the recommended spread adjustment, could result in interest costs that are higher than if LIBOR remained available, which could have a material adverse effect on our operating results. Although SOFR is the ARRC's recommended replacement rate, it is also possible that lenders may instead choose alternative replacement rates that may differ from LIBOR in ways similar to SOFR or in other ways that would result in higher interest costs for us. It is not yet possible to predict the magnitude of LIBOR's end on our borrowing costs given the remaining uncertainty about which rates will replace LIBOR.</w:t>
      </w:r>
    </w:p>
    <w:p>
      <w:pPr>
        <w:spacing w:after="0" w:line="29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i w:val="1"/>
          <w:iCs w:val="1"/>
          <w:color w:val="auto"/>
        </w:rPr>
        <w:t>The recent COVID-19 pandemic and spread of COVID-19 has impacted and may have material adverse effects on our business, financial position, results of operations and/or cash flows.</w:t>
      </w:r>
    </w:p>
    <w:p>
      <w:pPr>
        <w:spacing w:after="0" w:line="31" w:lineRule="exact"/>
        <w:rPr>
          <w:sz w:val="20"/>
          <w:szCs w:val="20"/>
          <w:color w:val="auto"/>
        </w:rPr>
      </w:pPr>
    </w:p>
    <w:p>
      <w:pPr>
        <w:ind w:right="180" w:firstLine="621"/>
        <w:spacing w:after="0" w:line="264" w:lineRule="auto"/>
        <w:rPr>
          <w:sz w:val="20"/>
          <w:szCs w:val="20"/>
          <w:color w:val="auto"/>
        </w:rPr>
      </w:pPr>
      <w:r>
        <w:rPr>
          <w:rFonts w:ascii="Arial" w:cs="Arial" w:eastAsia="Arial" w:hAnsi="Arial"/>
          <w:sz w:val="17"/>
          <w:szCs w:val="17"/>
          <w:color w:val="auto"/>
        </w:rPr>
        <w:t>Our business has been impacted and may be materially adversely impacted by the effects of the COVID-19 pandemic. In addition to the United States, we have personnel and operations in the United Kingdom, Canada, France, Australia, New Zealand, Germany, Italy, Japan, Singapore, and Brazil, and each of these countries has been affected by the pandemic and taken measures to try to contain it. These measures have impacted and may further impact our workforce and operations, and the operations of our sellers and buyers.</w:t>
      </w:r>
    </w:p>
    <w:p>
      <w:pPr>
        <w:spacing w:after="0" w:line="58" w:lineRule="exact"/>
        <w:rPr>
          <w:sz w:val="20"/>
          <w:szCs w:val="20"/>
          <w:color w:val="auto"/>
        </w:rPr>
      </w:pPr>
    </w:p>
    <w:p>
      <w:pPr>
        <w:ind w:right="100" w:firstLine="621"/>
        <w:spacing w:after="0" w:line="261" w:lineRule="auto"/>
        <w:rPr>
          <w:sz w:val="20"/>
          <w:szCs w:val="20"/>
          <w:color w:val="auto"/>
        </w:rPr>
      </w:pPr>
      <w:r>
        <w:rPr>
          <w:rFonts w:ascii="Arial" w:cs="Arial" w:eastAsia="Arial" w:hAnsi="Arial"/>
          <w:sz w:val="17"/>
          <w:szCs w:val="17"/>
          <w:color w:val="auto"/>
        </w:rPr>
        <w:t>The COVID-19 pandemic has in the short-run and may over the longer term adversely affect the economies and financial markets of many countries. Adverse economic conditions and general uncertainty about economic recovery or growth, particularly in North America and Europe, where we conduct most of our business, has caused many advertisers to reduce their advertising budgets. For example, recent global supply chain disruptions have negatively impacted certain advertising verticals leading to reductions in advertising budgets. Our business depends on the overall demand for advertising and on the economic health of our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color w:val="auto"/>
        </w:rPr>
        <w:t>current and prospective sellers and buyers. As a result of advertisers reducing their overall advertising spending, our revenue and results of operations have been directly affected. Though our revenue trends improved and stabilized, there can be no assurance that these trends will continue.</w:t>
      </w:r>
    </w:p>
    <w:p>
      <w:pPr>
        <w:spacing w:after="0" w:line="7" w:lineRule="exact"/>
        <w:rPr>
          <w:sz w:val="20"/>
          <w:szCs w:val="20"/>
          <w:color w:val="auto"/>
        </w:rPr>
      </w:pPr>
    </w:p>
    <w:p>
      <w:pPr>
        <w:ind w:right="220" w:firstLine="621"/>
        <w:spacing w:after="0" w:line="268" w:lineRule="auto"/>
        <w:rPr>
          <w:sz w:val="20"/>
          <w:szCs w:val="20"/>
          <w:color w:val="auto"/>
        </w:rPr>
      </w:pPr>
      <w:r>
        <w:rPr>
          <w:rFonts w:ascii="Arial" w:cs="Arial" w:eastAsia="Arial" w:hAnsi="Arial"/>
          <w:sz w:val="17"/>
          <w:szCs w:val="17"/>
          <w:color w:val="auto"/>
        </w:rPr>
        <w:t>In addition, the economic health of our current and prospective buyers impacts the collectability of our accounts receivable. Although our liquidity has not been significantly affected by the effects of COVID-19 to date, any prolonged downturn in economic conditions in the future may severely impact our liquidity as we may need additional time to collect from buyers, which may impact our ability to pay sellers.</w:t>
      </w:r>
    </w:p>
    <w:p>
      <w:pPr>
        <w:spacing w:after="0" w:line="57" w:lineRule="exact"/>
        <w:rPr>
          <w:sz w:val="20"/>
          <w:szCs w:val="20"/>
          <w:color w:val="auto"/>
        </w:rPr>
      </w:pPr>
    </w:p>
    <w:p>
      <w:pPr>
        <w:ind w:right="100" w:firstLine="621"/>
        <w:spacing w:after="0" w:line="304" w:lineRule="auto"/>
        <w:rPr>
          <w:sz w:val="20"/>
          <w:szCs w:val="20"/>
          <w:color w:val="auto"/>
        </w:rPr>
      </w:pPr>
      <w:r>
        <w:rPr>
          <w:rFonts w:ascii="Arial" w:cs="Arial" w:eastAsia="Arial" w:hAnsi="Arial"/>
          <w:sz w:val="15"/>
          <w:szCs w:val="15"/>
          <w:color w:val="auto"/>
        </w:rPr>
        <w:t>The degree to which the COVID-19 pandemic and responses thereto impacts our results will depend on future developments, which are highly uncertain and cannot be predicted, including, but not limited to, the duration and spread of the pandemic, its severity, including any resurgence, the actions to contain the virus or treat its impact, and how quickly and to what extent normal economic and operating conditions can resume. Although the full magnitude of the impact of the COVID-19 pandemic on our business and operations remains uncertain, the spread of COVID-19 and the imposition of related public health measures and travel and business restrictions has and is expected to continue to adversely impact our forecasted business, financial condition, operating results and cash flows.</w:t>
      </w:r>
    </w:p>
    <w:p>
      <w:pPr>
        <w:spacing w:after="0" w:line="33" w:lineRule="exact"/>
        <w:rPr>
          <w:sz w:val="20"/>
          <w:szCs w:val="20"/>
          <w:color w:val="auto"/>
        </w:rPr>
      </w:pPr>
    </w:p>
    <w:p>
      <w:pPr>
        <w:ind w:right="60" w:firstLine="621"/>
        <w:spacing w:after="0" w:line="353" w:lineRule="auto"/>
        <w:rPr>
          <w:sz w:val="20"/>
          <w:szCs w:val="20"/>
          <w:color w:val="auto"/>
        </w:rPr>
      </w:pPr>
      <w:r>
        <w:rPr>
          <w:rFonts w:ascii="Arial" w:cs="Arial" w:eastAsia="Arial" w:hAnsi="Arial"/>
          <w:sz w:val="15"/>
          <w:szCs w:val="15"/>
          <w:color w:val="auto"/>
        </w:rPr>
        <w:t>Additional or unforeseen effects from the COVID-19 pandemic, including indirect effects such as supply chain disruptions, inflation and labor shortages, and the resulting economic distress could implicate or amplify many of the other risks discussed under the heading "Risk Factors" in our periodic reports.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08" w:lineRule="exact"/>
        <w:rPr>
          <w:sz w:val="20"/>
          <w:szCs w:val="20"/>
          <w:color w:val="auto"/>
        </w:rPr>
      </w:pPr>
    </w:p>
    <w:p>
      <w:pPr>
        <w:ind w:left="180" w:right="7660" w:firstLine="444"/>
        <w:spacing w:after="0" w:line="467" w:lineRule="auto"/>
        <w:tabs>
          <w:tab w:leader="none" w:pos="873"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Recent Sales of Unregistered Securities </w:t>
      </w:r>
      <w:r>
        <w:rPr>
          <w:rFonts w:ascii="Arial" w:cs="Arial" w:eastAsia="Arial" w:hAnsi="Arial"/>
          <w:sz w:val="15"/>
          <w:szCs w:val="15"/>
          <w:color w:val="auto"/>
        </w:rPr>
        <w:t>None (except as previously disclosed).</w:t>
      </w:r>
    </w:p>
    <w:p>
      <w:pPr>
        <w:spacing w:after="0" w:line="1" w:lineRule="exact"/>
        <w:rPr>
          <w:rFonts w:ascii="Arial" w:cs="Arial" w:eastAsia="Arial" w:hAnsi="Arial"/>
          <w:sz w:val="15"/>
          <w:szCs w:val="15"/>
          <w:i w:val="1"/>
          <w:iCs w:val="1"/>
          <w:color w:val="auto"/>
        </w:rPr>
      </w:pPr>
    </w:p>
    <w:p>
      <w:pPr>
        <w:ind w:left="860" w:hanging="236"/>
        <w:spacing w:after="0"/>
        <w:tabs>
          <w:tab w:leader="none" w:pos="8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Use of Proceeds</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Not Applicable.</w:t>
      </w:r>
    </w:p>
    <w:p>
      <w:pPr>
        <w:spacing w:after="0" w:line="180" w:lineRule="exact"/>
        <w:rPr>
          <w:sz w:val="20"/>
          <w:szCs w:val="20"/>
          <w:color w:val="auto"/>
        </w:rPr>
      </w:pPr>
    </w:p>
    <w:p>
      <w:pPr>
        <w:ind w:left="180" w:right="5300" w:firstLine="444"/>
        <w:spacing w:after="0" w:line="404" w:lineRule="auto"/>
        <w:tabs>
          <w:tab w:leader="none" w:pos="866"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Purchases of Equity Securities by the Company and Affiliated Purchasers </w:t>
      </w:r>
      <w:r>
        <w:rPr>
          <w:rFonts w:ascii="Arial" w:cs="Arial" w:eastAsia="Arial" w:hAnsi="Arial"/>
          <w:sz w:val="15"/>
          <w:szCs w:val="15"/>
          <w:color w:val="auto"/>
        </w:rPr>
        <w:t>We currently have no publicly announced repurchase plan or program.</w:t>
      </w:r>
    </w:p>
    <w:p>
      <w:pPr>
        <w:spacing w:after="0" w:line="1" w:lineRule="exact"/>
        <w:rPr>
          <w:sz w:val="20"/>
          <w:szCs w:val="20"/>
          <w:color w:val="auto"/>
        </w:rPr>
      </w:pPr>
    </w:p>
    <w:p>
      <w:pPr>
        <w:ind w:firstLine="172"/>
        <w:spacing w:after="0" w:line="293" w:lineRule="auto"/>
        <w:rPr>
          <w:sz w:val="20"/>
          <w:szCs w:val="20"/>
          <w:color w:val="auto"/>
        </w:rPr>
      </w:pPr>
      <w:r>
        <w:rPr>
          <w:rFonts w:ascii="Arial" w:cs="Arial" w:eastAsia="Arial" w:hAnsi="Arial"/>
          <w:sz w:val="16"/>
          <w:szCs w:val="16"/>
          <w:color w:val="auto"/>
        </w:rPr>
        <w:t>Upon vesting of most restricted stock units or stock awards, we are required to deposit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40" w:type="dxa"/>
            <w:vAlign w:val="bottom"/>
            <w:gridSpan w:val="2"/>
          </w:tcPr>
          <w:p>
            <w:pPr>
              <w:spacing w:after="0"/>
              <w:rPr>
                <w:sz w:val="20"/>
                <w:szCs w:val="20"/>
                <w:color w:val="auto"/>
              </w:rPr>
            </w:pPr>
            <w:r>
              <w:rPr>
                <w:rFonts w:ascii="Arial" w:cs="Arial" w:eastAsia="Arial" w:hAnsi="Arial"/>
                <w:sz w:val="17"/>
                <w:szCs w:val="17"/>
                <w:b w:val="1"/>
                <w:bCs w:val="1"/>
                <w:color w:val="auto"/>
              </w:rPr>
              <w:t>Item 6. Exhibits</w:t>
            </w: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8880" w:type="dxa"/>
            <w:vAlign w:val="bottom"/>
            <w:gridSpan w:val="6"/>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3"/>
                <w:szCs w:val="23"/>
                <w:color w:val="auto"/>
              </w:rPr>
            </w:pPr>
          </w:p>
        </w:tc>
        <w:tc>
          <w:tcPr>
            <w:tcW w:w="8880" w:type="dxa"/>
            <w:vAlign w:val="bottom"/>
            <w:tcBorders>
              <w:top w:val="single" w:sz="8" w:color="auto"/>
            </w:tcBorders>
            <w:gridSpan w:val="6"/>
          </w:tcPr>
          <w:p>
            <w:pPr>
              <w:spacing w:after="0"/>
              <w:rPr>
                <w:rFonts w:ascii="Arial" w:cs="Arial" w:eastAsia="Arial" w:hAnsi="Arial"/>
                <w:sz w:val="17"/>
                <w:szCs w:val="17"/>
                <w:color w:val="0000FF"/>
                <w:w w:val="94"/>
              </w:rPr>
            </w:pPr>
            <w:hyperlink w:anchor="page57">
              <w:r>
                <w:rPr>
                  <w:rFonts w:ascii="Arial" w:cs="Arial" w:eastAsia="Arial" w:hAnsi="Arial"/>
                  <w:sz w:val="17"/>
                  <w:szCs w:val="17"/>
                  <w:color w:val="0000FF"/>
                  <w:w w:val="94"/>
                </w:rPr>
                <w:t>Certification of Principal Executive Officer Pursuant to Exchange Act Rules 13a-14(a) and 15d-14(a), as adopted pursuant to</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4"/>
          </w:tcPr>
          <w:p>
            <w:pPr>
              <w:spacing w:after="0" w:line="148" w:lineRule="exact"/>
              <w:rPr>
                <w:rFonts w:ascii="Arial" w:cs="Arial" w:eastAsia="Arial" w:hAnsi="Arial"/>
                <w:sz w:val="17"/>
                <w:szCs w:val="17"/>
                <w:color w:val="0000FF"/>
              </w:rPr>
            </w:pPr>
            <w:hyperlink w:anchor="page57">
              <w:r>
                <w:rPr>
                  <w:rFonts w:ascii="Arial" w:cs="Arial" w:eastAsia="Arial" w:hAnsi="Arial"/>
                  <w:sz w:val="17"/>
                  <w:szCs w:val="17"/>
                  <w:color w:val="0000FF"/>
                </w:rPr>
                <w:t>Section 302 of the Sarbanes-Oxley Act of 2002.</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20" w:type="dxa"/>
            <w:vAlign w:val="bottom"/>
          </w:tcPr>
          <w:p>
            <w:pPr>
              <w:ind w:left="20"/>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17"/>
                <w:szCs w:val="17"/>
                <w:color w:val="auto"/>
              </w:rPr>
            </w:pPr>
          </w:p>
        </w:tc>
        <w:tc>
          <w:tcPr>
            <w:tcW w:w="8880" w:type="dxa"/>
            <w:vAlign w:val="bottom"/>
            <w:gridSpan w:val="6"/>
          </w:tcPr>
          <w:p>
            <w:pPr>
              <w:spacing w:after="0"/>
              <w:rPr>
                <w:rFonts w:ascii="Arial" w:cs="Arial" w:eastAsia="Arial" w:hAnsi="Arial"/>
                <w:sz w:val="17"/>
                <w:szCs w:val="17"/>
                <w:color w:val="0000FF"/>
                <w:w w:val="95"/>
              </w:rPr>
            </w:pPr>
            <w:hyperlink w:anchor="page58">
              <w:r>
                <w:rPr>
                  <w:rFonts w:ascii="Arial" w:cs="Arial" w:eastAsia="Arial" w:hAnsi="Arial"/>
                  <w:sz w:val="17"/>
                  <w:szCs w:val="17"/>
                  <w:color w:val="0000FF"/>
                  <w:w w:val="95"/>
                </w:rPr>
                <w:t>Certification of Principal Financial Officer Pursuant to Exchange Act Rules 13a-14(a) and 15d-14(a), as adopted pursuant to</w:t>
              </w:r>
            </w:hyperlink>
          </w:p>
        </w:tc>
        <w:tc>
          <w:tcPr>
            <w:tcW w:w="0" w:type="dxa"/>
            <w:vAlign w:val="bottom"/>
          </w:tcPr>
          <w:p>
            <w:pPr>
              <w:spacing w:after="0"/>
              <w:rPr>
                <w:sz w:val="1"/>
                <w:szCs w:val="1"/>
                <w:color w:val="auto"/>
              </w:rPr>
            </w:pPr>
          </w:p>
        </w:tc>
      </w:tr>
      <w:tr>
        <w:trPr>
          <w:trHeight w:val="148"/>
        </w:trPr>
        <w:tc>
          <w:tcPr>
            <w:tcW w:w="2220" w:type="dxa"/>
            <w:vAlign w:val="bottom"/>
            <w:vMerge w:val="restart"/>
          </w:tcPr>
          <w:p>
            <w:pPr>
              <w:ind w:left="20"/>
              <w:spacing w:after="0"/>
              <w:rPr>
                <w:sz w:val="20"/>
                <w:szCs w:val="20"/>
                <w:color w:val="auto"/>
              </w:rPr>
            </w:pPr>
            <w:r>
              <w:rPr>
                <w:rFonts w:ascii="Arial" w:cs="Arial" w:eastAsia="Arial" w:hAnsi="Arial"/>
                <w:sz w:val="17"/>
                <w:szCs w:val="17"/>
                <w:color w:val="auto"/>
              </w:rPr>
              <w:t>32*</w:t>
            </w:r>
            <w:r>
              <w:rPr>
                <w:rFonts w:ascii="Arial" w:cs="Arial" w:eastAsia="Arial" w:hAnsi="Arial"/>
                <w:sz w:val="22"/>
                <w:szCs w:val="22"/>
                <w:color w:val="auto"/>
                <w:vertAlign w:val="superscript"/>
              </w:rPr>
              <w:t>(1)</w:t>
            </w:r>
          </w:p>
        </w:tc>
        <w:tc>
          <w:tcPr>
            <w:tcW w:w="120" w:type="dxa"/>
            <w:vAlign w:val="bottom"/>
          </w:tcPr>
          <w:p>
            <w:pPr>
              <w:spacing w:after="0"/>
              <w:rPr>
                <w:sz w:val="12"/>
                <w:szCs w:val="12"/>
                <w:color w:val="auto"/>
              </w:rPr>
            </w:pPr>
          </w:p>
        </w:tc>
        <w:tc>
          <w:tcPr>
            <w:tcW w:w="8600" w:type="dxa"/>
            <w:vAlign w:val="bottom"/>
            <w:tcBorders>
              <w:top w:val="single" w:sz="8" w:color="0000FF"/>
            </w:tcBorders>
            <w:gridSpan w:val="3"/>
          </w:tcPr>
          <w:p>
            <w:pPr>
              <w:spacing w:after="0" w:line="148" w:lineRule="exact"/>
              <w:rPr>
                <w:rFonts w:ascii="Arial" w:cs="Arial" w:eastAsia="Arial" w:hAnsi="Arial"/>
                <w:sz w:val="17"/>
                <w:szCs w:val="17"/>
                <w:color w:val="0000FF"/>
              </w:rPr>
            </w:pPr>
            <w:hyperlink w:anchor="page58">
              <w:r>
                <w:rPr>
                  <w:rFonts w:ascii="Arial" w:cs="Arial" w:eastAsia="Arial" w:hAnsi="Arial"/>
                  <w:sz w:val="17"/>
                  <w:szCs w:val="17"/>
                  <w:color w:val="0000FF"/>
                </w:rPr>
                <w:t>Section 302 of the Sarbanes-Oxley Act of 2002.</w:t>
              </w:r>
            </w:hyperlink>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6"/>
          </w:tcPr>
          <w:p>
            <w:pPr>
              <w:spacing w:after="0"/>
              <w:rPr>
                <w:rFonts w:ascii="Arial" w:cs="Arial" w:eastAsia="Arial" w:hAnsi="Arial"/>
                <w:sz w:val="17"/>
                <w:szCs w:val="17"/>
                <w:color w:val="0000FF"/>
                <w:w w:val="94"/>
              </w:rPr>
            </w:pPr>
            <w:hyperlink w:anchor="page59">
              <w:r>
                <w:rPr>
                  <w:rFonts w:ascii="Arial" w:cs="Arial" w:eastAsia="Arial" w:hAnsi="Arial"/>
                  <w:sz w:val="17"/>
                  <w:szCs w:val="17"/>
                  <w:color w:val="0000FF"/>
                  <w:w w:val="94"/>
                </w:rPr>
                <w:t>Certification of the Principal Executive Officer and Principal Financial Officer Pursuant to 18 U.S.C. Section 1350, as adopted</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1"/>
              </w:rPr>
            </w:pPr>
            <w:hyperlink w:anchor="page59">
              <w:r>
                <w:rPr>
                  <w:rFonts w:ascii="Arial" w:cs="Arial" w:eastAsia="Arial" w:hAnsi="Arial"/>
                  <w:sz w:val="17"/>
                  <w:szCs w:val="17"/>
                  <w:color w:val="0000FF"/>
                  <w:w w:val="91"/>
                </w:rPr>
                <w:t>pursuant to Section 906 of the Sarbanes-Oxley Act of 2002.</w:t>
              </w:r>
            </w:hyperlink>
          </w:p>
        </w:tc>
        <w:tc>
          <w:tcPr>
            <w:tcW w:w="4620" w:type="dxa"/>
            <w:vAlign w:val="bottom"/>
            <w:tcBorders>
              <w:top w:val="single" w:sz="8" w:color="0000FF"/>
            </w:tcBorders>
            <w:gridSpan w:val="3"/>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40" w:type="dxa"/>
            <w:vAlign w:val="bottom"/>
            <w:gridSpan w:val="2"/>
            <w:vMerge w:val="restart"/>
          </w:tcPr>
          <w:p>
            <w:pPr>
              <w:ind w:left="20"/>
              <w:spacing w:after="0"/>
              <w:rPr>
                <w:sz w:val="20"/>
                <w:szCs w:val="20"/>
                <w:color w:val="auto"/>
              </w:rPr>
            </w:pPr>
            <w:r>
              <w:rPr>
                <w:rFonts w:ascii="Arial" w:cs="Arial" w:eastAsia="Arial" w:hAnsi="Arial"/>
                <w:sz w:val="17"/>
                <w:szCs w:val="17"/>
                <w:color w:val="auto"/>
              </w:rPr>
              <w:t>101.ins *</w:t>
            </w:r>
          </w:p>
        </w:tc>
        <w:tc>
          <w:tcPr>
            <w:tcW w:w="8880" w:type="dxa"/>
            <w:vAlign w:val="bottom"/>
            <w:gridSpan w:val="6"/>
          </w:tcPr>
          <w:p>
            <w:pPr>
              <w:spacing w:after="0" w:line="188" w:lineRule="exact"/>
              <w:rPr>
                <w:sz w:val="20"/>
                <w:szCs w:val="20"/>
                <w:color w:val="auto"/>
              </w:rPr>
            </w:pPr>
            <w:r>
              <w:rPr>
                <w:rFonts w:ascii="Arial" w:cs="Arial" w:eastAsia="Arial" w:hAnsi="Arial"/>
                <w:sz w:val="17"/>
                <w:szCs w:val="17"/>
                <w:color w:val="auto"/>
                <w:w w:val="93"/>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0"/>
        </w:trPr>
        <w:tc>
          <w:tcPr>
            <w:tcW w:w="2340" w:type="dxa"/>
            <w:vAlign w:val="bottom"/>
            <w:gridSpan w:val="2"/>
            <w:vMerge w:val="continue"/>
          </w:tcPr>
          <w:p>
            <w:pPr>
              <w:spacing w:after="0"/>
              <w:rPr>
                <w:sz w:val="19"/>
                <w:szCs w:val="19"/>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101.sch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101.cal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101.def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101.lab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Label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Arial" w:cs="Arial" w:eastAsia="Arial" w:hAnsi="Arial"/>
                <w:sz w:val="17"/>
                <w:szCs w:val="17"/>
                <w:color w:val="auto"/>
              </w:rPr>
              <w:t>101.pre *</w:t>
            </w:r>
          </w:p>
        </w:tc>
        <w:tc>
          <w:tcPr>
            <w:tcW w:w="8880" w:type="dxa"/>
            <w:vAlign w:val="bottom"/>
            <w:gridSpan w:val="6"/>
          </w:tcPr>
          <w:p>
            <w:pPr>
              <w:spacing w:after="0"/>
              <w:rPr>
                <w:sz w:val="20"/>
                <w:szCs w:val="20"/>
                <w:color w:val="auto"/>
              </w:rPr>
            </w:pPr>
            <w:r>
              <w:rPr>
                <w:rFonts w:ascii="Arial" w:cs="Arial" w:eastAsia="Arial" w:hAnsi="Arial"/>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1"/>
                <w:szCs w:val="21"/>
                <w:color w:val="auto"/>
              </w:rPr>
            </w:pPr>
          </w:p>
        </w:tc>
        <w:tc>
          <w:tcPr>
            <w:tcW w:w="8880" w:type="dxa"/>
            <w:vAlign w:val="bottom"/>
            <w:gridSpan w:val="6"/>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Filed herewith</w:t>
      </w:r>
    </w:p>
    <w:p>
      <w:pPr>
        <w:spacing w:after="0" w:line="115" w:lineRule="exact"/>
        <w:rPr>
          <w:sz w:val="20"/>
          <w:szCs w:val="20"/>
          <w:color w:val="auto"/>
        </w:rPr>
      </w:pPr>
    </w:p>
    <w:p>
      <w:pPr>
        <w:ind w:right="260" w:firstLine="3"/>
        <w:spacing w:after="0"/>
        <w:tabs>
          <w:tab w:leader="none" w:pos="242"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587375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119" w:firstLine="172"/>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31750</wp:posOffset>
            </wp:positionV>
            <wp:extent cx="34994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(Principal Financial Officer and Duly Authorized Officer)</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November 3, 2021</w:t>
      </w:r>
    </w:p>
    <w:p>
      <w:pPr>
        <w:sectPr>
          <w:pgSz w:w="11900" w:h="16838" w:orient="portrait"/>
          <w:cols w:equalWidth="0" w:num="1">
            <w:col w:w="10139"/>
          </w:cols>
          <w:pgMar w:left="320" w:top="127" w:right="1440" w:bottom="1440" w:gutter="0" w:footer="0" w:header="0"/>
        </w:sectPr>
      </w:pPr>
    </w:p>
    <w:bookmarkStart w:id="56" w:name="page57"/>
    <w:bookmarkEnd w:id="56"/>
    <w:p>
      <w:pPr>
        <w:ind w:left="9980"/>
        <w:spacing w:after="0"/>
        <w:rPr>
          <w:sz w:val="20"/>
          <w:szCs w:val="20"/>
          <w:color w:val="auto"/>
        </w:rPr>
      </w:pPr>
      <w:r>
        <w:rPr>
          <w:rFonts w:ascii="Arial" w:cs="Arial" w:eastAsia="Arial" w:hAnsi="Arial"/>
          <w:sz w:val="16"/>
          <w:szCs w:val="16"/>
          <w:b w:val="1"/>
          <w:bCs w:val="1"/>
          <w:color w:val="auto"/>
        </w:rPr>
        <w:t>Exhibit 31.1</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of Principal Executive Officer</w:t>
      </w:r>
    </w:p>
    <w:p>
      <w:pPr>
        <w:jc w:val="center"/>
        <w:ind w:right="-39"/>
        <w:spacing w:after="0" w:line="236" w:lineRule="auto"/>
        <w:rPr>
          <w:sz w:val="20"/>
          <w:szCs w:val="20"/>
          <w:color w:val="auto"/>
        </w:rPr>
      </w:pPr>
      <w:r>
        <w:rPr>
          <w:rFonts w:ascii="Arial" w:cs="Arial" w:eastAsia="Arial" w:hAnsi="Arial"/>
          <w:sz w:val="16"/>
          <w:szCs w:val="16"/>
          <w:b w:val="1"/>
          <w:bCs w:val="1"/>
          <w:color w:val="auto"/>
        </w:rPr>
        <w:t>pursuant to</w:t>
      </w:r>
    </w:p>
    <w:p>
      <w:pPr>
        <w:jc w:val="center"/>
        <w:ind w:right="-39"/>
        <w:spacing w:after="0" w:line="236" w:lineRule="auto"/>
        <w:rPr>
          <w:sz w:val="20"/>
          <w:szCs w:val="20"/>
          <w:color w:val="auto"/>
        </w:rPr>
      </w:pPr>
      <w:r>
        <w:rPr>
          <w:rFonts w:ascii="Arial" w:cs="Arial" w:eastAsia="Arial" w:hAnsi="Arial"/>
          <w:sz w:val="16"/>
          <w:szCs w:val="16"/>
          <w:b w:val="1"/>
          <w:bCs w:val="1"/>
          <w:color w:val="auto"/>
        </w:rPr>
        <w:t>Exchange Act Rules 13a-14(a) and 15d-14(a),</w:t>
      </w:r>
    </w:p>
    <w:p>
      <w:pPr>
        <w:jc w:val="center"/>
        <w:ind w:right="-39"/>
        <w:spacing w:after="0" w:line="236" w:lineRule="auto"/>
        <w:rPr>
          <w:sz w:val="20"/>
          <w:szCs w:val="20"/>
          <w:color w:val="auto"/>
        </w:rPr>
      </w:pPr>
      <w:r>
        <w:rPr>
          <w:rFonts w:ascii="Arial" w:cs="Arial" w:eastAsia="Arial" w:hAnsi="Arial"/>
          <w:sz w:val="16"/>
          <w:szCs w:val="16"/>
          <w:b w:val="1"/>
          <w:bCs w:val="1"/>
          <w:color w:val="auto"/>
        </w:rPr>
        <w:t>as adopted pursuant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Michael Barrett, certify that:</w:t>
      </w:r>
    </w:p>
    <w:p>
      <w:pPr>
        <w:spacing w:after="0" w:line="243" w:lineRule="exact"/>
        <w:rPr>
          <w:sz w:val="20"/>
          <w:szCs w:val="20"/>
          <w:color w:val="auto"/>
        </w:rPr>
      </w:pPr>
    </w:p>
    <w:p>
      <w:pPr>
        <w:ind w:left="1240" w:hanging="616"/>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1240" w:right="220" w:hanging="616"/>
        <w:spacing w:after="0" w:line="324"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1240" w:right="320" w:hanging="616"/>
        <w:spacing w:after="0" w:line="254"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7"/>
          <w:szCs w:val="17"/>
          <w:color w:val="auto"/>
        </w:rPr>
      </w:pPr>
    </w:p>
    <w:p>
      <w:pPr>
        <w:ind w:left="1240" w:right="20" w:hanging="616"/>
        <w:spacing w:after="0" w:line="245"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720" w:right="160" w:hanging="475"/>
        <w:spacing w:after="0" w:line="252" w:lineRule="auto"/>
        <w:tabs>
          <w:tab w:leader="none" w:pos="153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2" w:lineRule="exact"/>
        <w:rPr>
          <w:rFonts w:ascii="Arial" w:cs="Arial" w:eastAsia="Arial" w:hAnsi="Arial"/>
          <w:sz w:val="16"/>
          <w:szCs w:val="16"/>
          <w:color w:val="auto"/>
        </w:rPr>
      </w:pPr>
    </w:p>
    <w:p>
      <w:pPr>
        <w:ind w:left="1720" w:right="240" w:hanging="475"/>
        <w:spacing w:after="0" w:line="252" w:lineRule="auto"/>
        <w:tabs>
          <w:tab w:leader="none" w:pos="15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6"/>
          <w:szCs w:val="16"/>
          <w:color w:val="auto"/>
        </w:rPr>
      </w:pPr>
    </w:p>
    <w:p>
      <w:pPr>
        <w:ind w:left="1720" w:right="60" w:hanging="475"/>
        <w:spacing w:after="0" w:line="341" w:lineRule="auto"/>
        <w:tabs>
          <w:tab w:leader="none" w:pos="1534"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4"/>
          <w:szCs w:val="14"/>
          <w:color w:val="auto"/>
        </w:rPr>
      </w:pPr>
    </w:p>
    <w:p>
      <w:pPr>
        <w:ind w:left="1720" w:hanging="475"/>
        <w:spacing w:after="0" w:line="252" w:lineRule="auto"/>
        <w:tabs>
          <w:tab w:leader="none" w:pos="154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2" w:lineRule="exact"/>
        <w:rPr>
          <w:rFonts w:ascii="Arial" w:cs="Arial" w:eastAsia="Arial" w:hAnsi="Arial"/>
          <w:sz w:val="16"/>
          <w:szCs w:val="16"/>
          <w:color w:val="auto"/>
        </w:rPr>
      </w:pPr>
    </w:p>
    <w:p>
      <w:pPr>
        <w:ind w:left="1240" w:right="660" w:hanging="616"/>
        <w:spacing w:after="0" w:line="324" w:lineRule="auto"/>
        <w:tabs>
          <w:tab w:leader="none" w:pos="1240" w:val="left"/>
        </w:tabs>
        <w:numPr>
          <w:ilvl w:val="0"/>
          <w:numId w:val="18"/>
        </w:numPr>
        <w:rPr>
          <w:rFonts w:ascii="Arial" w:cs="Arial" w:eastAsia="Arial" w:hAnsi="Arial"/>
          <w:sz w:val="15"/>
          <w:szCs w:val="15"/>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5"/>
          <w:szCs w:val="15"/>
          <w:color w:val="auto"/>
        </w:rPr>
      </w:pPr>
    </w:p>
    <w:p>
      <w:pPr>
        <w:ind w:left="1720" w:right="200" w:hanging="475"/>
        <w:spacing w:after="0" w:line="269" w:lineRule="auto"/>
        <w:tabs>
          <w:tab w:leader="none" w:pos="157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6"/>
          <w:szCs w:val="16"/>
          <w:color w:val="auto"/>
        </w:rPr>
      </w:pPr>
    </w:p>
    <w:p>
      <w:pPr>
        <w:ind w:left="1720" w:right="340" w:hanging="436"/>
        <w:spacing w:after="0" w:line="269" w:lineRule="auto"/>
        <w:tabs>
          <w:tab w:leader="none" w:pos="1621" w:val="left"/>
        </w:tabs>
        <w:numPr>
          <w:ilvl w:val="2"/>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00"/>
        <w:spacing w:after="0"/>
        <w:tabs>
          <w:tab w:leader="none" w:pos="66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11430</wp:posOffset>
            </wp:positionV>
            <wp:extent cx="2152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55"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President and Chief Executive Officer</w:t>
      </w:r>
    </w:p>
    <w:p>
      <w:pPr>
        <w:ind w:left="7180"/>
        <w:spacing w:after="0"/>
        <w:rPr>
          <w:sz w:val="20"/>
          <w:szCs w:val="20"/>
          <w:color w:val="auto"/>
        </w:rPr>
      </w:pPr>
      <w:r>
        <w:rPr>
          <w:rFonts w:ascii="Arial" w:cs="Arial" w:eastAsia="Arial" w:hAnsi="Arial"/>
          <w:sz w:val="16"/>
          <w:szCs w:val="16"/>
          <w:color w:val="auto"/>
        </w:rPr>
        <w:t>(Principal Executive Officer)</w:t>
      </w:r>
    </w:p>
    <w:p>
      <w:pPr>
        <w:spacing w:after="0" w:line="218"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Date November 3, 2021</w:t>
      </w:r>
    </w:p>
    <w:p>
      <w:pPr>
        <w:sectPr>
          <w:pgSz w:w="11900" w:h="16838" w:orient="portrait"/>
          <w:cols w:equalWidth="0" w:num="1">
            <w:col w:w="11200"/>
          </w:cols>
          <w:pgMar w:left="320" w:top="863" w:right="379" w:bottom="1440" w:gutter="0" w:footer="0" w:header="0"/>
        </w:sectPr>
      </w:pPr>
    </w:p>
    <w:bookmarkStart w:id="57" w:name="page58"/>
    <w:bookmarkEnd w:id="57"/>
    <w:p>
      <w:pPr>
        <w:ind w:left="9660"/>
        <w:spacing w:after="0"/>
        <w:rPr>
          <w:sz w:val="20"/>
          <w:szCs w:val="20"/>
          <w:color w:val="auto"/>
        </w:rPr>
      </w:pPr>
      <w:r>
        <w:rPr>
          <w:rFonts w:ascii="Arial" w:cs="Arial" w:eastAsia="Arial" w:hAnsi="Arial"/>
          <w:sz w:val="16"/>
          <w:szCs w:val="16"/>
          <w:b w:val="1"/>
          <w:bCs w:val="1"/>
          <w:color w:val="auto"/>
        </w:rPr>
        <w:t>Exhibit 31.2</w:t>
      </w:r>
    </w:p>
    <w:p>
      <w:pPr>
        <w:spacing w:after="0" w:line="230"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12"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pursuant to</w:t>
      </w:r>
    </w:p>
    <w:p>
      <w:pPr>
        <w:jc w:val="center"/>
        <w:ind w:right="260"/>
        <w:spacing w:after="0" w:line="236" w:lineRule="auto"/>
        <w:rPr>
          <w:sz w:val="20"/>
          <w:szCs w:val="20"/>
          <w:color w:val="auto"/>
        </w:rPr>
      </w:pPr>
      <w:r>
        <w:rPr>
          <w:rFonts w:ascii="Arial" w:cs="Arial" w:eastAsia="Arial" w:hAnsi="Arial"/>
          <w:sz w:val="16"/>
          <w:szCs w:val="16"/>
          <w:b w:val="1"/>
          <w:bCs w:val="1"/>
          <w:color w:val="auto"/>
        </w:rPr>
        <w:t>Exchange Act Rules 13a-14(a) and 15d-14(a),</w:t>
      </w:r>
    </w:p>
    <w:p>
      <w:pPr>
        <w:jc w:val="center"/>
        <w:ind w:right="260"/>
        <w:spacing w:after="0" w:line="236" w:lineRule="auto"/>
        <w:rPr>
          <w:sz w:val="20"/>
          <w:szCs w:val="20"/>
          <w:color w:val="auto"/>
        </w:rPr>
      </w:pPr>
      <w:r>
        <w:rPr>
          <w:rFonts w:ascii="Arial" w:cs="Arial" w:eastAsia="Arial" w:hAnsi="Arial"/>
          <w:sz w:val="16"/>
          <w:szCs w:val="16"/>
          <w:b w:val="1"/>
          <w:bCs w:val="1"/>
          <w:color w:val="auto"/>
        </w:rPr>
        <w:t>as adopted pursuant to</w:t>
      </w:r>
    </w:p>
    <w:p>
      <w:pPr>
        <w:jc w:val="center"/>
        <w:ind w:right="260"/>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I, David Day, certify that:</w:t>
      </w:r>
    </w:p>
    <w:p>
      <w:pPr>
        <w:spacing w:after="0" w:line="243" w:lineRule="exact"/>
        <w:rPr>
          <w:sz w:val="20"/>
          <w:szCs w:val="20"/>
          <w:color w:val="auto"/>
        </w:rPr>
      </w:pPr>
    </w:p>
    <w:p>
      <w:pPr>
        <w:ind w:left="920" w:hanging="460"/>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I have reviewed this Quarterly Report on Form 10-Q of Magnite, Inc.;</w:t>
      </w:r>
    </w:p>
    <w:p>
      <w:pPr>
        <w:spacing w:after="0" w:line="244" w:lineRule="exact"/>
        <w:rPr>
          <w:rFonts w:ascii="Arial" w:cs="Arial" w:eastAsia="Arial" w:hAnsi="Arial"/>
          <w:sz w:val="17"/>
          <w:szCs w:val="17"/>
          <w:color w:val="auto"/>
        </w:rPr>
      </w:pPr>
    </w:p>
    <w:p>
      <w:pPr>
        <w:ind w:left="920" w:right="220" w:hanging="460"/>
        <w:spacing w:after="0" w:line="324" w:lineRule="auto"/>
        <w:tabs>
          <w:tab w:leader="none" w:pos="920" w:val="left"/>
        </w:tabs>
        <w:numPr>
          <w:ilvl w:val="0"/>
          <w:numId w:val="19"/>
        </w:numPr>
        <w:rPr>
          <w:rFonts w:ascii="Arial" w:cs="Arial" w:eastAsia="Arial" w:hAnsi="Arial"/>
          <w:sz w:val="15"/>
          <w:szCs w:val="15"/>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5"/>
          <w:szCs w:val="15"/>
          <w:color w:val="auto"/>
        </w:rPr>
      </w:pPr>
    </w:p>
    <w:p>
      <w:pPr>
        <w:ind w:left="920" w:right="320" w:hanging="460"/>
        <w:spacing w:after="0" w:line="254"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Arial" w:cs="Arial" w:eastAsia="Arial" w:hAnsi="Arial"/>
          <w:sz w:val="17"/>
          <w:szCs w:val="17"/>
          <w:color w:val="auto"/>
        </w:rPr>
      </w:pPr>
    </w:p>
    <w:p>
      <w:pPr>
        <w:ind w:left="920" w:right="20" w:hanging="460"/>
        <w:spacing w:after="0" w:line="245"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ind w:left="1540" w:right="100" w:hanging="459"/>
        <w:spacing w:after="0" w:line="245" w:lineRule="auto"/>
        <w:tabs>
          <w:tab w:leader="none" w:pos="153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17"/>
          <w:szCs w:val="17"/>
          <w:color w:val="auto"/>
        </w:rPr>
      </w:pPr>
    </w:p>
    <w:p>
      <w:pPr>
        <w:ind w:left="1540" w:right="80" w:hanging="459"/>
        <w:spacing w:after="0" w:line="245" w:lineRule="auto"/>
        <w:tabs>
          <w:tab w:leader="none" w:pos="154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7"/>
          <w:szCs w:val="17"/>
          <w:color w:val="auto"/>
        </w:rPr>
      </w:pPr>
    </w:p>
    <w:p>
      <w:pPr>
        <w:ind w:left="1540" w:right="120" w:hanging="459"/>
        <w:spacing w:after="0" w:line="287" w:lineRule="auto"/>
        <w:tabs>
          <w:tab w:leader="none" w:pos="1530" w:val="left"/>
        </w:tabs>
        <w:numPr>
          <w:ilvl w:val="1"/>
          <w:numId w:val="19"/>
        </w:numPr>
        <w:rPr>
          <w:rFonts w:ascii="Arial" w:cs="Arial" w:eastAsia="Arial" w:hAnsi="Arial"/>
          <w:sz w:val="16"/>
          <w:szCs w:val="16"/>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6"/>
          <w:szCs w:val="16"/>
          <w:color w:val="auto"/>
        </w:rPr>
      </w:pPr>
    </w:p>
    <w:p>
      <w:pPr>
        <w:ind w:left="1540" w:hanging="459"/>
        <w:spacing w:after="0" w:line="245" w:lineRule="auto"/>
        <w:tabs>
          <w:tab w:leader="none" w:pos="1540" w:val="left"/>
        </w:tabs>
        <w:numPr>
          <w:ilvl w:val="1"/>
          <w:numId w:val="19"/>
        </w:numPr>
        <w:rPr>
          <w:rFonts w:ascii="Arial" w:cs="Arial" w:eastAsia="Arial" w:hAnsi="Arial"/>
          <w:sz w:val="17"/>
          <w:szCs w:val="17"/>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17"/>
          <w:szCs w:val="17"/>
          <w:color w:val="auto"/>
        </w:rPr>
      </w:pPr>
    </w:p>
    <w:p>
      <w:pPr>
        <w:ind w:left="920" w:right="80" w:hanging="460"/>
        <w:spacing w:after="0" w:line="341" w:lineRule="auto"/>
        <w:tabs>
          <w:tab w:leader="none" w:pos="782"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4"/>
          <w:szCs w:val="14"/>
          <w:color w:val="auto"/>
        </w:rPr>
      </w:pPr>
    </w:p>
    <w:p>
      <w:pPr>
        <w:ind w:left="1540" w:right="60" w:hanging="304"/>
        <w:spacing w:after="0" w:line="254" w:lineRule="auto"/>
        <w:tabs>
          <w:tab w:leader="none" w:pos="1530" w:val="left"/>
        </w:tabs>
        <w:numPr>
          <w:ilvl w:val="2"/>
          <w:numId w:val="19"/>
        </w:numPr>
        <w:rPr>
          <w:rFonts w:ascii="Arial" w:cs="Arial" w:eastAsia="Arial" w:hAnsi="Arial"/>
          <w:sz w:val="17"/>
          <w:szCs w:val="17"/>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Arial" w:cs="Arial" w:eastAsia="Arial" w:hAnsi="Arial"/>
          <w:sz w:val="17"/>
          <w:szCs w:val="17"/>
          <w:color w:val="auto"/>
        </w:rPr>
      </w:pPr>
    </w:p>
    <w:p>
      <w:pPr>
        <w:ind w:left="1540" w:right="100" w:hanging="304"/>
        <w:spacing w:after="0" w:line="254" w:lineRule="auto"/>
        <w:tabs>
          <w:tab w:leader="none" w:pos="1540" w:val="left"/>
        </w:tabs>
        <w:numPr>
          <w:ilvl w:val="2"/>
          <w:numId w:val="19"/>
        </w:numPr>
        <w:rPr>
          <w:rFonts w:ascii="Arial" w:cs="Arial" w:eastAsia="Arial" w:hAnsi="Arial"/>
          <w:sz w:val="17"/>
          <w:szCs w:val="17"/>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8" w:lineRule="exact"/>
        <w:rPr>
          <w:sz w:val="20"/>
          <w:szCs w:val="20"/>
          <w:color w:val="auto"/>
        </w:rPr>
      </w:pPr>
    </w:p>
    <w:tbl>
      <w:tblPr>
        <w:tblLayout w:type="fixed"/>
        <w:tblInd w:w="900" w:type="dxa"/>
        <w:tblCellMar>
          <w:top w:w="0" w:type="dxa"/>
          <w:left w:w="0" w:type="dxa"/>
          <w:bottom w:w="0" w:type="dxa"/>
          <w:right w:w="0" w:type="dxa"/>
        </w:tblCellMar>
      </w:tblPr>
      <w:tr>
        <w:trPr>
          <w:trHeight w:val="199"/>
        </w:trPr>
        <w:tc>
          <w:tcPr>
            <w:tcW w:w="5440" w:type="dxa"/>
            <w:vAlign w:val="bottom"/>
          </w:tcPr>
          <w:p>
            <w:pPr>
              <w:ind w:left="2780"/>
              <w:spacing w:after="0"/>
              <w:rPr>
                <w:sz w:val="20"/>
                <w:szCs w:val="20"/>
                <w:color w:val="auto"/>
              </w:rPr>
            </w:pPr>
            <w:r>
              <w:rPr>
                <w:rFonts w:ascii="Arial" w:cs="Arial" w:eastAsia="Arial" w:hAnsi="Arial"/>
                <w:sz w:val="16"/>
                <w:szCs w:val="16"/>
                <w:color w:val="auto"/>
              </w:rPr>
              <w:t>Signature:</w:t>
            </w:r>
          </w:p>
        </w:tc>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Day</w:t>
            </w:r>
          </w:p>
        </w:tc>
      </w:tr>
      <w:tr>
        <w:trPr>
          <w:trHeight w:val="234"/>
        </w:trPr>
        <w:tc>
          <w:tcPr>
            <w:tcW w:w="5440" w:type="dxa"/>
            <w:vAlign w:val="bottom"/>
          </w:tcPr>
          <w:p>
            <w:pPr>
              <w:spacing w:after="0"/>
              <w:rPr>
                <w:sz w:val="20"/>
                <w:szCs w:val="20"/>
                <w:color w:val="auto"/>
              </w:rPr>
            </w:pPr>
          </w:p>
        </w:tc>
        <w:tc>
          <w:tcPr>
            <w:tcW w:w="3380" w:type="dxa"/>
            <w:vAlign w:val="bottom"/>
          </w:tcPr>
          <w:p>
            <w:pPr>
              <w:ind w:left="700"/>
              <w:spacing w:after="0"/>
              <w:rPr>
                <w:sz w:val="20"/>
                <w:szCs w:val="20"/>
                <w:color w:val="auto"/>
              </w:rPr>
            </w:pPr>
            <w:r>
              <w:rPr>
                <w:rFonts w:ascii="Arial" w:cs="Arial" w:eastAsia="Arial" w:hAnsi="Arial"/>
                <w:sz w:val="16"/>
                <w:szCs w:val="16"/>
                <w:color w:val="auto"/>
              </w:rPr>
              <w:t>David Day</w:t>
            </w:r>
          </w:p>
        </w:tc>
      </w:tr>
      <w:tr>
        <w:trPr>
          <w:trHeight w:val="181"/>
        </w:trPr>
        <w:tc>
          <w:tcPr>
            <w:tcW w:w="5440" w:type="dxa"/>
            <w:vAlign w:val="bottom"/>
          </w:tcPr>
          <w:p>
            <w:pPr>
              <w:spacing w:after="0"/>
              <w:rPr>
                <w:sz w:val="15"/>
                <w:szCs w:val="15"/>
                <w:color w:val="auto"/>
              </w:rPr>
            </w:pPr>
          </w:p>
        </w:tc>
        <w:tc>
          <w:tcPr>
            <w:tcW w:w="3380" w:type="dxa"/>
            <w:vAlign w:val="bottom"/>
          </w:tcPr>
          <w:p>
            <w:pPr>
              <w:ind w:left="700"/>
              <w:spacing w:after="0" w:line="181" w:lineRule="exact"/>
              <w:rPr>
                <w:sz w:val="20"/>
                <w:szCs w:val="20"/>
                <w:color w:val="auto"/>
              </w:rPr>
            </w:pPr>
            <w:r>
              <w:rPr>
                <w:rFonts w:ascii="Arial" w:cs="Arial" w:eastAsia="Arial" w:hAnsi="Arial"/>
                <w:sz w:val="16"/>
                <w:szCs w:val="16"/>
                <w:color w:val="auto"/>
              </w:rPr>
              <w:t>Chief Financial Officer</w:t>
            </w:r>
          </w:p>
        </w:tc>
      </w:tr>
      <w:tr>
        <w:trPr>
          <w:trHeight w:val="235"/>
        </w:trPr>
        <w:tc>
          <w:tcPr>
            <w:tcW w:w="5440" w:type="dxa"/>
            <w:vAlign w:val="bottom"/>
          </w:tcPr>
          <w:p>
            <w:pPr>
              <w:spacing w:after="0"/>
              <w:rPr>
                <w:sz w:val="20"/>
                <w:szCs w:val="20"/>
                <w:color w:val="auto"/>
              </w:rPr>
            </w:pPr>
            <w:r>
              <w:rPr>
                <w:rFonts w:ascii="Arial" w:cs="Arial" w:eastAsia="Arial" w:hAnsi="Arial"/>
                <w:sz w:val="16"/>
                <w:szCs w:val="16"/>
                <w:color w:val="auto"/>
              </w:rPr>
              <w:t>Date November 3, 2021</w:t>
            </w:r>
          </w:p>
        </w:tc>
        <w:tc>
          <w:tcPr>
            <w:tcW w:w="3380" w:type="dxa"/>
            <w:vAlign w:val="bottom"/>
          </w:tcPr>
          <w:p>
            <w:pPr>
              <w:ind w:left="700"/>
              <w:spacing w:after="0"/>
              <w:rPr>
                <w:sz w:val="20"/>
                <w:szCs w:val="20"/>
                <w:color w:val="auto"/>
              </w:rPr>
            </w:pPr>
            <w:r>
              <w:rPr>
                <w:rFonts w:ascii="Arial" w:cs="Arial" w:eastAsia="Arial" w:hAnsi="Arial"/>
                <w:sz w:val="16"/>
                <w:szCs w:val="16"/>
                <w:color w:val="auto"/>
              </w:rPr>
              <w:t>(Principal Financial Officer)</w:t>
            </w:r>
          </w:p>
        </w:tc>
      </w:tr>
    </w:tbl>
    <w:p>
      <w:pPr>
        <w:sectPr>
          <w:pgSz w:w="11900" w:h="16838" w:orient="portrait"/>
          <w:cols w:equalWidth="0" w:num="1">
            <w:col w:w="10880"/>
          </w:cols>
          <w:pgMar w:left="640" w:top="863"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32</w:t>
      </w:r>
    </w:p>
    <w:p>
      <w:pPr>
        <w:spacing w:after="0" w:line="308" w:lineRule="exact"/>
        <w:rPr>
          <w:sz w:val="20"/>
          <w:szCs w:val="20"/>
          <w:color w:val="auto"/>
        </w:rPr>
      </w:pPr>
    </w:p>
    <w:p>
      <w:pPr>
        <w:jc w:val="center"/>
        <w:ind w:left="780" w:right="140"/>
        <w:spacing w:after="0" w:line="361" w:lineRule="auto"/>
        <w:rPr>
          <w:sz w:val="20"/>
          <w:szCs w:val="20"/>
          <w:color w:val="auto"/>
        </w:rPr>
      </w:pPr>
      <w:r>
        <w:rPr>
          <w:rFonts w:ascii="Arial" w:cs="Arial" w:eastAsia="Arial" w:hAnsi="Arial"/>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36" w:lineRule="exact"/>
        <w:rPr>
          <w:sz w:val="20"/>
          <w:szCs w:val="20"/>
          <w:color w:val="auto"/>
        </w:rPr>
      </w:pPr>
    </w:p>
    <w:p>
      <w:pPr>
        <w:ind w:right="480"/>
        <w:spacing w:after="0" w:line="345" w:lineRule="auto"/>
        <w:rPr>
          <w:sz w:val="20"/>
          <w:szCs w:val="20"/>
          <w:color w:val="auto"/>
        </w:rPr>
      </w:pPr>
      <w:r>
        <w:rPr>
          <w:rFonts w:ascii="Arial" w:cs="Arial" w:eastAsia="Arial" w:hAnsi="Arial"/>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1" w:lineRule="exact"/>
        <w:rPr>
          <w:sz w:val="20"/>
          <w:szCs w:val="20"/>
          <w:color w:val="auto"/>
        </w:rPr>
      </w:pPr>
    </w:p>
    <w:p>
      <w:pPr>
        <w:ind w:left="620" w:right="160" w:hanging="306"/>
        <w:spacing w:after="0" w:line="355"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6"/>
          <w:szCs w:val="16"/>
          <w:color w:val="auto"/>
        </w:rPr>
        <w:t>Our Quarterly Report on Form 10-Q for the quarter ended September 30, 2021, to which this certification is attached as Exhibit 32 (the "Report"), fully complies with the requirements of Section 13(a) or 15(d) of the Securities Exchange Act of 1934; and</w:t>
      </w:r>
    </w:p>
    <w:p>
      <w:pPr>
        <w:spacing w:after="0" w:line="227" w:lineRule="exact"/>
        <w:rPr>
          <w:rFonts w:ascii="Arial" w:cs="Arial" w:eastAsia="Arial" w:hAnsi="Arial"/>
          <w:sz w:val="17"/>
          <w:szCs w:val="17"/>
          <w:color w:val="auto"/>
        </w:rPr>
      </w:pPr>
    </w:p>
    <w:p>
      <w:pPr>
        <w:ind w:left="620" w:hanging="306"/>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3, 2021</w:t>
      </w:r>
    </w:p>
    <w:p>
      <w:pPr>
        <w:spacing w:after="0" w:line="30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Michael Barrett</w:t>
      </w:r>
    </w:p>
    <w:p>
      <w:pPr>
        <w:spacing w:after="0" w:line="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President and Chief Executive</w:t>
      </w:r>
    </w:p>
    <w:p>
      <w:pPr>
        <w:ind w:left="7380"/>
        <w:spacing w:after="0" w:line="236" w:lineRule="auto"/>
        <w:rPr>
          <w:sz w:val="20"/>
          <w:szCs w:val="20"/>
          <w:color w:val="auto"/>
        </w:rPr>
      </w:pPr>
      <w:r>
        <w:rPr>
          <w:rFonts w:ascii="Arial" w:cs="Arial" w:eastAsia="Arial" w:hAnsi="Arial"/>
          <w:sz w:val="16"/>
          <w:szCs w:val="16"/>
          <w:color w:val="auto"/>
        </w:rPr>
        <w:t>Officer</w:t>
      </w:r>
    </w:p>
    <w:p>
      <w:pPr>
        <w:ind w:left="738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11430</wp:posOffset>
            </wp:positionV>
            <wp:extent cx="22504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David Day</w:t>
      </w:r>
    </w:p>
    <w:p>
      <w:pPr>
        <w:spacing w:after="0" w:line="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Chief Financial Officer</w:t>
      </w:r>
    </w:p>
    <w:p>
      <w:pPr>
        <w:spacing w:after="0" w:line="24"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0"/>
        <w:spacing w:after="0" w:line="438" w:lineRule="auto"/>
        <w:rPr>
          <w:sz w:val="20"/>
          <w:szCs w:val="20"/>
          <w:color w:val="auto"/>
        </w:rPr>
      </w:pPr>
      <w:r>
        <w:rPr>
          <w:rFonts w:ascii="Arial" w:cs="Arial" w:eastAsia="Arial" w:hAnsi="Arial"/>
          <w:sz w:val="14"/>
          <w:szCs w:val="14"/>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12"/>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8">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2021-11-03T15:53:35Z</dcterms:created>
  <dcterms:modified xsi:type="dcterms:W3CDTF">2021-11-03T15:53:35Z</dcterms:modified>
</cp:coreProperties>
</file>